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CC7B799" w14:textId="77777777" w:rsidR="003C4E04" w:rsidRPr="00212EF3" w:rsidRDefault="003C4E04">
      <w:pPr>
        <w:widowControl w:val="0"/>
        <w:pBdr>
          <w:top w:val="nil"/>
          <w:left w:val="nil"/>
          <w:bottom w:val="nil"/>
          <w:right w:val="nil"/>
          <w:between w:val="nil"/>
        </w:pBdr>
        <w:spacing w:before="0" w:line="276" w:lineRule="auto"/>
        <w:ind w:firstLine="0"/>
        <w:jc w:val="left"/>
        <w:rPr>
          <w:color w:val="000000" w:themeColor="text1"/>
          <w:lang w:val="ru-RU"/>
        </w:rPr>
      </w:pPr>
    </w:p>
    <w:p w14:paraId="44DB511B" w14:textId="77777777" w:rsidR="003C4E04" w:rsidRPr="00CA7C54" w:rsidRDefault="001E748C">
      <w:pPr>
        <w:pStyle w:val="a3"/>
        <w:shd w:val="clear" w:color="auto" w:fill="auto"/>
        <w:ind w:firstLine="0"/>
        <w:rPr>
          <w:color w:val="000000" w:themeColor="text1"/>
        </w:rPr>
      </w:pPr>
      <w:r w:rsidRPr="00CA7C54">
        <w:rPr>
          <w:noProof/>
          <w:color w:val="000000" w:themeColor="text1"/>
          <w:lang w:eastAsia="uk-UA"/>
        </w:rPr>
        <w:drawing>
          <wp:inline distT="0" distB="0" distL="0" distR="0" wp14:anchorId="6974877F" wp14:editId="367F13DD">
            <wp:extent cx="681355" cy="708025"/>
            <wp:effectExtent l="0" t="0" r="0" b="0"/>
            <wp:docPr id="21305244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81355" cy="708025"/>
                    </a:xfrm>
                    <a:prstGeom prst="rect">
                      <a:avLst/>
                    </a:prstGeom>
                    <a:ln/>
                  </pic:spPr>
                </pic:pic>
              </a:graphicData>
            </a:graphic>
          </wp:inline>
        </w:drawing>
      </w:r>
    </w:p>
    <w:p w14:paraId="2CC361A3" w14:textId="77777777" w:rsidR="003C4E04" w:rsidRPr="00CA7C54" w:rsidRDefault="003C4E04">
      <w:pPr>
        <w:widowControl w:val="0"/>
        <w:pBdr>
          <w:top w:val="nil"/>
          <w:left w:val="nil"/>
          <w:bottom w:val="nil"/>
          <w:right w:val="nil"/>
          <w:between w:val="nil"/>
        </w:pBdr>
        <w:spacing w:line="240" w:lineRule="auto"/>
        <w:ind w:firstLine="0"/>
        <w:jc w:val="center"/>
        <w:rPr>
          <w:i/>
          <w:color w:val="000000" w:themeColor="text1"/>
          <w:sz w:val="27"/>
          <w:szCs w:val="27"/>
        </w:rPr>
      </w:pPr>
    </w:p>
    <w:p w14:paraId="5E85621C" w14:textId="77777777" w:rsidR="00FD361E" w:rsidRPr="006E7926" w:rsidRDefault="00FD361E" w:rsidP="00FD361E">
      <w:pPr>
        <w:widowControl w:val="0"/>
        <w:pBdr>
          <w:bottom w:val="thinThickSmallGap" w:sz="24" w:space="1" w:color="auto"/>
        </w:pBdr>
        <w:shd w:val="clear" w:color="auto" w:fill="FFFFFF"/>
        <w:autoSpaceDE w:val="0"/>
        <w:autoSpaceDN w:val="0"/>
        <w:adjustRightInd w:val="0"/>
        <w:spacing w:line="360" w:lineRule="auto"/>
        <w:jc w:val="center"/>
        <w:rPr>
          <w:rFonts w:eastAsia="Times New Roman"/>
          <w:bCs/>
          <w:color w:val="000000"/>
          <w:sz w:val="29"/>
          <w:szCs w:val="29"/>
          <w:lang w:eastAsia="ru-RU"/>
        </w:rPr>
      </w:pPr>
      <w:r w:rsidRPr="006E7926">
        <w:rPr>
          <w:rFonts w:eastAsia="Times New Roman"/>
          <w:bCs/>
          <w:color w:val="000000"/>
          <w:sz w:val="29"/>
          <w:szCs w:val="29"/>
          <w:lang w:eastAsia="ru-RU"/>
        </w:rPr>
        <w:t>ДЕРЖАВНІ БУДІВЕЛЬНІ НОРМИ УКРАЇНИ</w:t>
      </w:r>
    </w:p>
    <w:p w14:paraId="3E11B958"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49003165"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2773D406"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2199A5FA"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1E81195A"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59B647A4" w14:textId="77777777" w:rsidR="003C4E04" w:rsidRPr="00CA7C54" w:rsidRDefault="001E748C">
      <w:pPr>
        <w:widowControl w:val="0"/>
        <w:pBdr>
          <w:top w:val="nil"/>
          <w:left w:val="nil"/>
          <w:bottom w:val="nil"/>
          <w:right w:val="nil"/>
          <w:between w:val="nil"/>
        </w:pBdr>
        <w:spacing w:after="399" w:line="240" w:lineRule="auto"/>
        <w:ind w:firstLine="0"/>
        <w:jc w:val="center"/>
        <w:rPr>
          <w:b/>
          <w:color w:val="000000" w:themeColor="text1"/>
          <w:sz w:val="35"/>
          <w:szCs w:val="35"/>
        </w:rPr>
      </w:pPr>
      <w:r w:rsidRPr="00CA7C54">
        <w:rPr>
          <w:b/>
          <w:color w:val="000000" w:themeColor="text1"/>
          <w:sz w:val="35"/>
          <w:szCs w:val="35"/>
        </w:rPr>
        <w:t xml:space="preserve">ЗАХИСНІ СПОРУДИ ЦИВІЛЬНОГО ЗАХИСТУ </w:t>
      </w:r>
    </w:p>
    <w:p w14:paraId="40E75664" w14:textId="77777777" w:rsidR="003C4E04" w:rsidRPr="00CA7C54" w:rsidRDefault="003C4E04">
      <w:pPr>
        <w:widowControl w:val="0"/>
        <w:pBdr>
          <w:top w:val="nil"/>
          <w:left w:val="nil"/>
          <w:bottom w:val="nil"/>
          <w:right w:val="nil"/>
          <w:between w:val="nil"/>
        </w:pBdr>
        <w:spacing w:before="0" w:line="240" w:lineRule="auto"/>
        <w:ind w:firstLine="0"/>
        <w:jc w:val="center"/>
        <w:rPr>
          <w:color w:val="000000" w:themeColor="text1"/>
          <w:sz w:val="27"/>
          <w:szCs w:val="27"/>
        </w:rPr>
      </w:pPr>
    </w:p>
    <w:p w14:paraId="05E9FED1" w14:textId="77777777" w:rsidR="003C4E04" w:rsidRPr="00CA7C54" w:rsidRDefault="001E748C">
      <w:pPr>
        <w:widowControl w:val="0"/>
        <w:pBdr>
          <w:top w:val="nil"/>
          <w:left w:val="nil"/>
          <w:bottom w:val="nil"/>
          <w:right w:val="nil"/>
          <w:between w:val="nil"/>
        </w:pBdr>
        <w:spacing w:after="399" w:line="240" w:lineRule="auto"/>
        <w:ind w:firstLine="0"/>
        <w:jc w:val="center"/>
        <w:rPr>
          <w:color w:val="000000" w:themeColor="text1"/>
          <w:sz w:val="32"/>
          <w:szCs w:val="32"/>
        </w:rPr>
      </w:pPr>
      <w:r w:rsidRPr="00CA7C54">
        <w:rPr>
          <w:b/>
          <w:color w:val="000000" w:themeColor="text1"/>
          <w:sz w:val="35"/>
          <w:szCs w:val="35"/>
        </w:rPr>
        <w:t>ДБН В.2.2-5:202</w:t>
      </w:r>
      <w:r w:rsidR="004A3D51" w:rsidRPr="00CA7C54">
        <w:rPr>
          <w:b/>
          <w:color w:val="000000" w:themeColor="text1"/>
          <w:sz w:val="35"/>
          <w:szCs w:val="35"/>
        </w:rPr>
        <w:t>3</w:t>
      </w:r>
    </w:p>
    <w:p w14:paraId="7CE14C26" w14:textId="77777777" w:rsidR="006E7926" w:rsidRPr="00CA7C54" w:rsidRDefault="006E7926" w:rsidP="006E7926">
      <w:pPr>
        <w:widowControl w:val="0"/>
        <w:pBdr>
          <w:top w:val="nil"/>
          <w:left w:val="nil"/>
          <w:bottom w:val="nil"/>
          <w:right w:val="nil"/>
          <w:between w:val="nil"/>
        </w:pBdr>
        <w:spacing w:line="240" w:lineRule="auto"/>
        <w:ind w:firstLine="0"/>
        <w:jc w:val="center"/>
        <w:rPr>
          <w:i/>
          <w:iCs/>
          <w:color w:val="000000" w:themeColor="text1"/>
          <w:sz w:val="27"/>
          <w:szCs w:val="27"/>
        </w:rPr>
      </w:pPr>
      <w:r w:rsidRPr="00CA7C54">
        <w:rPr>
          <w:i/>
          <w:iCs/>
          <w:color w:val="000000" w:themeColor="text1"/>
          <w:sz w:val="27"/>
          <w:szCs w:val="27"/>
        </w:rPr>
        <w:t>Видання офіційне</w:t>
      </w:r>
    </w:p>
    <w:p w14:paraId="6A333ECB" w14:textId="77777777" w:rsidR="006E7926" w:rsidRDefault="006E7926" w:rsidP="006E7926">
      <w:pPr>
        <w:widowControl w:val="0"/>
        <w:pBdr>
          <w:top w:val="nil"/>
          <w:left w:val="nil"/>
          <w:bottom w:val="nil"/>
          <w:right w:val="nil"/>
          <w:between w:val="nil"/>
        </w:pBdr>
        <w:spacing w:after="399" w:line="240" w:lineRule="auto"/>
        <w:ind w:firstLine="0"/>
        <w:jc w:val="center"/>
        <w:rPr>
          <w:b/>
          <w:color w:val="000000" w:themeColor="text1"/>
          <w:sz w:val="35"/>
          <w:szCs w:val="35"/>
          <w:lang w:val="ru-RU"/>
        </w:rPr>
      </w:pPr>
    </w:p>
    <w:p w14:paraId="242BB8EB" w14:textId="77777777" w:rsidR="00527B5E" w:rsidRDefault="00527B5E" w:rsidP="00527B5E">
      <w:pPr>
        <w:spacing w:line="514" w:lineRule="exact"/>
        <w:ind w:right="566" w:firstLine="284"/>
        <w:jc w:val="center"/>
        <w:outlineLvl w:val="0"/>
        <w:rPr>
          <w:i/>
          <w:iCs/>
          <w:sz w:val="28"/>
          <w:szCs w:val="28"/>
          <w:lang w:eastAsia="uk-UA"/>
        </w:rPr>
      </w:pPr>
      <w:bookmarkStart w:id="0" w:name="_Hlk183424270"/>
      <w:r w:rsidRPr="008422DD">
        <w:rPr>
          <w:i/>
          <w:iCs/>
          <w:sz w:val="28"/>
          <w:szCs w:val="28"/>
          <w:lang w:eastAsia="uk-UA"/>
        </w:rPr>
        <w:t>Актуалізований текст в останній редакції із змінами</w:t>
      </w:r>
      <w:r>
        <w:rPr>
          <w:i/>
          <w:iCs/>
          <w:sz w:val="28"/>
          <w:szCs w:val="28"/>
          <w:lang w:eastAsia="uk-UA"/>
        </w:rPr>
        <w:t>,</w:t>
      </w:r>
    </w:p>
    <w:p w14:paraId="3C61CE63" w14:textId="77777777" w:rsidR="00527B5E" w:rsidRPr="00AB04FA" w:rsidRDefault="00527B5E" w:rsidP="00527B5E">
      <w:pPr>
        <w:spacing w:line="514" w:lineRule="exact"/>
        <w:ind w:right="566" w:firstLine="284"/>
        <w:jc w:val="center"/>
        <w:outlineLvl w:val="0"/>
        <w:rPr>
          <w:bCs/>
          <w:i/>
          <w:iCs/>
          <w:spacing w:val="20"/>
          <w:sz w:val="28"/>
          <w:szCs w:val="28"/>
          <w:lang w:eastAsia="uk-UA"/>
        </w:rPr>
      </w:pPr>
      <w:r w:rsidRPr="00AB04FA">
        <w:rPr>
          <w:bCs/>
          <w:i/>
          <w:iCs/>
          <w:spacing w:val="20"/>
          <w:sz w:val="28"/>
          <w:szCs w:val="28"/>
          <w:lang w:eastAsia="uk-UA"/>
        </w:rPr>
        <w:t>внесеними Зміною № 1</w:t>
      </w:r>
      <w:r>
        <w:rPr>
          <w:bCs/>
          <w:i/>
          <w:iCs/>
          <w:spacing w:val="20"/>
          <w:sz w:val="28"/>
          <w:szCs w:val="28"/>
          <w:lang w:eastAsia="uk-UA"/>
        </w:rPr>
        <w:t xml:space="preserve"> та Зміною №2</w:t>
      </w:r>
    </w:p>
    <w:p w14:paraId="0F377C97" w14:textId="77777777" w:rsidR="00527B5E" w:rsidRPr="008422DD" w:rsidRDefault="00527B5E" w:rsidP="00527B5E">
      <w:pPr>
        <w:spacing w:line="514" w:lineRule="exact"/>
        <w:ind w:right="566" w:firstLine="0"/>
        <w:jc w:val="center"/>
        <w:outlineLvl w:val="0"/>
        <w:rPr>
          <w:i/>
          <w:iCs/>
          <w:sz w:val="28"/>
          <w:szCs w:val="28"/>
          <w:lang w:eastAsia="uk-UA"/>
        </w:rPr>
      </w:pPr>
      <w:r w:rsidRPr="008422DD">
        <w:rPr>
          <w:i/>
          <w:iCs/>
          <w:sz w:val="28"/>
          <w:szCs w:val="28"/>
          <w:lang w:eastAsia="uk-UA"/>
        </w:rPr>
        <w:t xml:space="preserve">(у контрольному стані) </w:t>
      </w:r>
    </w:p>
    <w:bookmarkEnd w:id="0"/>
    <w:p w14:paraId="284F046D" w14:textId="77777777" w:rsidR="006E7926" w:rsidRDefault="006E7926" w:rsidP="006E7926">
      <w:pPr>
        <w:pStyle w:val="1ff0"/>
        <w:keepNext/>
        <w:keepLines/>
        <w:spacing w:after="300"/>
      </w:pPr>
    </w:p>
    <w:p w14:paraId="0D2E0A78" w14:textId="77777777" w:rsidR="003C4E04" w:rsidRPr="00CA7C54" w:rsidRDefault="003C4E04">
      <w:pPr>
        <w:widowControl w:val="0"/>
        <w:pBdr>
          <w:top w:val="nil"/>
          <w:left w:val="nil"/>
          <w:bottom w:val="nil"/>
          <w:right w:val="nil"/>
          <w:between w:val="nil"/>
        </w:pBdr>
        <w:spacing w:line="240" w:lineRule="auto"/>
        <w:ind w:firstLine="0"/>
        <w:jc w:val="center"/>
        <w:rPr>
          <w:i/>
          <w:color w:val="000000" w:themeColor="text1"/>
          <w:sz w:val="27"/>
          <w:szCs w:val="27"/>
        </w:rPr>
      </w:pPr>
    </w:p>
    <w:p w14:paraId="3A544AED" w14:textId="77777777" w:rsidR="003C4E04" w:rsidRDefault="003C4E04">
      <w:pPr>
        <w:widowControl w:val="0"/>
        <w:pBdr>
          <w:top w:val="nil"/>
          <w:left w:val="nil"/>
          <w:bottom w:val="nil"/>
          <w:right w:val="nil"/>
          <w:between w:val="nil"/>
        </w:pBdr>
        <w:spacing w:line="240" w:lineRule="auto"/>
        <w:ind w:firstLine="0"/>
        <w:jc w:val="center"/>
        <w:rPr>
          <w:i/>
          <w:color w:val="000000" w:themeColor="text1"/>
          <w:sz w:val="27"/>
          <w:szCs w:val="27"/>
        </w:rPr>
      </w:pPr>
    </w:p>
    <w:p w14:paraId="4ECB3BD1" w14:textId="77777777" w:rsidR="00FD361E" w:rsidRDefault="00FD361E">
      <w:pPr>
        <w:widowControl w:val="0"/>
        <w:pBdr>
          <w:top w:val="nil"/>
          <w:left w:val="nil"/>
          <w:bottom w:val="nil"/>
          <w:right w:val="nil"/>
          <w:between w:val="nil"/>
        </w:pBdr>
        <w:spacing w:line="240" w:lineRule="auto"/>
        <w:ind w:firstLine="0"/>
        <w:jc w:val="center"/>
        <w:rPr>
          <w:i/>
          <w:color w:val="000000" w:themeColor="text1"/>
          <w:sz w:val="27"/>
          <w:szCs w:val="27"/>
        </w:rPr>
      </w:pPr>
    </w:p>
    <w:p w14:paraId="4F7198FA" w14:textId="77777777" w:rsidR="00527B5E" w:rsidRDefault="00527B5E">
      <w:pPr>
        <w:widowControl w:val="0"/>
        <w:pBdr>
          <w:top w:val="nil"/>
          <w:left w:val="nil"/>
          <w:bottom w:val="nil"/>
          <w:right w:val="nil"/>
          <w:between w:val="nil"/>
        </w:pBdr>
        <w:spacing w:line="240" w:lineRule="auto"/>
        <w:ind w:firstLine="0"/>
        <w:jc w:val="center"/>
        <w:rPr>
          <w:i/>
          <w:color w:val="000000" w:themeColor="text1"/>
          <w:sz w:val="27"/>
          <w:szCs w:val="27"/>
        </w:rPr>
      </w:pPr>
    </w:p>
    <w:p w14:paraId="1D2AE53D" w14:textId="77777777" w:rsidR="00527B5E" w:rsidRDefault="00527B5E">
      <w:pPr>
        <w:widowControl w:val="0"/>
        <w:pBdr>
          <w:top w:val="nil"/>
          <w:left w:val="nil"/>
          <w:bottom w:val="nil"/>
          <w:right w:val="nil"/>
          <w:between w:val="nil"/>
        </w:pBdr>
        <w:spacing w:line="240" w:lineRule="auto"/>
        <w:ind w:firstLine="0"/>
        <w:jc w:val="center"/>
        <w:rPr>
          <w:i/>
          <w:color w:val="000000" w:themeColor="text1"/>
          <w:sz w:val="27"/>
          <w:szCs w:val="27"/>
        </w:rPr>
      </w:pPr>
    </w:p>
    <w:p w14:paraId="5AAB14A5" w14:textId="77777777" w:rsidR="00527B5E" w:rsidRDefault="00527B5E">
      <w:pPr>
        <w:widowControl w:val="0"/>
        <w:pBdr>
          <w:top w:val="nil"/>
          <w:left w:val="nil"/>
          <w:bottom w:val="nil"/>
          <w:right w:val="nil"/>
          <w:between w:val="nil"/>
        </w:pBdr>
        <w:spacing w:line="240" w:lineRule="auto"/>
        <w:ind w:firstLine="0"/>
        <w:jc w:val="center"/>
        <w:rPr>
          <w:i/>
          <w:color w:val="000000" w:themeColor="text1"/>
          <w:sz w:val="27"/>
          <w:szCs w:val="27"/>
        </w:rPr>
      </w:pPr>
    </w:p>
    <w:p w14:paraId="65C292F8" w14:textId="77777777" w:rsidR="003C4E04" w:rsidRPr="00CA7C54" w:rsidRDefault="001E748C">
      <w:pPr>
        <w:widowControl w:val="0"/>
        <w:pBdr>
          <w:top w:val="nil"/>
          <w:left w:val="nil"/>
          <w:bottom w:val="nil"/>
          <w:right w:val="nil"/>
          <w:between w:val="nil"/>
        </w:pBdr>
        <w:spacing w:line="240" w:lineRule="auto"/>
        <w:ind w:firstLine="0"/>
        <w:jc w:val="center"/>
        <w:rPr>
          <w:color w:val="000000" w:themeColor="text1"/>
          <w:sz w:val="25"/>
          <w:szCs w:val="25"/>
        </w:rPr>
      </w:pPr>
      <w:r w:rsidRPr="00CA7C54">
        <w:rPr>
          <w:color w:val="000000" w:themeColor="text1"/>
          <w:sz w:val="25"/>
          <w:szCs w:val="25"/>
        </w:rPr>
        <w:t>Київ</w:t>
      </w:r>
    </w:p>
    <w:p w14:paraId="748D3052" w14:textId="77777777" w:rsidR="00D7082E" w:rsidRPr="00CA7C54" w:rsidRDefault="001E748C" w:rsidP="00D7082E">
      <w:pPr>
        <w:widowControl w:val="0"/>
        <w:pBdr>
          <w:top w:val="nil"/>
          <w:left w:val="nil"/>
          <w:bottom w:val="nil"/>
          <w:right w:val="nil"/>
          <w:between w:val="nil"/>
        </w:pBdr>
        <w:spacing w:before="0" w:line="240" w:lineRule="auto"/>
        <w:ind w:firstLine="0"/>
        <w:jc w:val="center"/>
        <w:rPr>
          <w:color w:val="000000" w:themeColor="text1"/>
          <w:sz w:val="25"/>
          <w:szCs w:val="25"/>
        </w:rPr>
      </w:pPr>
      <w:r w:rsidRPr="00CA7C54">
        <w:rPr>
          <w:color w:val="000000" w:themeColor="text1"/>
          <w:sz w:val="25"/>
          <w:szCs w:val="25"/>
        </w:rPr>
        <w:t>Міністерство розвитку громад, територій та інфраструктури України</w:t>
      </w:r>
    </w:p>
    <w:p w14:paraId="6783C022" w14:textId="77777777" w:rsidR="00D7082E" w:rsidRPr="00CA7C54" w:rsidRDefault="00D7082E" w:rsidP="00D7082E">
      <w:pPr>
        <w:widowControl w:val="0"/>
        <w:pBdr>
          <w:top w:val="nil"/>
          <w:left w:val="nil"/>
          <w:bottom w:val="nil"/>
          <w:right w:val="nil"/>
          <w:between w:val="nil"/>
        </w:pBdr>
        <w:spacing w:before="0" w:line="240" w:lineRule="auto"/>
        <w:ind w:firstLine="0"/>
        <w:jc w:val="center"/>
        <w:rPr>
          <w:color w:val="000000" w:themeColor="text1"/>
          <w:sz w:val="25"/>
          <w:szCs w:val="25"/>
        </w:rPr>
      </w:pPr>
      <w:r w:rsidRPr="00CA7C54">
        <w:rPr>
          <w:color w:val="000000" w:themeColor="text1"/>
          <w:sz w:val="25"/>
          <w:szCs w:val="25"/>
          <w:lang w:val="ru-RU"/>
        </w:rPr>
        <w:t>2</w:t>
      </w:r>
      <w:r w:rsidR="001E748C" w:rsidRPr="00CA7C54">
        <w:rPr>
          <w:color w:val="000000" w:themeColor="text1"/>
          <w:sz w:val="25"/>
          <w:szCs w:val="25"/>
        </w:rPr>
        <w:t>02</w:t>
      </w:r>
      <w:r w:rsidRPr="00CA7C54">
        <w:rPr>
          <w:color w:val="000000" w:themeColor="text1"/>
          <w:sz w:val="25"/>
          <w:szCs w:val="25"/>
          <w:lang w:val="ru-RU"/>
        </w:rPr>
        <w:t>3</w:t>
      </w:r>
    </w:p>
    <w:p w14:paraId="446ECC6A" w14:textId="77777777" w:rsidR="006E7926" w:rsidRDefault="006E7926" w:rsidP="00D7082E">
      <w:pPr>
        <w:widowControl w:val="0"/>
        <w:pBdr>
          <w:top w:val="nil"/>
          <w:left w:val="nil"/>
          <w:bottom w:val="nil"/>
          <w:right w:val="nil"/>
          <w:between w:val="nil"/>
        </w:pBdr>
        <w:spacing w:before="0" w:line="240" w:lineRule="auto"/>
        <w:ind w:firstLine="0"/>
        <w:jc w:val="center"/>
        <w:rPr>
          <w:color w:val="000000" w:themeColor="text1"/>
          <w:sz w:val="25"/>
          <w:szCs w:val="25"/>
          <w:lang w:val="ru-RU"/>
        </w:rPr>
        <w:sectPr w:rsidR="006E7926" w:rsidSect="006D0D8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851" w:right="1134" w:bottom="851" w:left="1134" w:header="709" w:footer="709" w:gutter="0"/>
          <w:pgNumType w:start="1"/>
          <w:cols w:space="720"/>
          <w:titlePg/>
          <w:docGrid w:linePitch="299"/>
        </w:sectPr>
      </w:pPr>
    </w:p>
    <w:p w14:paraId="69A4E635" w14:textId="77777777" w:rsidR="00D7082E" w:rsidRPr="00CA7C54" w:rsidRDefault="00D7082E" w:rsidP="00D7082E">
      <w:pPr>
        <w:widowControl w:val="0"/>
        <w:pBdr>
          <w:top w:val="nil"/>
          <w:left w:val="nil"/>
          <w:bottom w:val="nil"/>
          <w:right w:val="nil"/>
          <w:between w:val="nil"/>
        </w:pBdr>
        <w:spacing w:before="0" w:line="240" w:lineRule="auto"/>
        <w:ind w:firstLine="0"/>
        <w:jc w:val="center"/>
        <w:rPr>
          <w:color w:val="000000" w:themeColor="text1"/>
          <w:sz w:val="25"/>
          <w:szCs w:val="25"/>
          <w:lang w:val="ru-RU"/>
        </w:rPr>
      </w:pPr>
    </w:p>
    <w:p w14:paraId="76206813" w14:textId="77777777" w:rsidR="00D7082E" w:rsidRPr="00CA7C54" w:rsidRDefault="00D7082E" w:rsidP="00D7082E">
      <w:pPr>
        <w:pStyle w:val="a3"/>
        <w:shd w:val="clear" w:color="auto" w:fill="auto"/>
        <w:ind w:firstLine="0"/>
        <w:rPr>
          <w:color w:val="000000" w:themeColor="text1"/>
        </w:rPr>
      </w:pPr>
      <w:r w:rsidRPr="00CA7C54">
        <w:rPr>
          <w:noProof/>
          <w:color w:val="000000" w:themeColor="text1"/>
          <w:lang w:eastAsia="uk-UA"/>
        </w:rPr>
        <w:drawing>
          <wp:inline distT="0" distB="0" distL="0" distR="0" wp14:anchorId="4429E15F" wp14:editId="15B7DC6C">
            <wp:extent cx="681355" cy="708025"/>
            <wp:effectExtent l="0" t="0" r="0" b="0"/>
            <wp:docPr id="54131471" name="Рисунок 5413147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81355" cy="708025"/>
                    </a:xfrm>
                    <a:prstGeom prst="rect">
                      <a:avLst/>
                    </a:prstGeom>
                    <a:ln/>
                  </pic:spPr>
                </pic:pic>
              </a:graphicData>
            </a:graphic>
          </wp:inline>
        </w:drawing>
      </w:r>
    </w:p>
    <w:p w14:paraId="5445A586" w14:textId="77777777" w:rsidR="00D7082E" w:rsidRPr="00CA7C54" w:rsidRDefault="00D7082E" w:rsidP="00D7082E">
      <w:pPr>
        <w:widowControl w:val="0"/>
        <w:pBdr>
          <w:top w:val="nil"/>
          <w:left w:val="nil"/>
          <w:bottom w:val="nil"/>
          <w:right w:val="nil"/>
          <w:between w:val="nil"/>
        </w:pBdr>
        <w:spacing w:line="240" w:lineRule="auto"/>
        <w:ind w:firstLine="0"/>
        <w:jc w:val="center"/>
        <w:rPr>
          <w:i/>
          <w:color w:val="000000" w:themeColor="text1"/>
          <w:sz w:val="27"/>
          <w:szCs w:val="27"/>
        </w:rPr>
      </w:pPr>
    </w:p>
    <w:p w14:paraId="0EEBF301" w14:textId="77777777" w:rsidR="00FD361E" w:rsidRPr="006E7926" w:rsidRDefault="00FD361E" w:rsidP="00FD361E">
      <w:pPr>
        <w:widowControl w:val="0"/>
        <w:pBdr>
          <w:bottom w:val="thinThickSmallGap" w:sz="24" w:space="1" w:color="auto"/>
        </w:pBdr>
        <w:shd w:val="clear" w:color="auto" w:fill="FFFFFF"/>
        <w:autoSpaceDE w:val="0"/>
        <w:autoSpaceDN w:val="0"/>
        <w:adjustRightInd w:val="0"/>
        <w:spacing w:line="360" w:lineRule="auto"/>
        <w:jc w:val="center"/>
        <w:rPr>
          <w:rFonts w:eastAsia="Times New Roman"/>
          <w:bCs/>
          <w:color w:val="000000"/>
          <w:sz w:val="29"/>
          <w:szCs w:val="29"/>
          <w:lang w:eastAsia="ru-RU"/>
        </w:rPr>
      </w:pPr>
      <w:r w:rsidRPr="006E7926">
        <w:rPr>
          <w:rFonts w:eastAsia="Times New Roman"/>
          <w:bCs/>
          <w:color w:val="000000"/>
          <w:sz w:val="29"/>
          <w:szCs w:val="29"/>
          <w:lang w:eastAsia="ru-RU"/>
        </w:rPr>
        <w:t>ДЕРЖАВНІ БУДІВЕЛЬНІ НОРМИ УКРАЇНИ</w:t>
      </w:r>
    </w:p>
    <w:p w14:paraId="0CD6215E"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0DCAC8E0"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3788F5EB"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1C4F0939"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1F2182CF"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63A41464" w14:textId="77777777" w:rsidR="00D7082E" w:rsidRPr="00CA7C54" w:rsidRDefault="00D7082E" w:rsidP="00D7082E">
      <w:pPr>
        <w:widowControl w:val="0"/>
        <w:pBdr>
          <w:top w:val="nil"/>
          <w:left w:val="nil"/>
          <w:bottom w:val="nil"/>
          <w:right w:val="nil"/>
          <w:between w:val="nil"/>
        </w:pBdr>
        <w:spacing w:after="399" w:line="240" w:lineRule="auto"/>
        <w:ind w:firstLine="0"/>
        <w:jc w:val="center"/>
        <w:rPr>
          <w:b/>
          <w:color w:val="000000" w:themeColor="text1"/>
          <w:sz w:val="35"/>
          <w:szCs w:val="35"/>
        </w:rPr>
      </w:pPr>
      <w:r w:rsidRPr="00CA7C54">
        <w:rPr>
          <w:b/>
          <w:color w:val="000000" w:themeColor="text1"/>
          <w:sz w:val="35"/>
          <w:szCs w:val="35"/>
        </w:rPr>
        <w:t xml:space="preserve">ЗАХИСНІ СПОРУДИ ЦИВІЛЬНОГО ЗАХИСТУ </w:t>
      </w:r>
    </w:p>
    <w:p w14:paraId="28AF2E53" w14:textId="77777777" w:rsidR="00D7082E" w:rsidRPr="00CA7C54" w:rsidRDefault="00D7082E" w:rsidP="00D7082E">
      <w:pPr>
        <w:widowControl w:val="0"/>
        <w:pBdr>
          <w:top w:val="nil"/>
          <w:left w:val="nil"/>
          <w:bottom w:val="nil"/>
          <w:right w:val="nil"/>
          <w:between w:val="nil"/>
        </w:pBdr>
        <w:spacing w:before="0" w:line="240" w:lineRule="auto"/>
        <w:ind w:firstLine="0"/>
        <w:jc w:val="center"/>
        <w:rPr>
          <w:color w:val="000000" w:themeColor="text1"/>
          <w:sz w:val="27"/>
          <w:szCs w:val="27"/>
        </w:rPr>
      </w:pPr>
    </w:p>
    <w:p w14:paraId="6390F281" w14:textId="77777777" w:rsidR="00D7082E" w:rsidRDefault="00D7082E" w:rsidP="00D7082E">
      <w:pPr>
        <w:widowControl w:val="0"/>
        <w:pBdr>
          <w:top w:val="nil"/>
          <w:left w:val="nil"/>
          <w:bottom w:val="nil"/>
          <w:right w:val="nil"/>
          <w:between w:val="nil"/>
        </w:pBdr>
        <w:spacing w:after="399" w:line="240" w:lineRule="auto"/>
        <w:ind w:firstLine="0"/>
        <w:jc w:val="center"/>
        <w:rPr>
          <w:b/>
          <w:color w:val="000000" w:themeColor="text1"/>
          <w:sz w:val="35"/>
          <w:szCs w:val="35"/>
          <w:lang w:val="ru-RU"/>
        </w:rPr>
      </w:pPr>
      <w:r w:rsidRPr="00CA7C54">
        <w:rPr>
          <w:b/>
          <w:color w:val="000000" w:themeColor="text1"/>
          <w:sz w:val="35"/>
          <w:szCs w:val="35"/>
        </w:rPr>
        <w:t>ДБН В.2.2-5:202</w:t>
      </w:r>
      <w:r w:rsidR="00EB4E9D" w:rsidRPr="00CA7C54">
        <w:rPr>
          <w:b/>
          <w:color w:val="000000" w:themeColor="text1"/>
          <w:sz w:val="35"/>
          <w:szCs w:val="35"/>
          <w:lang w:val="ru-RU"/>
        </w:rPr>
        <w:t>3</w:t>
      </w:r>
    </w:p>
    <w:p w14:paraId="4AB41C39" w14:textId="77777777" w:rsidR="006E7926" w:rsidRPr="00CA7C54" w:rsidRDefault="006E7926" w:rsidP="006E7926">
      <w:pPr>
        <w:widowControl w:val="0"/>
        <w:pBdr>
          <w:top w:val="nil"/>
          <w:left w:val="nil"/>
          <w:bottom w:val="nil"/>
          <w:right w:val="nil"/>
          <w:between w:val="nil"/>
        </w:pBdr>
        <w:spacing w:line="240" w:lineRule="auto"/>
        <w:ind w:firstLine="0"/>
        <w:jc w:val="center"/>
        <w:rPr>
          <w:i/>
          <w:iCs/>
          <w:color w:val="000000" w:themeColor="text1"/>
          <w:sz w:val="27"/>
          <w:szCs w:val="27"/>
        </w:rPr>
      </w:pPr>
      <w:r w:rsidRPr="00CA7C54">
        <w:rPr>
          <w:i/>
          <w:iCs/>
          <w:color w:val="000000" w:themeColor="text1"/>
          <w:sz w:val="27"/>
          <w:szCs w:val="27"/>
        </w:rPr>
        <w:t>Видання офіційне</w:t>
      </w:r>
    </w:p>
    <w:p w14:paraId="7AAB9CFB" w14:textId="77777777" w:rsidR="006E7926" w:rsidRDefault="006E7926" w:rsidP="00D7082E">
      <w:pPr>
        <w:widowControl w:val="0"/>
        <w:pBdr>
          <w:top w:val="nil"/>
          <w:left w:val="nil"/>
          <w:bottom w:val="nil"/>
          <w:right w:val="nil"/>
          <w:between w:val="nil"/>
        </w:pBdr>
        <w:spacing w:after="399" w:line="240" w:lineRule="auto"/>
        <w:ind w:firstLine="0"/>
        <w:jc w:val="center"/>
        <w:rPr>
          <w:b/>
          <w:color w:val="000000" w:themeColor="text1"/>
          <w:sz w:val="35"/>
          <w:szCs w:val="35"/>
          <w:lang w:val="ru-RU"/>
        </w:rPr>
      </w:pPr>
    </w:p>
    <w:p w14:paraId="516BBBC9" w14:textId="77777777" w:rsidR="00527B5E" w:rsidRDefault="00527B5E" w:rsidP="00527B5E">
      <w:pPr>
        <w:spacing w:line="514" w:lineRule="exact"/>
        <w:ind w:right="566" w:firstLine="284"/>
        <w:jc w:val="center"/>
        <w:outlineLvl w:val="0"/>
        <w:rPr>
          <w:i/>
          <w:iCs/>
          <w:sz w:val="28"/>
          <w:szCs w:val="28"/>
          <w:lang w:eastAsia="uk-UA"/>
        </w:rPr>
      </w:pPr>
      <w:r w:rsidRPr="008422DD">
        <w:rPr>
          <w:i/>
          <w:iCs/>
          <w:sz w:val="28"/>
          <w:szCs w:val="28"/>
          <w:lang w:eastAsia="uk-UA"/>
        </w:rPr>
        <w:t>Актуалізований текст в останній редакції із змінами</w:t>
      </w:r>
      <w:r>
        <w:rPr>
          <w:i/>
          <w:iCs/>
          <w:sz w:val="28"/>
          <w:szCs w:val="28"/>
          <w:lang w:eastAsia="uk-UA"/>
        </w:rPr>
        <w:t>,</w:t>
      </w:r>
    </w:p>
    <w:p w14:paraId="2D0FF293" w14:textId="77777777" w:rsidR="00527B5E" w:rsidRPr="00AB04FA" w:rsidRDefault="00527B5E" w:rsidP="00527B5E">
      <w:pPr>
        <w:spacing w:line="514" w:lineRule="exact"/>
        <w:ind w:right="566" w:firstLine="284"/>
        <w:jc w:val="center"/>
        <w:outlineLvl w:val="0"/>
        <w:rPr>
          <w:bCs/>
          <w:i/>
          <w:iCs/>
          <w:spacing w:val="20"/>
          <w:sz w:val="28"/>
          <w:szCs w:val="28"/>
          <w:lang w:eastAsia="uk-UA"/>
        </w:rPr>
      </w:pPr>
      <w:r w:rsidRPr="00AB04FA">
        <w:rPr>
          <w:bCs/>
          <w:i/>
          <w:iCs/>
          <w:spacing w:val="20"/>
          <w:sz w:val="28"/>
          <w:szCs w:val="28"/>
          <w:lang w:eastAsia="uk-UA"/>
        </w:rPr>
        <w:t>внесеними Зміною № 1</w:t>
      </w:r>
      <w:r>
        <w:rPr>
          <w:bCs/>
          <w:i/>
          <w:iCs/>
          <w:spacing w:val="20"/>
          <w:sz w:val="28"/>
          <w:szCs w:val="28"/>
          <w:lang w:eastAsia="uk-UA"/>
        </w:rPr>
        <w:t xml:space="preserve"> та Зміною №2</w:t>
      </w:r>
    </w:p>
    <w:p w14:paraId="57D9C219" w14:textId="77777777" w:rsidR="00527B5E" w:rsidRPr="008422DD" w:rsidRDefault="00527B5E" w:rsidP="00527B5E">
      <w:pPr>
        <w:spacing w:line="514" w:lineRule="exact"/>
        <w:ind w:right="566" w:firstLine="0"/>
        <w:jc w:val="center"/>
        <w:outlineLvl w:val="0"/>
        <w:rPr>
          <w:i/>
          <w:iCs/>
          <w:sz w:val="28"/>
          <w:szCs w:val="28"/>
          <w:lang w:eastAsia="uk-UA"/>
        </w:rPr>
      </w:pPr>
      <w:r w:rsidRPr="008422DD">
        <w:rPr>
          <w:i/>
          <w:iCs/>
          <w:sz w:val="28"/>
          <w:szCs w:val="28"/>
          <w:lang w:eastAsia="uk-UA"/>
        </w:rPr>
        <w:t xml:space="preserve">(у контрольному стані) </w:t>
      </w:r>
    </w:p>
    <w:p w14:paraId="11594C40" w14:textId="77777777" w:rsidR="006E7926" w:rsidRDefault="006E7926" w:rsidP="006E7926">
      <w:pPr>
        <w:pStyle w:val="1ff0"/>
        <w:keepNext/>
        <w:keepLines/>
        <w:spacing w:after="300"/>
      </w:pPr>
    </w:p>
    <w:p w14:paraId="29CEF916" w14:textId="77777777" w:rsidR="006E7926" w:rsidRPr="006E7926" w:rsidRDefault="006E7926" w:rsidP="00D7082E">
      <w:pPr>
        <w:widowControl w:val="0"/>
        <w:pBdr>
          <w:top w:val="nil"/>
          <w:left w:val="nil"/>
          <w:bottom w:val="nil"/>
          <w:right w:val="nil"/>
          <w:between w:val="nil"/>
        </w:pBdr>
        <w:spacing w:after="399" w:line="240" w:lineRule="auto"/>
        <w:ind w:firstLine="0"/>
        <w:jc w:val="center"/>
        <w:rPr>
          <w:color w:val="000000" w:themeColor="text1"/>
          <w:sz w:val="32"/>
          <w:szCs w:val="32"/>
        </w:rPr>
      </w:pPr>
    </w:p>
    <w:p w14:paraId="04367F90" w14:textId="77777777" w:rsidR="00D7082E" w:rsidRPr="00CA7C54" w:rsidRDefault="00D7082E" w:rsidP="00D7082E">
      <w:pPr>
        <w:widowControl w:val="0"/>
        <w:pBdr>
          <w:top w:val="nil"/>
          <w:left w:val="nil"/>
          <w:bottom w:val="nil"/>
          <w:right w:val="nil"/>
          <w:between w:val="nil"/>
        </w:pBdr>
        <w:spacing w:line="240" w:lineRule="auto"/>
        <w:ind w:firstLine="0"/>
        <w:jc w:val="center"/>
        <w:rPr>
          <w:i/>
          <w:color w:val="000000" w:themeColor="text1"/>
          <w:sz w:val="27"/>
          <w:szCs w:val="27"/>
        </w:rPr>
      </w:pPr>
    </w:p>
    <w:p w14:paraId="39C85E20" w14:textId="77777777" w:rsidR="00D7082E" w:rsidRPr="00CA7C54" w:rsidRDefault="00D7082E" w:rsidP="007F5EEB">
      <w:pPr>
        <w:widowControl w:val="0"/>
        <w:pBdr>
          <w:top w:val="nil"/>
          <w:left w:val="nil"/>
          <w:bottom w:val="nil"/>
          <w:right w:val="nil"/>
          <w:between w:val="nil"/>
        </w:pBdr>
        <w:spacing w:line="240" w:lineRule="auto"/>
        <w:ind w:firstLine="0"/>
        <w:rPr>
          <w:i/>
          <w:color w:val="000000" w:themeColor="text1"/>
          <w:sz w:val="27"/>
          <w:szCs w:val="27"/>
        </w:rPr>
      </w:pPr>
    </w:p>
    <w:p w14:paraId="56CFCEE9" w14:textId="77777777" w:rsidR="00D7082E" w:rsidRPr="00CA7C54" w:rsidRDefault="00D7082E" w:rsidP="004A3D51">
      <w:pPr>
        <w:widowControl w:val="0"/>
        <w:pBdr>
          <w:top w:val="nil"/>
          <w:left w:val="nil"/>
          <w:bottom w:val="nil"/>
          <w:right w:val="nil"/>
          <w:between w:val="nil"/>
        </w:pBdr>
        <w:spacing w:before="0" w:line="240" w:lineRule="auto"/>
        <w:ind w:firstLine="0"/>
        <w:jc w:val="center"/>
        <w:rPr>
          <w:i/>
          <w:color w:val="000000" w:themeColor="text1"/>
          <w:sz w:val="27"/>
          <w:szCs w:val="27"/>
        </w:rPr>
      </w:pPr>
    </w:p>
    <w:p w14:paraId="7D419FF3" w14:textId="77777777" w:rsidR="00D7082E" w:rsidRPr="00CA7C54" w:rsidRDefault="00D7082E" w:rsidP="00D7082E">
      <w:pPr>
        <w:widowControl w:val="0"/>
        <w:pBdr>
          <w:top w:val="nil"/>
          <w:left w:val="nil"/>
          <w:bottom w:val="nil"/>
          <w:right w:val="nil"/>
          <w:between w:val="nil"/>
        </w:pBdr>
        <w:spacing w:line="240" w:lineRule="auto"/>
        <w:ind w:firstLine="0"/>
        <w:jc w:val="center"/>
        <w:rPr>
          <w:i/>
          <w:color w:val="000000" w:themeColor="text1"/>
          <w:sz w:val="27"/>
          <w:szCs w:val="27"/>
        </w:rPr>
      </w:pPr>
    </w:p>
    <w:p w14:paraId="59A22F47" w14:textId="77777777" w:rsidR="00D7082E" w:rsidRDefault="00D7082E" w:rsidP="00D7082E">
      <w:pPr>
        <w:widowControl w:val="0"/>
        <w:pBdr>
          <w:top w:val="nil"/>
          <w:left w:val="nil"/>
          <w:bottom w:val="nil"/>
          <w:right w:val="nil"/>
          <w:between w:val="nil"/>
        </w:pBdr>
        <w:spacing w:line="240" w:lineRule="auto"/>
        <w:ind w:firstLine="0"/>
        <w:jc w:val="center"/>
        <w:rPr>
          <w:i/>
          <w:color w:val="000000" w:themeColor="text1"/>
          <w:sz w:val="27"/>
          <w:szCs w:val="27"/>
        </w:rPr>
      </w:pPr>
    </w:p>
    <w:p w14:paraId="3DFC9654"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5"/>
          <w:szCs w:val="25"/>
        </w:rPr>
      </w:pPr>
      <w:r w:rsidRPr="00CA7C54">
        <w:rPr>
          <w:color w:val="000000" w:themeColor="text1"/>
          <w:sz w:val="25"/>
          <w:szCs w:val="25"/>
          <w:lang w:val="ru-RU"/>
        </w:rPr>
        <w:t>М</w:t>
      </w:r>
      <w:r w:rsidRPr="00CA7C54">
        <w:rPr>
          <w:color w:val="000000" w:themeColor="text1"/>
          <w:sz w:val="25"/>
          <w:szCs w:val="25"/>
        </w:rPr>
        <w:t>інінфраструктури України</w:t>
      </w:r>
    </w:p>
    <w:p w14:paraId="1E1FDEB2"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5"/>
          <w:szCs w:val="25"/>
        </w:rPr>
      </w:pPr>
      <w:r w:rsidRPr="00CA7C54">
        <w:rPr>
          <w:color w:val="000000" w:themeColor="text1"/>
          <w:sz w:val="25"/>
          <w:szCs w:val="25"/>
        </w:rPr>
        <w:t>2023</w:t>
      </w:r>
    </w:p>
    <w:p w14:paraId="47AF25C2" w14:textId="77777777" w:rsidR="00D7082E" w:rsidRPr="00CA7C54" w:rsidRDefault="00D7082E" w:rsidP="00D7082E">
      <w:pPr>
        <w:widowControl w:val="0"/>
        <w:pBdr>
          <w:top w:val="nil"/>
          <w:left w:val="nil"/>
          <w:bottom w:val="nil"/>
          <w:right w:val="nil"/>
          <w:between w:val="nil"/>
        </w:pBdr>
        <w:spacing w:before="0" w:line="240" w:lineRule="auto"/>
        <w:ind w:firstLine="0"/>
        <w:jc w:val="center"/>
        <w:rPr>
          <w:color w:val="000000" w:themeColor="text1"/>
          <w:sz w:val="25"/>
          <w:szCs w:val="25"/>
          <w:lang w:val="ru-RU"/>
        </w:rPr>
        <w:sectPr w:rsidR="00D7082E" w:rsidRPr="00CA7C54" w:rsidSect="006E7926">
          <w:pgSz w:w="11906" w:h="16838" w:code="9"/>
          <w:pgMar w:top="851" w:right="1134" w:bottom="851" w:left="1134" w:header="709" w:footer="709" w:gutter="0"/>
          <w:pgNumType w:start="1"/>
          <w:cols w:space="720"/>
          <w:titlePg/>
          <w:docGrid w:linePitch="299"/>
        </w:sectPr>
      </w:pPr>
    </w:p>
    <w:p w14:paraId="25486E2D" w14:textId="77777777" w:rsidR="00D7082E" w:rsidRPr="00CA7C54" w:rsidRDefault="00D7082E" w:rsidP="00D7082E">
      <w:pPr>
        <w:widowControl w:val="0"/>
        <w:pBdr>
          <w:top w:val="nil"/>
          <w:left w:val="nil"/>
          <w:bottom w:val="nil"/>
          <w:right w:val="nil"/>
          <w:between w:val="nil"/>
        </w:pBdr>
        <w:spacing w:before="0" w:line="288" w:lineRule="auto"/>
        <w:ind w:firstLine="0"/>
        <w:jc w:val="center"/>
        <w:rPr>
          <w:color w:val="000000" w:themeColor="text1"/>
          <w:sz w:val="25"/>
          <w:szCs w:val="25"/>
          <w:lang w:val="ru-RU"/>
        </w:rPr>
      </w:pPr>
    </w:p>
    <w:p w14:paraId="66B780FF" w14:textId="77777777" w:rsidR="003C4E04" w:rsidRDefault="001E748C" w:rsidP="00D7082E">
      <w:pPr>
        <w:widowControl w:val="0"/>
        <w:pBdr>
          <w:top w:val="nil"/>
          <w:left w:val="nil"/>
          <w:bottom w:val="nil"/>
          <w:right w:val="nil"/>
          <w:between w:val="nil"/>
        </w:pBdr>
        <w:spacing w:before="0" w:line="288" w:lineRule="auto"/>
        <w:ind w:firstLine="0"/>
        <w:jc w:val="center"/>
        <w:rPr>
          <w:b/>
          <w:bCs/>
          <w:color w:val="000000" w:themeColor="text1"/>
        </w:rPr>
      </w:pPr>
      <w:r w:rsidRPr="00CA7C54">
        <w:rPr>
          <w:b/>
          <w:bCs/>
          <w:color w:val="000000" w:themeColor="text1"/>
        </w:rPr>
        <w:t>ПЕРЕДМОВА</w:t>
      </w:r>
    </w:p>
    <w:p w14:paraId="28DCAFDF" w14:textId="77777777" w:rsidR="00867289" w:rsidRPr="00CA7C54" w:rsidRDefault="00867289" w:rsidP="00D7082E">
      <w:pPr>
        <w:widowControl w:val="0"/>
        <w:pBdr>
          <w:top w:val="nil"/>
          <w:left w:val="nil"/>
          <w:bottom w:val="nil"/>
          <w:right w:val="nil"/>
          <w:between w:val="nil"/>
        </w:pBdr>
        <w:spacing w:before="0" w:line="288" w:lineRule="auto"/>
        <w:ind w:firstLine="0"/>
        <w:jc w:val="center"/>
        <w:rPr>
          <w:b/>
          <w:bCs/>
          <w:color w:val="000000" w:themeColor="text1"/>
        </w:rPr>
      </w:pPr>
    </w:p>
    <w:tbl>
      <w:tblPr>
        <w:tblStyle w:val="affffffffffffffffffffffffffffff8"/>
        <w:tblW w:w="9600" w:type="dxa"/>
        <w:tblInd w:w="-5" w:type="dxa"/>
        <w:tblLayout w:type="fixed"/>
        <w:tblLook w:val="0000" w:firstRow="0" w:lastRow="0" w:firstColumn="0" w:lastColumn="0" w:noHBand="0" w:noVBand="0"/>
      </w:tblPr>
      <w:tblGrid>
        <w:gridCol w:w="2070"/>
        <w:gridCol w:w="7530"/>
      </w:tblGrid>
      <w:tr w:rsidR="00CA7C54" w:rsidRPr="00CA7C54" w14:paraId="5007D7FC" w14:textId="77777777" w:rsidTr="00E40099">
        <w:trPr>
          <w:trHeight w:val="2796"/>
        </w:trPr>
        <w:tc>
          <w:tcPr>
            <w:tcW w:w="2070" w:type="dxa"/>
            <w:shd w:val="clear" w:color="auto" w:fill="FFFFFF"/>
          </w:tcPr>
          <w:p w14:paraId="3553D3CE"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1 РОЗРОБЛЕНО:</w:t>
            </w:r>
          </w:p>
        </w:tc>
        <w:tc>
          <w:tcPr>
            <w:tcW w:w="7530" w:type="dxa"/>
            <w:shd w:val="clear" w:color="auto" w:fill="FFFFFF"/>
          </w:tcPr>
          <w:p w14:paraId="6BF15ED9" w14:textId="77777777" w:rsidR="0019574B" w:rsidRPr="00CA7C54" w:rsidRDefault="001E748C" w:rsidP="00D53492">
            <w:pPr>
              <w:spacing w:before="0"/>
              <w:ind w:firstLine="0"/>
              <w:rPr>
                <w:rFonts w:ascii="Arial" w:hAnsi="Arial" w:cs="Arial"/>
                <w:color w:val="000000" w:themeColor="text1"/>
                <w:spacing w:val="6"/>
                <w:sz w:val="21"/>
                <w:szCs w:val="21"/>
              </w:rPr>
            </w:pPr>
            <w:r w:rsidRPr="00CA7C54">
              <w:rPr>
                <w:rFonts w:ascii="Arial" w:hAnsi="Arial" w:cs="Arial"/>
                <w:color w:val="000000" w:themeColor="text1"/>
                <w:sz w:val="21"/>
                <w:szCs w:val="21"/>
              </w:rPr>
              <w:t>постійно діюча робоча група з розгляду питань нормативного забезпечення про</w:t>
            </w:r>
            <w:r w:rsidR="00E67004" w:rsidRPr="00CA7C54">
              <w:rPr>
                <w:rFonts w:ascii="Arial" w:hAnsi="Arial" w:cs="Arial"/>
                <w:color w:val="000000" w:themeColor="text1"/>
                <w:sz w:val="21"/>
                <w:szCs w:val="21"/>
              </w:rPr>
              <w:t>є</w:t>
            </w:r>
            <w:r w:rsidRPr="00CA7C54">
              <w:rPr>
                <w:rFonts w:ascii="Arial" w:hAnsi="Arial" w:cs="Arial"/>
                <w:color w:val="000000" w:themeColor="text1"/>
                <w:sz w:val="21"/>
                <w:szCs w:val="21"/>
              </w:rPr>
              <w:t xml:space="preserve">ктування та будівництва об’єктів цивільного захисту Науково-технічної ради Міністерства розвитку громад, територій та інфраструктури України (утворена рішенням НТР Міністерства розвитку </w:t>
            </w:r>
            <w:r w:rsidRPr="00CA7C54">
              <w:rPr>
                <w:rFonts w:ascii="Arial" w:hAnsi="Arial" w:cs="Arial"/>
                <w:color w:val="000000" w:themeColor="text1"/>
                <w:spacing w:val="6"/>
                <w:sz w:val="21"/>
                <w:szCs w:val="21"/>
              </w:rPr>
              <w:t xml:space="preserve">громад, територій та інфраструктури України, протокол № 1 від </w:t>
            </w:r>
          </w:p>
          <w:p w14:paraId="25D0A2F2"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02 червня 2023 року), робоча група з підготовки змін до державних будівельних норм у частині забезпечення захисту населення від зброї масового ураження при новому будівництві та реконструкції Науково-технічної ради Міністерства розвитку громад та територій України (утворена наказом Міністерства розвитку громад та територій України від 16 травня 2022 року № 73)</w:t>
            </w:r>
          </w:p>
        </w:tc>
      </w:tr>
      <w:tr w:rsidR="00CA7C54" w:rsidRPr="00CA7C54" w14:paraId="1F17DE1A" w14:textId="77777777" w:rsidTr="00E40099">
        <w:trPr>
          <w:trHeight w:val="2418"/>
        </w:trPr>
        <w:tc>
          <w:tcPr>
            <w:tcW w:w="2070" w:type="dxa"/>
            <w:shd w:val="clear" w:color="auto" w:fill="FFFFFF"/>
          </w:tcPr>
          <w:p w14:paraId="57F5AF9E"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РОЗРОБНИКИ:</w:t>
            </w:r>
          </w:p>
          <w:p w14:paraId="075F2EC6" w14:textId="77777777" w:rsidR="003C4E04" w:rsidRPr="00CA7C54" w:rsidRDefault="003C4E04" w:rsidP="00D7082E">
            <w:pPr>
              <w:spacing w:before="0" w:line="288" w:lineRule="auto"/>
              <w:ind w:firstLine="0"/>
              <w:rPr>
                <w:rFonts w:ascii="Arial" w:hAnsi="Arial" w:cs="Arial"/>
                <w:color w:val="000000" w:themeColor="text1"/>
                <w:sz w:val="21"/>
                <w:szCs w:val="21"/>
              </w:rPr>
            </w:pPr>
          </w:p>
        </w:tc>
        <w:tc>
          <w:tcPr>
            <w:tcW w:w="7530" w:type="dxa"/>
            <w:shd w:val="clear" w:color="auto" w:fill="FFFFFF"/>
          </w:tcPr>
          <w:p w14:paraId="69920465" w14:textId="77777777" w:rsidR="003109B7" w:rsidRPr="00CA7C54" w:rsidRDefault="001E748C" w:rsidP="00D53492">
            <w:pPr>
              <w:spacing w:before="0"/>
              <w:ind w:firstLine="0"/>
              <w:rPr>
                <w:rFonts w:ascii="Arial" w:hAnsi="Arial" w:cs="Arial"/>
                <w:color w:val="000000" w:themeColor="text1"/>
                <w:sz w:val="21"/>
                <w:szCs w:val="21"/>
              </w:rPr>
            </w:pPr>
            <w:r w:rsidRPr="00CA7C54">
              <w:rPr>
                <w:rFonts w:ascii="Arial" w:hAnsi="Arial" w:cs="Arial"/>
                <w:b/>
                <w:color w:val="000000" w:themeColor="text1"/>
                <w:sz w:val="21"/>
                <w:szCs w:val="21"/>
              </w:rPr>
              <w:t>О. Воскобійник</w:t>
            </w:r>
            <w:r w:rsidRPr="00CA7C54">
              <w:rPr>
                <w:rFonts w:ascii="Arial" w:hAnsi="Arial" w:cs="Arial"/>
                <w:color w:val="000000" w:themeColor="text1"/>
                <w:sz w:val="21"/>
                <w:szCs w:val="21"/>
              </w:rPr>
              <w:t xml:space="preserve">, д-р техн. наук, </w:t>
            </w:r>
            <w:r w:rsidRPr="00CA7C54">
              <w:rPr>
                <w:rFonts w:ascii="Arial" w:hAnsi="Arial" w:cs="Arial"/>
                <w:b/>
                <w:color w:val="000000" w:themeColor="text1"/>
                <w:sz w:val="21"/>
                <w:szCs w:val="21"/>
              </w:rPr>
              <w:t>К. Іванова</w:t>
            </w:r>
            <w:r w:rsidRPr="00CA7C54">
              <w:rPr>
                <w:rFonts w:ascii="Arial" w:hAnsi="Arial" w:cs="Arial"/>
                <w:color w:val="000000" w:themeColor="text1"/>
                <w:sz w:val="21"/>
                <w:szCs w:val="21"/>
              </w:rPr>
              <w:t xml:space="preserve">, </w:t>
            </w:r>
            <w:r w:rsidRPr="00CA7C54">
              <w:rPr>
                <w:rFonts w:ascii="Arial" w:hAnsi="Arial" w:cs="Arial"/>
                <w:b/>
                <w:color w:val="000000" w:themeColor="text1"/>
                <w:sz w:val="21"/>
                <w:szCs w:val="21"/>
              </w:rPr>
              <w:t>І. Лагунова</w:t>
            </w:r>
            <w:r w:rsidRPr="00CA7C54">
              <w:rPr>
                <w:rFonts w:ascii="Arial" w:hAnsi="Arial" w:cs="Arial"/>
                <w:color w:val="000000" w:themeColor="text1"/>
                <w:sz w:val="21"/>
                <w:szCs w:val="21"/>
              </w:rPr>
              <w:t>, доц</w:t>
            </w:r>
            <w:r w:rsidR="001643BB">
              <w:rPr>
                <w:rFonts w:ascii="Arial" w:hAnsi="Arial" w:cs="Arial"/>
                <w:color w:val="000000" w:themeColor="text1"/>
                <w:sz w:val="21"/>
                <w:szCs w:val="21"/>
              </w:rPr>
              <w:t>.</w:t>
            </w:r>
            <w:r w:rsidRPr="00CA7C54">
              <w:rPr>
                <w:rFonts w:ascii="Arial" w:hAnsi="Arial" w:cs="Arial"/>
                <w:color w:val="000000" w:themeColor="text1"/>
                <w:sz w:val="21"/>
                <w:szCs w:val="21"/>
              </w:rPr>
              <w:t xml:space="preserve">, канд. наук з державного управління, </w:t>
            </w:r>
            <w:r w:rsidRPr="00CA7C54">
              <w:rPr>
                <w:rFonts w:ascii="Arial" w:hAnsi="Arial" w:cs="Arial"/>
                <w:b/>
                <w:color w:val="000000" w:themeColor="text1"/>
                <w:sz w:val="21"/>
                <w:szCs w:val="21"/>
              </w:rPr>
              <w:t>С. Городецький</w:t>
            </w:r>
            <w:r w:rsidRPr="00CA7C54">
              <w:rPr>
                <w:rFonts w:ascii="Arial" w:hAnsi="Arial" w:cs="Arial"/>
                <w:color w:val="000000" w:themeColor="text1"/>
                <w:sz w:val="21"/>
                <w:szCs w:val="21"/>
              </w:rPr>
              <w:t xml:space="preserve">, </w:t>
            </w:r>
            <w:r w:rsidRPr="00CA7C54">
              <w:rPr>
                <w:rFonts w:ascii="Arial" w:hAnsi="Arial" w:cs="Arial"/>
                <w:b/>
                <w:color w:val="000000" w:themeColor="text1"/>
                <w:sz w:val="21"/>
                <w:szCs w:val="21"/>
              </w:rPr>
              <w:t>Н.</w:t>
            </w:r>
            <w:r w:rsidRPr="00CA7C54">
              <w:rPr>
                <w:rFonts w:ascii="Arial" w:hAnsi="Arial" w:cs="Arial"/>
                <w:color w:val="000000" w:themeColor="text1"/>
                <w:sz w:val="21"/>
                <w:szCs w:val="21"/>
              </w:rPr>
              <w:t> </w:t>
            </w:r>
            <w:r w:rsidRPr="00CA7C54">
              <w:rPr>
                <w:rFonts w:ascii="Arial" w:hAnsi="Arial" w:cs="Arial"/>
                <w:b/>
                <w:color w:val="000000" w:themeColor="text1"/>
                <w:sz w:val="21"/>
                <w:szCs w:val="21"/>
              </w:rPr>
              <w:t>Кулик</w:t>
            </w:r>
            <w:r w:rsidRPr="00CA7C54">
              <w:rPr>
                <w:rFonts w:ascii="Arial" w:hAnsi="Arial" w:cs="Arial"/>
                <w:color w:val="000000" w:themeColor="text1"/>
                <w:sz w:val="21"/>
                <w:szCs w:val="21"/>
              </w:rPr>
              <w:t xml:space="preserve">, </w:t>
            </w:r>
            <w:r w:rsidRPr="00CA7C54">
              <w:rPr>
                <w:rFonts w:ascii="Arial" w:hAnsi="Arial" w:cs="Arial"/>
                <w:b/>
                <w:color w:val="000000" w:themeColor="text1"/>
                <w:sz w:val="21"/>
                <w:szCs w:val="21"/>
              </w:rPr>
              <w:t>К. Філонич</w:t>
            </w:r>
            <w:r w:rsidRPr="00CA7C54">
              <w:rPr>
                <w:rFonts w:ascii="Arial" w:hAnsi="Arial" w:cs="Arial"/>
                <w:color w:val="000000" w:themeColor="text1"/>
                <w:sz w:val="21"/>
                <w:szCs w:val="21"/>
              </w:rPr>
              <w:t xml:space="preserve">, </w:t>
            </w:r>
          </w:p>
          <w:p w14:paraId="21BF85D0" w14:textId="77777777" w:rsidR="009E0B81" w:rsidRPr="00CA7C54" w:rsidRDefault="001E748C" w:rsidP="00D53492">
            <w:pPr>
              <w:spacing w:before="0"/>
              <w:ind w:firstLine="0"/>
              <w:rPr>
                <w:rFonts w:ascii="Arial" w:hAnsi="Arial" w:cs="Arial"/>
                <w:color w:val="000000" w:themeColor="text1"/>
                <w:sz w:val="21"/>
                <w:szCs w:val="21"/>
                <w:highlight w:val="white"/>
              </w:rPr>
            </w:pPr>
            <w:r w:rsidRPr="00CA7C54">
              <w:rPr>
                <w:rFonts w:ascii="Arial" w:hAnsi="Arial" w:cs="Arial"/>
                <w:b/>
                <w:color w:val="000000" w:themeColor="text1"/>
                <w:sz w:val="21"/>
                <w:szCs w:val="21"/>
              </w:rPr>
              <w:t>Г. Мельничук</w:t>
            </w:r>
            <w:r w:rsidRPr="00CA7C54">
              <w:rPr>
                <w:rFonts w:ascii="Arial" w:hAnsi="Arial" w:cs="Arial"/>
                <w:color w:val="000000" w:themeColor="text1"/>
                <w:sz w:val="21"/>
                <w:szCs w:val="21"/>
              </w:rPr>
              <w:t xml:space="preserve">, канд. техн. наук (Міністерство розвитку громад, територій та інфраструктури України), </w:t>
            </w:r>
            <w:r w:rsidRPr="00CA7C54">
              <w:rPr>
                <w:rFonts w:ascii="Arial" w:hAnsi="Arial" w:cs="Arial"/>
                <w:b/>
                <w:color w:val="000000" w:themeColor="text1"/>
                <w:sz w:val="21"/>
                <w:szCs w:val="21"/>
              </w:rPr>
              <w:t>В. Міщенко</w:t>
            </w:r>
            <w:r w:rsidRPr="00CA7C54">
              <w:rPr>
                <w:rFonts w:ascii="Arial" w:hAnsi="Arial" w:cs="Arial"/>
                <w:color w:val="000000" w:themeColor="text1"/>
                <w:sz w:val="21"/>
                <w:szCs w:val="21"/>
              </w:rPr>
              <w:t xml:space="preserve"> (Міністерство освіт</w:t>
            </w:r>
            <w:r w:rsidRPr="00CA7C54">
              <w:rPr>
                <w:rFonts w:ascii="Arial" w:hAnsi="Arial" w:cs="Arial"/>
                <w:color w:val="000000" w:themeColor="text1"/>
                <w:sz w:val="21"/>
                <w:szCs w:val="21"/>
                <w:highlight w:val="white"/>
              </w:rPr>
              <w:t xml:space="preserve">и і науки України), </w:t>
            </w:r>
            <w:r w:rsidRPr="00CA7C54">
              <w:rPr>
                <w:rFonts w:ascii="Arial" w:hAnsi="Arial" w:cs="Arial"/>
                <w:b/>
                <w:color w:val="000000" w:themeColor="text1"/>
                <w:sz w:val="21"/>
                <w:szCs w:val="21"/>
                <w:highlight w:val="white"/>
              </w:rPr>
              <w:t>О. Мороз</w:t>
            </w:r>
            <w:r w:rsidRPr="00CA7C54">
              <w:rPr>
                <w:rFonts w:ascii="Arial" w:hAnsi="Arial" w:cs="Arial"/>
                <w:color w:val="000000" w:themeColor="text1"/>
                <w:sz w:val="21"/>
                <w:szCs w:val="21"/>
                <w:highlight w:val="white"/>
              </w:rPr>
              <w:t xml:space="preserve"> (Міністерство соціальної політики України), </w:t>
            </w:r>
            <w:r w:rsidRPr="00CA7C54">
              <w:rPr>
                <w:rFonts w:ascii="Arial" w:hAnsi="Arial" w:cs="Arial"/>
                <w:b/>
                <w:color w:val="000000" w:themeColor="text1"/>
                <w:sz w:val="21"/>
                <w:szCs w:val="21"/>
                <w:highlight w:val="white"/>
              </w:rPr>
              <w:t>А. Шроль</w:t>
            </w:r>
            <w:r w:rsidRPr="00CA7C54">
              <w:rPr>
                <w:rFonts w:ascii="Arial" w:hAnsi="Arial" w:cs="Arial"/>
                <w:color w:val="000000" w:themeColor="text1"/>
                <w:sz w:val="21"/>
                <w:szCs w:val="21"/>
                <w:highlight w:val="white"/>
              </w:rPr>
              <w:t xml:space="preserve"> (Міністерство цифрової трансформації України),</w:t>
            </w:r>
          </w:p>
          <w:p w14:paraId="4B7D3E59" w14:textId="77777777" w:rsidR="0019574B" w:rsidRPr="00CA7C54" w:rsidRDefault="001E748C" w:rsidP="00D53492">
            <w:pPr>
              <w:spacing w:before="0"/>
              <w:ind w:firstLine="0"/>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В. Коцюруба</w:t>
            </w:r>
            <w:r w:rsidRPr="00CA7C54">
              <w:rPr>
                <w:rFonts w:ascii="Arial" w:hAnsi="Arial" w:cs="Arial"/>
                <w:color w:val="000000" w:themeColor="text1"/>
                <w:sz w:val="21"/>
                <w:szCs w:val="21"/>
                <w:highlight w:val="white"/>
              </w:rPr>
              <w:t xml:space="preserve">, д-р техн. наук, </w:t>
            </w:r>
            <w:r w:rsidRPr="00CA7C54">
              <w:rPr>
                <w:rFonts w:ascii="Arial" w:hAnsi="Arial" w:cs="Arial"/>
                <w:b/>
                <w:color w:val="000000" w:themeColor="text1"/>
                <w:sz w:val="21"/>
                <w:szCs w:val="21"/>
                <w:highlight w:val="white"/>
              </w:rPr>
              <w:t xml:space="preserve">А. Білик, </w:t>
            </w:r>
            <w:r w:rsidRPr="00CA7C54">
              <w:rPr>
                <w:rFonts w:ascii="Arial" w:hAnsi="Arial" w:cs="Arial"/>
                <w:color w:val="000000" w:themeColor="text1"/>
                <w:sz w:val="21"/>
                <w:szCs w:val="21"/>
                <w:highlight w:val="white"/>
              </w:rPr>
              <w:t xml:space="preserve">канд. техн. наук (Центральне воєнно-наукове управління Генерального штабу Збройних Сил України), </w:t>
            </w:r>
            <w:r w:rsidRPr="00CA7C54">
              <w:rPr>
                <w:rFonts w:ascii="Arial" w:hAnsi="Arial" w:cs="Arial"/>
                <w:b/>
                <w:color w:val="000000" w:themeColor="text1"/>
                <w:sz w:val="21"/>
                <w:szCs w:val="21"/>
                <w:highlight w:val="white"/>
              </w:rPr>
              <w:t>О. Лещенко</w:t>
            </w:r>
            <w:r w:rsidRPr="00CA7C54">
              <w:rPr>
                <w:rFonts w:ascii="Arial" w:hAnsi="Arial" w:cs="Arial"/>
                <w:color w:val="000000" w:themeColor="text1"/>
                <w:sz w:val="21"/>
                <w:szCs w:val="21"/>
                <w:highlight w:val="white"/>
              </w:rPr>
              <w:t>,</w:t>
            </w:r>
            <w:r w:rsidRPr="00CA7C54">
              <w:rPr>
                <w:rFonts w:ascii="Arial" w:hAnsi="Arial" w:cs="Arial"/>
                <w:b/>
                <w:color w:val="000000" w:themeColor="text1"/>
                <w:sz w:val="21"/>
                <w:szCs w:val="21"/>
                <w:highlight w:val="white"/>
              </w:rPr>
              <w:t>В. Коваленко, П. Кулик, С. Ободовський</w:t>
            </w:r>
            <w:r w:rsidRPr="00CA7C54">
              <w:rPr>
                <w:rFonts w:ascii="Arial" w:hAnsi="Arial" w:cs="Arial"/>
                <w:color w:val="000000" w:themeColor="text1"/>
                <w:sz w:val="21"/>
                <w:szCs w:val="21"/>
                <w:highlight w:val="white"/>
              </w:rPr>
              <w:t xml:space="preserve"> (Державна служба України з надзвичайних ситуацій),</w:t>
            </w:r>
            <w:r w:rsidRPr="00CA7C54">
              <w:rPr>
                <w:rFonts w:ascii="Arial" w:hAnsi="Arial" w:cs="Arial"/>
                <w:b/>
                <w:color w:val="000000" w:themeColor="text1"/>
                <w:sz w:val="21"/>
                <w:szCs w:val="21"/>
                <w:highlight w:val="white"/>
              </w:rPr>
              <w:t>Ф. Валітов</w:t>
            </w:r>
            <w:r w:rsidRPr="00CA7C54">
              <w:rPr>
                <w:rFonts w:ascii="Arial" w:hAnsi="Arial" w:cs="Arial"/>
                <w:color w:val="000000" w:themeColor="text1"/>
                <w:sz w:val="21"/>
                <w:szCs w:val="21"/>
                <w:highlight w:val="white"/>
              </w:rPr>
              <w:t xml:space="preserve"> (ДП Міністерства оборони України «Центральний проектний інститут»)</w:t>
            </w:r>
            <w:r w:rsidRPr="00CA7C54">
              <w:rPr>
                <w:rFonts w:ascii="Arial" w:hAnsi="Arial" w:cs="Arial"/>
                <w:b/>
                <w:color w:val="000000" w:themeColor="text1"/>
                <w:sz w:val="21"/>
                <w:szCs w:val="21"/>
                <w:highlight w:val="white"/>
              </w:rPr>
              <w:t>, О. Мацько</w:t>
            </w:r>
            <w:r w:rsidRPr="00CA7C54">
              <w:rPr>
                <w:rFonts w:ascii="Arial" w:hAnsi="Arial" w:cs="Arial"/>
                <w:color w:val="000000" w:themeColor="text1"/>
                <w:sz w:val="21"/>
                <w:szCs w:val="21"/>
                <w:highlight w:val="white"/>
              </w:rPr>
              <w:t>, кандидат військових наук,</w:t>
            </w:r>
            <w:r w:rsidRPr="00CA7C54">
              <w:rPr>
                <w:rFonts w:ascii="Arial" w:hAnsi="Arial" w:cs="Arial"/>
                <w:b/>
                <w:color w:val="000000" w:themeColor="text1"/>
                <w:sz w:val="21"/>
                <w:szCs w:val="21"/>
                <w:highlight w:val="white"/>
              </w:rPr>
              <w:t xml:space="preserve"> І. Білоус, </w:t>
            </w:r>
            <w:r w:rsidRPr="00CA7C54">
              <w:rPr>
                <w:rFonts w:ascii="Arial" w:hAnsi="Arial" w:cs="Arial"/>
                <w:color w:val="000000" w:themeColor="text1"/>
                <w:sz w:val="21"/>
                <w:szCs w:val="21"/>
                <w:highlight w:val="white"/>
              </w:rPr>
              <w:t>(Інститут логістики та підтримки військ (сил) Національного університету оборони України),</w:t>
            </w:r>
          </w:p>
          <w:p w14:paraId="1ECDC89B" w14:textId="77777777" w:rsidR="00686653" w:rsidRPr="00C35057" w:rsidRDefault="001E748C" w:rsidP="00D53492">
            <w:pPr>
              <w:spacing w:before="0"/>
              <w:ind w:firstLine="0"/>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І. Чепков</w:t>
            </w:r>
            <w:r w:rsidRPr="00CA7C54">
              <w:rPr>
                <w:rFonts w:ascii="Arial" w:hAnsi="Arial" w:cs="Arial"/>
                <w:color w:val="000000" w:themeColor="text1"/>
                <w:sz w:val="21"/>
                <w:szCs w:val="21"/>
                <w:highlight w:val="white"/>
              </w:rPr>
              <w:t>, д-р техн. наук</w:t>
            </w:r>
            <w:r w:rsidRPr="00CA7C54">
              <w:rPr>
                <w:rFonts w:ascii="Arial" w:hAnsi="Arial" w:cs="Arial"/>
                <w:b/>
                <w:color w:val="000000" w:themeColor="text1"/>
                <w:sz w:val="21"/>
                <w:szCs w:val="21"/>
                <w:highlight w:val="white"/>
              </w:rPr>
              <w:t>, О. Колос, В. Марченко</w:t>
            </w:r>
            <w:r w:rsidRPr="00CA7C54">
              <w:rPr>
                <w:rFonts w:ascii="Arial" w:hAnsi="Arial" w:cs="Arial"/>
                <w:color w:val="000000" w:themeColor="text1"/>
                <w:sz w:val="21"/>
                <w:szCs w:val="21"/>
                <w:highlight w:val="white"/>
              </w:rPr>
              <w:t xml:space="preserve"> (Центральний науково-дослідний інститут озброєння та військової техніки Збройних Сил України), </w:t>
            </w:r>
            <w:r w:rsidRPr="00CA7C54">
              <w:rPr>
                <w:rFonts w:ascii="Arial" w:hAnsi="Arial" w:cs="Arial"/>
                <w:b/>
                <w:color w:val="000000" w:themeColor="text1"/>
                <w:sz w:val="21"/>
                <w:szCs w:val="21"/>
                <w:highlight w:val="white"/>
              </w:rPr>
              <w:t xml:space="preserve">В. Коваленко, В. Ніжник, </w:t>
            </w:r>
            <w:r w:rsidRPr="00CA7C54">
              <w:rPr>
                <w:rFonts w:ascii="Arial" w:hAnsi="Arial" w:cs="Arial"/>
                <w:color w:val="000000" w:themeColor="text1"/>
                <w:sz w:val="21"/>
                <w:szCs w:val="21"/>
                <w:highlight w:val="white"/>
              </w:rPr>
              <w:t>д-р техн. наук</w:t>
            </w:r>
            <w:r w:rsidRPr="00CA7C54">
              <w:rPr>
                <w:rFonts w:ascii="Arial" w:hAnsi="Arial" w:cs="Arial"/>
                <w:b/>
                <w:color w:val="000000" w:themeColor="text1"/>
                <w:sz w:val="21"/>
                <w:szCs w:val="21"/>
                <w:highlight w:val="white"/>
              </w:rPr>
              <w:t xml:space="preserve">, Б. Овчаренко, </w:t>
            </w:r>
          </w:p>
          <w:p w14:paraId="5795A7D7" w14:textId="77777777" w:rsidR="00F45C60" w:rsidRPr="00CA7C54" w:rsidRDefault="001E748C" w:rsidP="00D53492">
            <w:pPr>
              <w:spacing w:before="0"/>
              <w:ind w:firstLine="0"/>
              <w:rPr>
                <w:rFonts w:ascii="Arial" w:hAnsi="Arial" w:cs="Arial"/>
                <w:color w:val="000000" w:themeColor="text1"/>
                <w:sz w:val="21"/>
                <w:szCs w:val="21"/>
              </w:rPr>
            </w:pPr>
            <w:r w:rsidRPr="00CA7C54">
              <w:rPr>
                <w:rFonts w:ascii="Arial" w:hAnsi="Arial" w:cs="Arial"/>
                <w:b/>
                <w:color w:val="000000" w:themeColor="text1"/>
                <w:sz w:val="21"/>
                <w:szCs w:val="21"/>
                <w:highlight w:val="white"/>
              </w:rPr>
              <w:t>Г. Трунцев</w:t>
            </w:r>
            <w:r w:rsidRPr="00CA7C54">
              <w:rPr>
                <w:rFonts w:ascii="Arial" w:hAnsi="Arial" w:cs="Arial"/>
                <w:color w:val="000000" w:themeColor="text1"/>
                <w:sz w:val="21"/>
                <w:szCs w:val="21"/>
                <w:highlight w:val="white"/>
              </w:rPr>
              <w:t xml:space="preserve"> (Інститут державного</w:t>
            </w:r>
            <w:r w:rsidRPr="00CA7C54">
              <w:rPr>
                <w:rFonts w:ascii="Arial" w:hAnsi="Arial" w:cs="Arial"/>
                <w:color w:val="000000" w:themeColor="text1"/>
                <w:sz w:val="21"/>
                <w:szCs w:val="21"/>
              </w:rPr>
              <w:t xml:space="preserve"> управління та наукових досліджень з цивільного захисту Державної служби України з надзвичайних ситуацій), </w:t>
            </w:r>
            <w:r w:rsidRPr="00CA7C54">
              <w:rPr>
                <w:rFonts w:ascii="Arial" w:hAnsi="Arial" w:cs="Arial"/>
                <w:b/>
                <w:color w:val="000000" w:themeColor="text1"/>
                <w:sz w:val="21"/>
                <w:szCs w:val="21"/>
              </w:rPr>
              <w:t>А. Бамбура</w:t>
            </w:r>
            <w:r w:rsidRPr="00CA7C54">
              <w:rPr>
                <w:rFonts w:ascii="Arial" w:hAnsi="Arial" w:cs="Arial"/>
                <w:color w:val="000000" w:themeColor="text1"/>
                <w:sz w:val="21"/>
                <w:szCs w:val="21"/>
              </w:rPr>
              <w:t xml:space="preserve">,д-р техн. наук, професор (ДП «Державний науково-дослідний інститут будівельних конструкцій»), </w:t>
            </w:r>
            <w:r w:rsidRPr="00CA7C54">
              <w:rPr>
                <w:rFonts w:ascii="Arial" w:hAnsi="Arial" w:cs="Arial"/>
                <w:b/>
                <w:color w:val="000000" w:themeColor="text1"/>
                <w:sz w:val="21"/>
                <w:szCs w:val="21"/>
              </w:rPr>
              <w:t>В. Гранкіна</w:t>
            </w:r>
            <w:r w:rsidRPr="00CA7C54">
              <w:rPr>
                <w:rFonts w:ascii="Arial" w:hAnsi="Arial" w:cs="Arial"/>
                <w:color w:val="000000" w:themeColor="text1"/>
                <w:sz w:val="21"/>
                <w:szCs w:val="21"/>
              </w:rPr>
              <w:t xml:space="preserve">, канд. техн. наук, доцент, </w:t>
            </w:r>
            <w:r w:rsidRPr="00CA7C54">
              <w:rPr>
                <w:rFonts w:ascii="Arial" w:hAnsi="Arial" w:cs="Arial"/>
                <w:b/>
                <w:color w:val="000000" w:themeColor="text1"/>
                <w:sz w:val="21"/>
                <w:szCs w:val="21"/>
              </w:rPr>
              <w:t>О. Калмиков</w:t>
            </w:r>
            <w:r w:rsidRPr="00CA7C54">
              <w:rPr>
                <w:rFonts w:ascii="Arial" w:hAnsi="Arial" w:cs="Arial"/>
                <w:color w:val="000000" w:themeColor="text1"/>
                <w:sz w:val="21"/>
                <w:szCs w:val="21"/>
              </w:rPr>
              <w:t xml:space="preserve">, канд. техн. наук, доцент (Харківський національний університет міського господарства імені О.М. Бекетова), </w:t>
            </w:r>
            <w:r w:rsidRPr="00CA7C54">
              <w:rPr>
                <w:rFonts w:ascii="Arial" w:hAnsi="Arial" w:cs="Arial"/>
                <w:b/>
                <w:color w:val="000000" w:themeColor="text1"/>
                <w:sz w:val="21"/>
                <w:szCs w:val="21"/>
              </w:rPr>
              <w:t>Ю. Ковальов</w:t>
            </w:r>
            <w:r w:rsidRPr="00CA7C54">
              <w:rPr>
                <w:rFonts w:ascii="Arial" w:hAnsi="Arial" w:cs="Arial"/>
                <w:color w:val="000000" w:themeColor="text1"/>
                <w:sz w:val="21"/>
                <w:szCs w:val="21"/>
              </w:rPr>
              <w:t xml:space="preserve">, заслужений архітектор України (Український державний науково-дослідний та проектний інститут «УкрНДІпроектреставрація»), </w:t>
            </w:r>
            <w:r w:rsidRPr="00CA7C54">
              <w:rPr>
                <w:rFonts w:ascii="Arial" w:hAnsi="Arial" w:cs="Arial"/>
                <w:b/>
                <w:color w:val="000000" w:themeColor="text1"/>
                <w:sz w:val="21"/>
                <w:szCs w:val="21"/>
              </w:rPr>
              <w:t>С.  Краток</w:t>
            </w:r>
            <w:r w:rsidRPr="00CA7C54">
              <w:rPr>
                <w:rFonts w:ascii="Arial" w:hAnsi="Arial" w:cs="Arial"/>
                <w:color w:val="000000" w:themeColor="text1"/>
                <w:sz w:val="21"/>
                <w:szCs w:val="21"/>
              </w:rPr>
              <w:t xml:space="preserve"> (Український державний науково-дослідний і проектно-вишукувальний інститут «УкрНДІводоканалпроект»), </w:t>
            </w:r>
            <w:r w:rsidRPr="00CA7C54">
              <w:rPr>
                <w:rFonts w:ascii="Arial" w:hAnsi="Arial" w:cs="Arial"/>
                <w:b/>
                <w:color w:val="000000" w:themeColor="text1"/>
                <w:sz w:val="21"/>
                <w:szCs w:val="21"/>
              </w:rPr>
              <w:t>О. Кордун, С. Облакевич</w:t>
            </w:r>
            <w:r w:rsidRPr="00CA7C54">
              <w:rPr>
                <w:rFonts w:ascii="Arial" w:hAnsi="Arial" w:cs="Arial"/>
                <w:color w:val="000000" w:themeColor="text1"/>
                <w:sz w:val="21"/>
                <w:szCs w:val="21"/>
              </w:rPr>
              <w:t xml:space="preserve">  (ТОВ «Український інститут сталевих конструкцій імені В.М. Шимановського»), </w:t>
            </w:r>
            <w:r w:rsidRPr="00CA7C54">
              <w:rPr>
                <w:rFonts w:ascii="Arial" w:hAnsi="Arial" w:cs="Arial"/>
                <w:b/>
                <w:color w:val="000000" w:themeColor="text1"/>
                <w:sz w:val="21"/>
                <w:szCs w:val="21"/>
              </w:rPr>
              <w:t>В. Шосталь</w:t>
            </w:r>
            <w:r w:rsidRPr="00CA7C54">
              <w:rPr>
                <w:rFonts w:ascii="Arial" w:hAnsi="Arial" w:cs="Arial"/>
                <w:color w:val="000000" w:themeColor="text1"/>
                <w:sz w:val="21"/>
                <w:szCs w:val="21"/>
              </w:rPr>
              <w:t xml:space="preserve"> (ТОВ «Київський домобудівний комбінат»), </w:t>
            </w:r>
            <w:r w:rsidRPr="00CA7C54">
              <w:rPr>
                <w:rFonts w:ascii="Arial" w:hAnsi="Arial" w:cs="Arial"/>
                <w:b/>
                <w:color w:val="000000" w:themeColor="text1"/>
                <w:sz w:val="21"/>
                <w:szCs w:val="21"/>
              </w:rPr>
              <w:t>О. Михайленко, А. Плакунов</w:t>
            </w:r>
            <w:r w:rsidRPr="00CA7C54">
              <w:rPr>
                <w:rFonts w:ascii="Arial" w:hAnsi="Arial" w:cs="Arial"/>
                <w:color w:val="000000" w:themeColor="text1"/>
                <w:sz w:val="21"/>
                <w:szCs w:val="21"/>
              </w:rPr>
              <w:t xml:space="preserve"> (ДП «Науково-дослідного та проектно-вишукувального інституту «НДІпроектреконструкція»), </w:t>
            </w:r>
            <w:r w:rsidRPr="00CA7C54">
              <w:rPr>
                <w:rFonts w:ascii="Arial" w:hAnsi="Arial" w:cs="Arial"/>
                <w:b/>
                <w:color w:val="000000" w:themeColor="text1"/>
                <w:sz w:val="21"/>
                <w:szCs w:val="21"/>
              </w:rPr>
              <w:t>Д. Кочкарьов</w:t>
            </w:r>
            <w:r w:rsidRPr="00CA7C54">
              <w:rPr>
                <w:rFonts w:ascii="Arial" w:hAnsi="Arial" w:cs="Arial"/>
                <w:color w:val="000000" w:themeColor="text1"/>
                <w:sz w:val="21"/>
                <w:szCs w:val="21"/>
              </w:rPr>
              <w:t>, д-р техн. наук,</w:t>
            </w:r>
          </w:p>
          <w:p w14:paraId="2354D287" w14:textId="77777777" w:rsidR="00686653" w:rsidRPr="00C35057" w:rsidRDefault="001E748C" w:rsidP="00D53492">
            <w:pPr>
              <w:spacing w:before="0"/>
              <w:ind w:firstLine="0"/>
              <w:rPr>
                <w:rFonts w:ascii="Arial" w:hAnsi="Arial" w:cs="Arial"/>
                <w:color w:val="000000" w:themeColor="text1"/>
                <w:sz w:val="21"/>
                <w:szCs w:val="21"/>
                <w:lang w:val="ru-RU"/>
              </w:rPr>
            </w:pPr>
            <w:r w:rsidRPr="00CA7C54">
              <w:rPr>
                <w:rFonts w:ascii="Arial" w:hAnsi="Arial" w:cs="Arial"/>
                <w:b/>
                <w:color w:val="000000" w:themeColor="text1"/>
                <w:sz w:val="21"/>
                <w:szCs w:val="21"/>
              </w:rPr>
              <w:t>Є. Бабич</w:t>
            </w:r>
            <w:r w:rsidRPr="00CA7C54">
              <w:rPr>
                <w:rFonts w:ascii="Arial" w:hAnsi="Arial" w:cs="Arial"/>
                <w:color w:val="000000" w:themeColor="text1"/>
                <w:sz w:val="21"/>
                <w:szCs w:val="21"/>
              </w:rPr>
              <w:t xml:space="preserve">, д-р техн. наук, (Національний університет водного господарства та природокористування), </w:t>
            </w:r>
            <w:r w:rsidRPr="00CA7C54">
              <w:rPr>
                <w:rFonts w:ascii="Arial" w:hAnsi="Arial" w:cs="Arial"/>
                <w:b/>
                <w:color w:val="000000" w:themeColor="text1"/>
                <w:sz w:val="21"/>
                <w:szCs w:val="21"/>
              </w:rPr>
              <w:t xml:space="preserve">Т. Жидкова, </w:t>
            </w:r>
            <w:r w:rsidRPr="00CA7C54">
              <w:rPr>
                <w:rFonts w:ascii="Arial" w:hAnsi="Arial" w:cs="Arial"/>
                <w:color w:val="000000" w:themeColor="text1"/>
                <w:sz w:val="21"/>
                <w:szCs w:val="21"/>
              </w:rPr>
              <w:t xml:space="preserve">канд. техн. наук (Національний авіаційний університет), </w:t>
            </w:r>
            <w:r w:rsidRPr="00CA7C54">
              <w:rPr>
                <w:rFonts w:ascii="Arial" w:hAnsi="Arial" w:cs="Arial"/>
                <w:b/>
                <w:color w:val="000000" w:themeColor="text1"/>
                <w:sz w:val="21"/>
                <w:szCs w:val="21"/>
              </w:rPr>
              <w:t>В. Махнюк</w:t>
            </w:r>
            <w:r w:rsidRPr="00CA7C54">
              <w:rPr>
                <w:rFonts w:ascii="Arial" w:hAnsi="Arial" w:cs="Arial"/>
                <w:color w:val="000000" w:themeColor="text1"/>
                <w:sz w:val="21"/>
                <w:szCs w:val="21"/>
              </w:rPr>
              <w:t xml:space="preserve">, д-р медичних наук, професор (ДУ «Інститут громадського здоров’я ім. О.М. Марзєєва Національної академії медичних наук України»), </w:t>
            </w:r>
            <w:r w:rsidRPr="00CA7C54">
              <w:rPr>
                <w:rFonts w:ascii="Arial" w:hAnsi="Arial" w:cs="Arial"/>
                <w:b/>
                <w:color w:val="000000" w:themeColor="text1"/>
                <w:sz w:val="21"/>
                <w:szCs w:val="21"/>
              </w:rPr>
              <w:t>Р. Колесник</w:t>
            </w:r>
            <w:r w:rsidRPr="00CA7C54">
              <w:rPr>
                <w:rFonts w:ascii="Arial" w:hAnsi="Arial" w:cs="Arial"/>
                <w:color w:val="000000" w:themeColor="text1"/>
                <w:sz w:val="21"/>
                <w:szCs w:val="21"/>
              </w:rPr>
              <w:t xml:space="preserve"> (ДУ «Центр громадського здоров’я Міністерства охорони здоров’я України»), </w:t>
            </w:r>
          </w:p>
          <w:p w14:paraId="081D3C58" w14:textId="77777777" w:rsidR="00686653" w:rsidRPr="00C35057" w:rsidRDefault="001E748C" w:rsidP="00D53492">
            <w:pPr>
              <w:spacing w:before="0"/>
              <w:ind w:firstLine="0"/>
              <w:rPr>
                <w:rFonts w:ascii="Arial" w:hAnsi="Arial" w:cs="Arial"/>
                <w:color w:val="000000" w:themeColor="text1"/>
                <w:sz w:val="21"/>
                <w:szCs w:val="21"/>
                <w:lang w:val="ru-RU"/>
              </w:rPr>
            </w:pPr>
            <w:r w:rsidRPr="00CA7C54">
              <w:rPr>
                <w:rFonts w:ascii="Arial" w:hAnsi="Arial" w:cs="Arial"/>
                <w:b/>
                <w:color w:val="000000" w:themeColor="text1"/>
                <w:sz w:val="21"/>
                <w:szCs w:val="21"/>
              </w:rPr>
              <w:t>А. Нечепорчук</w:t>
            </w:r>
            <w:r w:rsidRPr="00CA7C54">
              <w:rPr>
                <w:rFonts w:ascii="Arial" w:hAnsi="Arial" w:cs="Arial"/>
                <w:color w:val="000000" w:themeColor="text1"/>
                <w:sz w:val="21"/>
                <w:szCs w:val="21"/>
              </w:rPr>
              <w:t xml:space="preserve">, канд. техн. наук (ВГО «Асоціація експертів будівельної галузі»), </w:t>
            </w:r>
            <w:r w:rsidRPr="00CA7C54">
              <w:rPr>
                <w:rFonts w:ascii="Arial" w:hAnsi="Arial" w:cs="Arial"/>
                <w:b/>
                <w:color w:val="000000" w:themeColor="text1"/>
                <w:sz w:val="21"/>
                <w:szCs w:val="21"/>
              </w:rPr>
              <w:t>В. Носенко</w:t>
            </w:r>
            <w:r w:rsidRPr="00CA7C54">
              <w:rPr>
                <w:rFonts w:ascii="Arial" w:hAnsi="Arial" w:cs="Arial"/>
                <w:color w:val="000000" w:themeColor="text1"/>
                <w:sz w:val="21"/>
                <w:szCs w:val="21"/>
              </w:rPr>
              <w:t xml:space="preserve">, канд. техн. наук, </w:t>
            </w:r>
            <w:r w:rsidRPr="00CA7C54">
              <w:rPr>
                <w:rFonts w:ascii="Arial" w:hAnsi="Arial" w:cs="Arial"/>
                <w:b/>
                <w:color w:val="000000" w:themeColor="text1"/>
                <w:sz w:val="21"/>
                <w:szCs w:val="21"/>
              </w:rPr>
              <w:t>А. Плешкановська</w:t>
            </w:r>
            <w:r w:rsidRPr="00CA7C54">
              <w:rPr>
                <w:rFonts w:ascii="Arial" w:hAnsi="Arial" w:cs="Arial"/>
                <w:color w:val="000000" w:themeColor="text1"/>
                <w:sz w:val="21"/>
                <w:szCs w:val="21"/>
              </w:rPr>
              <w:t xml:space="preserve">, д-р техн. наук, </w:t>
            </w:r>
            <w:r w:rsidRPr="00CA7C54">
              <w:rPr>
                <w:rFonts w:ascii="Arial" w:hAnsi="Arial" w:cs="Arial"/>
                <w:color w:val="000000" w:themeColor="text1"/>
                <w:sz w:val="21"/>
                <w:szCs w:val="21"/>
              </w:rPr>
              <w:lastRenderedPageBreak/>
              <w:t xml:space="preserve">член-кореспондент Української Академії архітектури (Київський національний університет будівництва і архітектури), </w:t>
            </w:r>
            <w:r w:rsidRPr="00CA7C54">
              <w:rPr>
                <w:rFonts w:ascii="Arial" w:hAnsi="Arial" w:cs="Arial"/>
                <w:b/>
                <w:color w:val="000000" w:themeColor="text1"/>
                <w:sz w:val="21"/>
                <w:szCs w:val="21"/>
              </w:rPr>
              <w:t>О. Борт</w:t>
            </w:r>
            <w:r w:rsidRPr="00CA7C54">
              <w:rPr>
                <w:rFonts w:ascii="Arial" w:hAnsi="Arial" w:cs="Arial"/>
                <w:color w:val="000000" w:themeColor="text1"/>
                <w:sz w:val="21"/>
                <w:szCs w:val="21"/>
              </w:rPr>
              <w:t xml:space="preserve">, канд. техн. наук, </w:t>
            </w:r>
            <w:r w:rsidRPr="00CA7C54">
              <w:rPr>
                <w:rFonts w:ascii="Arial" w:hAnsi="Arial" w:cs="Arial"/>
                <w:b/>
                <w:color w:val="000000" w:themeColor="text1"/>
                <w:sz w:val="21"/>
                <w:szCs w:val="21"/>
              </w:rPr>
              <w:t>С. Скляренко,</w:t>
            </w:r>
            <w:r w:rsidRPr="00CA7C54">
              <w:rPr>
                <w:rFonts w:ascii="Arial" w:hAnsi="Arial" w:cs="Arial"/>
                <w:color w:val="000000" w:themeColor="text1"/>
                <w:sz w:val="21"/>
                <w:szCs w:val="21"/>
              </w:rPr>
              <w:t xml:space="preserve"> канд. техн. наук, доцент (ПП «Полтава-проект»), </w:t>
            </w:r>
          </w:p>
          <w:p w14:paraId="64A0B164" w14:textId="77777777" w:rsidR="00686653" w:rsidRPr="00C35057" w:rsidRDefault="001E748C" w:rsidP="00D53492">
            <w:pPr>
              <w:spacing w:before="0"/>
              <w:ind w:firstLine="0"/>
              <w:rPr>
                <w:rFonts w:ascii="Arial" w:hAnsi="Arial" w:cs="Arial"/>
                <w:b/>
                <w:color w:val="000000" w:themeColor="text1"/>
                <w:sz w:val="21"/>
                <w:szCs w:val="21"/>
                <w:lang w:val="ru-RU"/>
              </w:rPr>
            </w:pPr>
            <w:r w:rsidRPr="00CA7C54">
              <w:rPr>
                <w:rFonts w:ascii="Arial" w:hAnsi="Arial" w:cs="Arial"/>
                <w:b/>
                <w:color w:val="000000" w:themeColor="text1"/>
                <w:sz w:val="21"/>
                <w:szCs w:val="21"/>
              </w:rPr>
              <w:t>Д. Дахнєвскі</w:t>
            </w:r>
            <w:r w:rsidRPr="00CA7C54">
              <w:rPr>
                <w:rFonts w:ascii="Arial" w:hAnsi="Arial" w:cs="Arial"/>
                <w:color w:val="000000" w:themeColor="text1"/>
                <w:sz w:val="21"/>
                <w:szCs w:val="21"/>
              </w:rPr>
              <w:t xml:space="preserve"> (Архітектурне бюро «Dahnevsky Architects»), </w:t>
            </w:r>
            <w:r w:rsidRPr="00CA7C54">
              <w:rPr>
                <w:rFonts w:ascii="Arial" w:hAnsi="Arial" w:cs="Arial"/>
                <w:b/>
                <w:color w:val="000000" w:themeColor="text1"/>
                <w:sz w:val="21"/>
                <w:szCs w:val="21"/>
              </w:rPr>
              <w:t>Г. Іскаердо,</w:t>
            </w:r>
          </w:p>
          <w:p w14:paraId="03C236BA" w14:textId="77777777" w:rsidR="00B17499" w:rsidRPr="00CA7C54" w:rsidRDefault="001E748C" w:rsidP="00D53492">
            <w:pPr>
              <w:spacing w:before="0"/>
              <w:ind w:firstLine="0"/>
              <w:rPr>
                <w:rFonts w:ascii="Arial" w:hAnsi="Arial" w:cs="Arial"/>
                <w:color w:val="000000" w:themeColor="text1"/>
                <w:sz w:val="21"/>
                <w:szCs w:val="21"/>
              </w:rPr>
            </w:pPr>
            <w:r w:rsidRPr="00CA7C54">
              <w:rPr>
                <w:rFonts w:ascii="Arial" w:hAnsi="Arial" w:cs="Arial"/>
                <w:b/>
                <w:color w:val="000000" w:themeColor="text1"/>
                <w:sz w:val="21"/>
                <w:szCs w:val="21"/>
              </w:rPr>
              <w:t>М. Мятко</w:t>
            </w:r>
            <w:r w:rsidRPr="00CA7C54">
              <w:rPr>
                <w:rFonts w:ascii="Arial" w:hAnsi="Arial" w:cs="Arial"/>
                <w:color w:val="000000" w:themeColor="text1"/>
                <w:sz w:val="21"/>
                <w:szCs w:val="21"/>
              </w:rPr>
              <w:t xml:space="preserve"> (ТОВ «АІММ-ГРУП»),</w:t>
            </w:r>
          </w:p>
          <w:p w14:paraId="4CBA388A"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b/>
                <w:color w:val="000000" w:themeColor="text1"/>
                <w:sz w:val="21"/>
                <w:szCs w:val="21"/>
              </w:rPr>
              <w:t>Б. Богданець</w:t>
            </w:r>
            <w:r w:rsidRPr="00CA7C54">
              <w:rPr>
                <w:rFonts w:ascii="Arial" w:hAnsi="Arial" w:cs="Arial"/>
                <w:color w:val="000000" w:themeColor="text1"/>
                <w:sz w:val="21"/>
                <w:szCs w:val="21"/>
              </w:rPr>
              <w:t xml:space="preserve"> (ТОВ «Експертно-технічна компанія»),  </w:t>
            </w:r>
            <w:r w:rsidRPr="00CA7C54">
              <w:rPr>
                <w:rFonts w:ascii="Arial" w:hAnsi="Arial" w:cs="Arial"/>
                <w:b/>
                <w:color w:val="000000" w:themeColor="text1"/>
                <w:sz w:val="21"/>
                <w:szCs w:val="21"/>
              </w:rPr>
              <w:t>Т. Куць</w:t>
            </w:r>
            <w:r w:rsidRPr="00CA7C54">
              <w:rPr>
                <w:rFonts w:ascii="Arial" w:hAnsi="Arial" w:cs="Arial"/>
                <w:color w:val="000000" w:themeColor="text1"/>
                <w:sz w:val="21"/>
                <w:szCs w:val="21"/>
              </w:rPr>
              <w:t xml:space="preserve"> (ТОВ «Агентство будівельних експертиз»),</w:t>
            </w:r>
            <w:r w:rsidRPr="00CA7C54">
              <w:rPr>
                <w:rFonts w:ascii="Arial" w:hAnsi="Arial" w:cs="Arial"/>
                <w:b/>
                <w:color w:val="000000" w:themeColor="text1"/>
                <w:sz w:val="21"/>
                <w:szCs w:val="21"/>
              </w:rPr>
              <w:t>Ю. Підгорецький</w:t>
            </w:r>
            <w:r w:rsidRPr="00CA7C54">
              <w:rPr>
                <w:rFonts w:ascii="Arial" w:hAnsi="Arial" w:cs="Arial"/>
                <w:color w:val="000000" w:themeColor="text1"/>
                <w:sz w:val="21"/>
                <w:szCs w:val="21"/>
              </w:rPr>
              <w:t xml:space="preserve"> (ТОВ «Шілд-Файєр»), </w:t>
            </w:r>
            <w:r w:rsidRPr="00CA7C54">
              <w:rPr>
                <w:rFonts w:ascii="Arial" w:hAnsi="Arial" w:cs="Arial"/>
                <w:b/>
                <w:color w:val="000000" w:themeColor="text1"/>
                <w:sz w:val="21"/>
                <w:szCs w:val="21"/>
              </w:rPr>
              <w:t>Д. Фоменко</w:t>
            </w:r>
            <w:r w:rsidRPr="00CA7C54">
              <w:rPr>
                <w:rFonts w:ascii="Arial" w:hAnsi="Arial" w:cs="Arial"/>
                <w:color w:val="000000" w:themeColor="text1"/>
                <w:sz w:val="21"/>
                <w:szCs w:val="21"/>
              </w:rPr>
              <w:t xml:space="preserve"> (ТОВ «Вітрувій Експерт»), </w:t>
            </w:r>
            <w:r w:rsidRPr="00CA7C54">
              <w:rPr>
                <w:rFonts w:ascii="Arial" w:hAnsi="Arial" w:cs="Arial"/>
                <w:b/>
                <w:color w:val="000000" w:themeColor="text1"/>
                <w:sz w:val="21"/>
                <w:szCs w:val="21"/>
              </w:rPr>
              <w:t xml:space="preserve">С. Буханенко </w:t>
            </w:r>
            <w:r w:rsidRPr="00CA7C54">
              <w:rPr>
                <w:rFonts w:ascii="Arial" w:hAnsi="Arial" w:cs="Arial"/>
                <w:color w:val="000000" w:themeColor="text1"/>
                <w:sz w:val="21"/>
                <w:szCs w:val="21"/>
              </w:rPr>
              <w:t>(ДП «Спеціалізована державна експертна організація - Центральна служба Української державної будівельної експертизи»),</w:t>
            </w:r>
            <w:r w:rsidRPr="00CA7C54">
              <w:rPr>
                <w:rFonts w:ascii="Arial" w:hAnsi="Arial" w:cs="Arial"/>
                <w:b/>
                <w:color w:val="000000" w:themeColor="text1"/>
                <w:sz w:val="21"/>
                <w:szCs w:val="21"/>
              </w:rPr>
              <w:t xml:space="preserve"> Т. Григорова</w:t>
            </w:r>
            <w:r w:rsidRPr="00CA7C54">
              <w:rPr>
                <w:rFonts w:ascii="Arial" w:hAnsi="Arial" w:cs="Arial"/>
                <w:color w:val="000000" w:themeColor="text1"/>
                <w:sz w:val="21"/>
                <w:szCs w:val="21"/>
              </w:rPr>
              <w:t xml:space="preserve"> (ТОВ «БІП-ПМ»), </w:t>
            </w:r>
            <w:r w:rsidRPr="00CA7C54">
              <w:rPr>
                <w:rFonts w:ascii="Arial" w:hAnsi="Arial" w:cs="Arial"/>
                <w:b/>
                <w:color w:val="000000" w:themeColor="text1"/>
                <w:sz w:val="21"/>
                <w:szCs w:val="21"/>
              </w:rPr>
              <w:t>В. Глеба</w:t>
            </w:r>
            <w:r w:rsidRPr="00CA7C54">
              <w:rPr>
                <w:rFonts w:ascii="Arial" w:hAnsi="Arial" w:cs="Arial"/>
                <w:color w:val="000000" w:themeColor="text1"/>
                <w:sz w:val="21"/>
                <w:szCs w:val="21"/>
              </w:rPr>
              <w:t>, канд. наук з державного управління (ГО «Місто</w:t>
            </w:r>
            <w:r w:rsidR="00370BCF" w:rsidRPr="00CA7C54">
              <w:rPr>
                <w:rFonts w:ascii="Arial" w:hAnsi="Arial" w:cs="Arial"/>
                <w:color w:val="000000" w:themeColor="text1"/>
                <w:sz w:val="21"/>
                <w:szCs w:val="21"/>
              </w:rPr>
              <w:t xml:space="preserve">будівна платформа «Ренесанс»), </w:t>
            </w:r>
            <w:r w:rsidRPr="00CA7C54">
              <w:rPr>
                <w:rFonts w:ascii="Arial" w:hAnsi="Arial" w:cs="Arial"/>
                <w:b/>
                <w:color w:val="000000" w:themeColor="text1"/>
                <w:sz w:val="21"/>
                <w:szCs w:val="21"/>
              </w:rPr>
              <w:t>Н. Мацюк</w:t>
            </w:r>
            <w:r w:rsidRPr="00CA7C54">
              <w:rPr>
                <w:rFonts w:ascii="Arial" w:hAnsi="Arial" w:cs="Arial"/>
                <w:color w:val="000000" w:themeColor="text1"/>
                <w:sz w:val="21"/>
                <w:szCs w:val="21"/>
              </w:rPr>
              <w:t xml:space="preserve"> (ГО «Безбар’єрність»), </w:t>
            </w:r>
            <w:r w:rsidRPr="00CA7C54">
              <w:rPr>
                <w:rFonts w:ascii="Arial" w:hAnsi="Arial" w:cs="Arial"/>
                <w:b/>
                <w:color w:val="000000" w:themeColor="text1"/>
                <w:sz w:val="21"/>
                <w:szCs w:val="21"/>
              </w:rPr>
              <w:t>Д. Сидоренко</w:t>
            </w:r>
            <w:r w:rsidRPr="00CA7C54">
              <w:rPr>
                <w:rFonts w:ascii="Arial" w:hAnsi="Arial" w:cs="Arial"/>
                <w:color w:val="000000" w:themeColor="text1"/>
                <w:sz w:val="21"/>
                <w:szCs w:val="21"/>
              </w:rPr>
              <w:t xml:space="preserve"> (ГО «Ліга сильних»),</w:t>
            </w:r>
            <w:r w:rsidRPr="00CA7C54">
              <w:rPr>
                <w:rFonts w:ascii="Arial" w:hAnsi="Arial" w:cs="Arial"/>
                <w:b/>
                <w:color w:val="000000" w:themeColor="text1"/>
                <w:sz w:val="21"/>
                <w:szCs w:val="21"/>
              </w:rPr>
              <w:t>Ю. Васильченко</w:t>
            </w:r>
            <w:r w:rsidRPr="00CA7C54">
              <w:rPr>
                <w:rFonts w:ascii="Arial" w:hAnsi="Arial" w:cs="Arial"/>
                <w:color w:val="000000" w:themeColor="text1"/>
                <w:sz w:val="21"/>
                <w:szCs w:val="21"/>
              </w:rPr>
              <w:t xml:space="preserve"> (ВГО «Національна асамблея людей з інвалідністю України»)</w:t>
            </w:r>
            <w:r w:rsidR="0007750C" w:rsidRPr="00CA7C54">
              <w:rPr>
                <w:rFonts w:ascii="Arial" w:hAnsi="Arial" w:cs="Arial"/>
                <w:color w:val="000000" w:themeColor="text1"/>
                <w:sz w:val="21"/>
                <w:szCs w:val="21"/>
              </w:rPr>
              <w:t xml:space="preserve">, </w:t>
            </w:r>
          </w:p>
        </w:tc>
      </w:tr>
      <w:tr w:rsidR="00CA7C54" w:rsidRPr="00CA7C54" w14:paraId="5E7873B3" w14:textId="77777777" w:rsidTr="00E40099">
        <w:trPr>
          <w:trHeight w:val="3760"/>
        </w:trPr>
        <w:tc>
          <w:tcPr>
            <w:tcW w:w="2070" w:type="dxa"/>
            <w:shd w:val="clear" w:color="auto" w:fill="FFFFFF"/>
          </w:tcPr>
          <w:p w14:paraId="71B0485C"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lastRenderedPageBreak/>
              <w:t>За участю:</w:t>
            </w:r>
          </w:p>
        </w:tc>
        <w:tc>
          <w:tcPr>
            <w:tcW w:w="7530" w:type="dxa"/>
            <w:shd w:val="clear" w:color="auto" w:fill="FFFFFF"/>
          </w:tcPr>
          <w:p w14:paraId="12D4E51D" w14:textId="77777777" w:rsidR="003C4E04" w:rsidRPr="00CA7C54" w:rsidRDefault="001E748C" w:rsidP="00D53492">
            <w:pPr>
              <w:spacing w:before="0"/>
              <w:ind w:firstLine="0"/>
              <w:rPr>
                <w:rFonts w:ascii="Arial" w:hAnsi="Arial" w:cs="Arial"/>
                <w:color w:val="000000" w:themeColor="text1"/>
                <w:sz w:val="21"/>
                <w:szCs w:val="21"/>
                <w:highlight w:val="white"/>
              </w:rPr>
            </w:pPr>
            <w:r w:rsidRPr="00CA7C54">
              <w:rPr>
                <w:rFonts w:ascii="Arial" w:hAnsi="Arial" w:cs="Arial"/>
                <w:color w:val="000000" w:themeColor="text1"/>
                <w:sz w:val="21"/>
                <w:szCs w:val="21"/>
              </w:rPr>
              <w:t>ДП Міністерства оборони України «Центральний проектний інститут», Інститут логістики та підтримки військ (сил) Національного університету оборони України, Центральний науково-дослідний інститут озброєння та військової техніки Збройних Сил України, Інститут державного управління та наукових досліджень з цивільного захисту Державної служби України з надзвичайних ситуацій, ДП «Державний науково-дослідний інститут будівельних конструкцій», ТОВ «Український інститут сталевих конструкцій імені В.М. Шимановського», Національний університет водного господарства та природокористування, ТОВ «Національний навчально-атестаційний центр», ПП «Науково-технічний центр УСВППП», ПП «Полтава-прое</w:t>
            </w:r>
            <w:r w:rsidRPr="00CA7C54">
              <w:rPr>
                <w:rFonts w:ascii="Arial" w:hAnsi="Arial" w:cs="Arial"/>
                <w:color w:val="000000" w:themeColor="text1"/>
                <w:sz w:val="21"/>
                <w:szCs w:val="21"/>
                <w:highlight w:val="white"/>
              </w:rPr>
              <w:t xml:space="preserve">кт», ТОВ «Гідрозахист», </w:t>
            </w:r>
            <w:r w:rsidRPr="00CA7C54">
              <w:rPr>
                <w:rFonts w:ascii="Arial" w:hAnsi="Arial" w:cs="Arial"/>
                <w:b/>
                <w:color w:val="000000" w:themeColor="text1"/>
                <w:sz w:val="21"/>
                <w:szCs w:val="21"/>
                <w:highlight w:val="white"/>
              </w:rPr>
              <w:t>М. Гойхман</w:t>
            </w:r>
            <w:r w:rsidRPr="00CA7C54">
              <w:rPr>
                <w:rFonts w:ascii="Arial" w:hAnsi="Arial" w:cs="Arial"/>
                <w:color w:val="000000" w:themeColor="text1"/>
                <w:sz w:val="21"/>
                <w:szCs w:val="21"/>
                <w:highlight w:val="white"/>
              </w:rPr>
              <w:t xml:space="preserve"> (Civil Defense Consultants), </w:t>
            </w:r>
            <w:r w:rsidRPr="00CA7C54">
              <w:rPr>
                <w:rFonts w:ascii="Arial" w:hAnsi="Arial" w:cs="Arial"/>
                <w:b/>
                <w:color w:val="000000" w:themeColor="text1"/>
                <w:sz w:val="21"/>
                <w:szCs w:val="21"/>
                <w:highlight w:val="white"/>
              </w:rPr>
              <w:t>Ю. Пучинський</w:t>
            </w:r>
            <w:r w:rsidRPr="00CA7C54">
              <w:rPr>
                <w:rFonts w:ascii="Arial" w:hAnsi="Arial" w:cs="Arial"/>
                <w:color w:val="000000" w:themeColor="text1"/>
                <w:sz w:val="21"/>
                <w:szCs w:val="21"/>
                <w:highlight w:val="white"/>
              </w:rPr>
              <w:t xml:space="preserve"> (YP.ARCHITECTS), </w:t>
            </w:r>
            <w:r w:rsidRPr="00CA7C54">
              <w:rPr>
                <w:rFonts w:ascii="Arial" w:hAnsi="Arial" w:cs="Arial"/>
                <w:b/>
                <w:color w:val="000000" w:themeColor="text1"/>
                <w:sz w:val="21"/>
                <w:szCs w:val="21"/>
                <w:highlight w:val="white"/>
              </w:rPr>
              <w:t>А. Беркута</w:t>
            </w:r>
            <w:r w:rsidRPr="00CA7C54">
              <w:rPr>
                <w:rFonts w:ascii="Arial" w:hAnsi="Arial" w:cs="Arial"/>
                <w:color w:val="000000" w:themeColor="text1"/>
                <w:sz w:val="21"/>
                <w:szCs w:val="21"/>
                <w:highlight w:val="white"/>
              </w:rPr>
              <w:t xml:space="preserve"> канд</w:t>
            </w:r>
            <w:r w:rsidR="005E3355">
              <w:rPr>
                <w:rFonts w:ascii="Arial" w:hAnsi="Arial" w:cs="Arial"/>
                <w:color w:val="000000" w:themeColor="text1"/>
                <w:sz w:val="21"/>
                <w:szCs w:val="21"/>
                <w:highlight w:val="white"/>
              </w:rPr>
              <w:t>.</w:t>
            </w:r>
            <w:r w:rsidR="003F0151">
              <w:rPr>
                <w:rFonts w:ascii="Arial" w:hAnsi="Arial" w:cs="Arial"/>
                <w:color w:val="000000" w:themeColor="text1"/>
                <w:sz w:val="21"/>
                <w:szCs w:val="21"/>
                <w:highlight w:val="white"/>
              </w:rPr>
              <w:t xml:space="preserve"> екон</w:t>
            </w:r>
            <w:r w:rsidRPr="00CA7C54">
              <w:rPr>
                <w:rFonts w:ascii="Arial" w:hAnsi="Arial" w:cs="Arial"/>
                <w:color w:val="000000" w:themeColor="text1"/>
                <w:sz w:val="21"/>
                <w:szCs w:val="21"/>
                <w:highlight w:val="white"/>
              </w:rPr>
              <w:t>. наук (Конфедерація будівельників України)</w:t>
            </w:r>
          </w:p>
          <w:p w14:paraId="0C664E66" w14:textId="77777777" w:rsidR="005E3355" w:rsidRDefault="004B40D3" w:rsidP="00D53492">
            <w:pPr>
              <w:spacing w:before="0"/>
              <w:ind w:firstLine="0"/>
              <w:jc w:val="left"/>
              <w:rPr>
                <w:rFonts w:ascii="Arial" w:hAnsi="Arial" w:cs="Arial"/>
                <w:color w:val="000000" w:themeColor="text1"/>
                <w:sz w:val="21"/>
                <w:szCs w:val="21"/>
              </w:rPr>
            </w:pPr>
            <w:r w:rsidRPr="00CA7C54">
              <w:rPr>
                <w:rFonts w:ascii="Arial" w:hAnsi="Arial" w:cs="Arial"/>
                <w:b/>
                <w:color w:val="000000" w:themeColor="text1"/>
                <w:sz w:val="21"/>
                <w:szCs w:val="21"/>
              </w:rPr>
              <w:t xml:space="preserve">І. Почерняк </w:t>
            </w:r>
            <w:r w:rsidRPr="00CA7C54">
              <w:rPr>
                <w:rFonts w:ascii="Arial" w:hAnsi="Arial" w:cs="Arial"/>
                <w:color w:val="000000" w:themeColor="text1"/>
                <w:sz w:val="21"/>
                <w:szCs w:val="21"/>
              </w:rPr>
              <w:t xml:space="preserve">(ГС «Ліга сильних»), </w:t>
            </w:r>
            <w:r w:rsidRPr="00CA7C54">
              <w:rPr>
                <w:rFonts w:ascii="Arial" w:hAnsi="Arial" w:cs="Arial"/>
                <w:b/>
                <w:color w:val="000000" w:themeColor="text1"/>
                <w:sz w:val="21"/>
                <w:szCs w:val="21"/>
              </w:rPr>
              <w:t xml:space="preserve">Я. Грибальский,  Є. Свєт </w:t>
            </w:r>
          </w:p>
          <w:p w14:paraId="4BDA4FC2" w14:textId="77777777" w:rsidR="005E3355" w:rsidRDefault="004B40D3" w:rsidP="00D53492">
            <w:pPr>
              <w:spacing w:before="0"/>
              <w:ind w:firstLine="0"/>
              <w:jc w:val="left"/>
              <w:rPr>
                <w:rFonts w:ascii="Arial" w:hAnsi="Arial" w:cs="Arial"/>
                <w:color w:val="000000" w:themeColor="text1"/>
                <w:sz w:val="21"/>
                <w:szCs w:val="21"/>
              </w:rPr>
            </w:pPr>
            <w:r w:rsidRPr="00CA7C54">
              <w:rPr>
                <w:rFonts w:ascii="Arial" w:hAnsi="Arial" w:cs="Arial"/>
                <w:color w:val="000000" w:themeColor="text1"/>
                <w:sz w:val="21"/>
                <w:szCs w:val="21"/>
              </w:rPr>
              <w:t xml:space="preserve">(ВГО «Національна асамблея людей з інвалідністю України»), </w:t>
            </w:r>
          </w:p>
          <w:p w14:paraId="1132A1DE" w14:textId="77777777" w:rsidR="004B40D3" w:rsidRPr="00CA7C54" w:rsidRDefault="004B40D3" w:rsidP="00D53492">
            <w:pPr>
              <w:spacing w:before="0"/>
              <w:ind w:firstLine="0"/>
              <w:jc w:val="left"/>
              <w:rPr>
                <w:rFonts w:ascii="Arial" w:hAnsi="Arial" w:cs="Arial"/>
                <w:color w:val="000000" w:themeColor="text1"/>
                <w:sz w:val="21"/>
                <w:szCs w:val="21"/>
                <w:highlight w:val="white"/>
              </w:rPr>
            </w:pPr>
            <w:r w:rsidRPr="00CA7C54">
              <w:rPr>
                <w:rFonts w:ascii="Arial" w:hAnsi="Arial" w:cs="Arial"/>
                <w:b/>
                <w:color w:val="000000" w:themeColor="text1"/>
                <w:sz w:val="21"/>
                <w:szCs w:val="21"/>
              </w:rPr>
              <w:t xml:space="preserve">В. Висоцький, С. Гнатюк </w:t>
            </w:r>
            <w:r w:rsidRPr="00CA7C54">
              <w:rPr>
                <w:rFonts w:ascii="Arial" w:hAnsi="Arial" w:cs="Arial"/>
                <w:color w:val="000000" w:themeColor="text1"/>
                <w:sz w:val="21"/>
                <w:szCs w:val="21"/>
              </w:rPr>
              <w:t>(«ГО «Безбар’єрність»).</w:t>
            </w:r>
          </w:p>
        </w:tc>
      </w:tr>
      <w:tr w:rsidR="00CA7C54" w:rsidRPr="00CA7C54" w14:paraId="6DDBD1CF" w14:textId="77777777" w:rsidTr="00E40099">
        <w:trPr>
          <w:trHeight w:val="592"/>
        </w:trPr>
        <w:tc>
          <w:tcPr>
            <w:tcW w:w="2070" w:type="dxa"/>
            <w:shd w:val="clear" w:color="auto" w:fill="FFFFFF"/>
          </w:tcPr>
          <w:p w14:paraId="4DFB80C1"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2 ВНЕСЕНО:</w:t>
            </w:r>
          </w:p>
        </w:tc>
        <w:tc>
          <w:tcPr>
            <w:tcW w:w="7530" w:type="dxa"/>
            <w:shd w:val="clear" w:color="auto" w:fill="FFFFFF"/>
          </w:tcPr>
          <w:p w14:paraId="44874714"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 xml:space="preserve">Департамент технічного регулювання у будівництві </w:t>
            </w:r>
          </w:p>
          <w:p w14:paraId="14BE9160"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Міністерства розвитку громад, територій та інфраструктури України</w:t>
            </w:r>
          </w:p>
        </w:tc>
      </w:tr>
      <w:tr w:rsidR="00CA7C54" w:rsidRPr="00CA7C54" w14:paraId="3220C96F" w14:textId="77777777" w:rsidTr="00E40099">
        <w:trPr>
          <w:trHeight w:val="626"/>
        </w:trPr>
        <w:tc>
          <w:tcPr>
            <w:tcW w:w="2070" w:type="dxa"/>
            <w:shd w:val="clear" w:color="auto" w:fill="FFFFFF"/>
          </w:tcPr>
          <w:p w14:paraId="250CEC69" w14:textId="77777777" w:rsidR="003C4E04" w:rsidRPr="00CA7C54" w:rsidRDefault="002B223C" w:rsidP="00D7082E">
            <w:pPr>
              <w:spacing w:before="0" w:line="288" w:lineRule="auto"/>
              <w:ind w:right="-118" w:firstLine="0"/>
              <w:rPr>
                <w:rFonts w:ascii="Arial" w:hAnsi="Arial" w:cs="Arial"/>
                <w:color w:val="000000" w:themeColor="text1"/>
                <w:sz w:val="21"/>
                <w:szCs w:val="21"/>
              </w:rPr>
            </w:pPr>
            <w:r>
              <w:rPr>
                <w:rFonts w:ascii="Arial" w:hAnsi="Arial" w:cs="Arial"/>
                <w:color w:val="000000" w:themeColor="text1"/>
                <w:sz w:val="21"/>
                <w:szCs w:val="21"/>
              </w:rPr>
              <w:t>3</w:t>
            </w:r>
            <w:r w:rsidR="001E748C" w:rsidRPr="00CA7C54">
              <w:rPr>
                <w:rFonts w:ascii="Arial" w:hAnsi="Arial" w:cs="Arial"/>
                <w:color w:val="000000" w:themeColor="text1"/>
                <w:sz w:val="21"/>
                <w:szCs w:val="21"/>
              </w:rPr>
              <w:t xml:space="preserve"> ЗАТВЕРДЖЕНО:</w:t>
            </w:r>
          </w:p>
        </w:tc>
        <w:tc>
          <w:tcPr>
            <w:tcW w:w="7530" w:type="dxa"/>
            <w:shd w:val="clear" w:color="auto" w:fill="FFFFFF"/>
          </w:tcPr>
          <w:p w14:paraId="7BD63582"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 xml:space="preserve">Наказ Міністерства розвитку громад, територій </w:t>
            </w:r>
          </w:p>
          <w:p w14:paraId="63CFB35C"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 xml:space="preserve">та інфраструктури України від </w:t>
            </w:r>
            <w:r w:rsidR="00C7026C" w:rsidRPr="00CA7C54">
              <w:rPr>
                <w:rFonts w:ascii="Arial" w:hAnsi="Arial" w:cs="Arial"/>
                <w:color w:val="000000" w:themeColor="text1"/>
                <w:sz w:val="21"/>
                <w:szCs w:val="21"/>
              </w:rPr>
              <w:t xml:space="preserve"> 10.08.</w:t>
            </w:r>
            <w:r w:rsidRPr="00CA7C54">
              <w:rPr>
                <w:rFonts w:ascii="Arial" w:hAnsi="Arial" w:cs="Arial"/>
                <w:color w:val="000000" w:themeColor="text1"/>
                <w:sz w:val="21"/>
                <w:szCs w:val="21"/>
              </w:rPr>
              <w:t xml:space="preserve">2023 року № </w:t>
            </w:r>
            <w:r w:rsidR="0096271B" w:rsidRPr="00CA7C54">
              <w:rPr>
                <w:rFonts w:ascii="Arial" w:hAnsi="Arial" w:cs="Arial"/>
                <w:color w:val="000000" w:themeColor="text1"/>
                <w:sz w:val="21"/>
                <w:szCs w:val="21"/>
              </w:rPr>
              <w:t>702</w:t>
            </w:r>
            <w:r w:rsidRPr="00CA7C54">
              <w:rPr>
                <w:rFonts w:ascii="Arial" w:hAnsi="Arial" w:cs="Arial"/>
                <w:color w:val="000000" w:themeColor="text1"/>
                <w:sz w:val="21"/>
                <w:szCs w:val="21"/>
              </w:rPr>
              <w:t>.</w:t>
            </w:r>
          </w:p>
        </w:tc>
      </w:tr>
      <w:tr w:rsidR="00CA7C54" w:rsidRPr="00CA7C54" w14:paraId="2B103B43" w14:textId="77777777" w:rsidTr="00E40099">
        <w:trPr>
          <w:trHeight w:val="542"/>
        </w:trPr>
        <w:tc>
          <w:tcPr>
            <w:tcW w:w="2070" w:type="dxa"/>
            <w:shd w:val="clear" w:color="auto" w:fill="FFFFFF"/>
          </w:tcPr>
          <w:p w14:paraId="2EDC6837"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НАБРАННЯ ЧИННОСТІ:</w:t>
            </w:r>
          </w:p>
        </w:tc>
        <w:tc>
          <w:tcPr>
            <w:tcW w:w="7530" w:type="dxa"/>
            <w:shd w:val="clear" w:color="auto" w:fill="FFFFFF"/>
          </w:tcPr>
          <w:p w14:paraId="5896C4FE" w14:textId="77777777" w:rsidR="003C4E04" w:rsidRPr="00CA7C54" w:rsidRDefault="003B6517"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з</w:t>
            </w:r>
            <w:r w:rsidR="00370BCF" w:rsidRPr="00CA7C54">
              <w:rPr>
                <w:rFonts w:ascii="Arial" w:hAnsi="Arial" w:cs="Arial"/>
                <w:color w:val="000000" w:themeColor="text1"/>
                <w:sz w:val="21"/>
                <w:szCs w:val="21"/>
              </w:rPr>
              <w:t xml:space="preserve"> 2023-11</w:t>
            </w:r>
            <w:r w:rsidR="001E748C" w:rsidRPr="00CA7C54">
              <w:rPr>
                <w:rFonts w:ascii="Arial" w:hAnsi="Arial" w:cs="Arial"/>
                <w:color w:val="000000" w:themeColor="text1"/>
                <w:sz w:val="21"/>
                <w:szCs w:val="21"/>
              </w:rPr>
              <w:t>-01</w:t>
            </w:r>
          </w:p>
        </w:tc>
      </w:tr>
      <w:tr w:rsidR="00CA7C54" w:rsidRPr="00CA7C54" w14:paraId="6121D1E9" w14:textId="77777777" w:rsidTr="00E40099">
        <w:trPr>
          <w:trHeight w:val="492"/>
        </w:trPr>
        <w:tc>
          <w:tcPr>
            <w:tcW w:w="2070" w:type="dxa"/>
            <w:shd w:val="clear" w:color="auto" w:fill="FFFFFF"/>
          </w:tcPr>
          <w:p w14:paraId="28BE3DE7" w14:textId="77777777" w:rsidR="003C4E04" w:rsidRPr="00CA7C54" w:rsidRDefault="002B223C" w:rsidP="00D7082E">
            <w:pPr>
              <w:spacing w:before="0" w:line="288" w:lineRule="auto"/>
              <w:ind w:firstLine="0"/>
              <w:rPr>
                <w:rFonts w:ascii="Arial" w:hAnsi="Arial" w:cs="Arial"/>
                <w:color w:val="000000" w:themeColor="text1"/>
                <w:sz w:val="21"/>
                <w:szCs w:val="21"/>
              </w:rPr>
            </w:pPr>
            <w:r>
              <w:rPr>
                <w:rFonts w:ascii="Arial" w:hAnsi="Arial" w:cs="Arial"/>
                <w:color w:val="000000" w:themeColor="text1"/>
                <w:sz w:val="21"/>
                <w:szCs w:val="21"/>
              </w:rPr>
              <w:t>4</w:t>
            </w:r>
            <w:r w:rsidR="001E748C" w:rsidRPr="00CA7C54">
              <w:rPr>
                <w:rFonts w:ascii="Arial" w:hAnsi="Arial" w:cs="Arial"/>
                <w:color w:val="000000" w:themeColor="text1"/>
                <w:sz w:val="21"/>
                <w:szCs w:val="21"/>
              </w:rPr>
              <w:t xml:space="preserve"> НА ЗАМІНУ:</w:t>
            </w:r>
          </w:p>
        </w:tc>
        <w:tc>
          <w:tcPr>
            <w:tcW w:w="7530" w:type="dxa"/>
            <w:shd w:val="clear" w:color="auto" w:fill="FFFFFF"/>
          </w:tcPr>
          <w:p w14:paraId="2559821D" w14:textId="77777777" w:rsidR="003C4E0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ДБН В.2.2.5-97 «Захисні споруди цивільного захисту»</w:t>
            </w:r>
          </w:p>
          <w:p w14:paraId="75E1590A" w14:textId="77777777" w:rsidR="00FD361E" w:rsidRPr="00CA7C54" w:rsidRDefault="00FD361E" w:rsidP="00D53492">
            <w:pPr>
              <w:spacing w:before="0"/>
              <w:ind w:firstLine="0"/>
              <w:rPr>
                <w:rFonts w:ascii="Arial" w:hAnsi="Arial" w:cs="Arial"/>
                <w:color w:val="000000" w:themeColor="text1"/>
                <w:sz w:val="21"/>
                <w:szCs w:val="21"/>
              </w:rPr>
            </w:pPr>
          </w:p>
        </w:tc>
      </w:tr>
      <w:tr w:rsidR="006E7926" w:rsidRPr="00CA7C54" w14:paraId="1CD45C05" w14:textId="77777777" w:rsidTr="00E40099">
        <w:trPr>
          <w:trHeight w:val="492"/>
        </w:trPr>
        <w:tc>
          <w:tcPr>
            <w:tcW w:w="2070" w:type="dxa"/>
            <w:shd w:val="clear" w:color="auto" w:fill="FFFFFF"/>
          </w:tcPr>
          <w:p w14:paraId="697ECC75" w14:textId="77777777" w:rsidR="006E7926" w:rsidRPr="006E7926" w:rsidRDefault="006E7926" w:rsidP="006E7926">
            <w:pPr>
              <w:pStyle w:val="afffffffffffffffffffffffffffffffffa"/>
              <w:spacing w:after="0" w:line="240" w:lineRule="auto"/>
              <w:ind w:firstLine="0"/>
              <w:rPr>
                <w:rFonts w:ascii="Arial" w:hAnsi="Arial" w:cs="Arial"/>
              </w:rPr>
            </w:pPr>
            <w:r w:rsidRPr="006E7926">
              <w:rPr>
                <w:rFonts w:ascii="Arial" w:hAnsi="Arial" w:cs="Arial"/>
              </w:rPr>
              <w:t>РОЗРОБЛЕНО</w:t>
            </w:r>
          </w:p>
          <w:p w14:paraId="40768529" w14:textId="77777777" w:rsidR="006E7926" w:rsidRPr="00CA7C54" w:rsidRDefault="006E7926" w:rsidP="006E7926">
            <w:pPr>
              <w:spacing w:before="0" w:line="288" w:lineRule="auto"/>
              <w:ind w:firstLine="0"/>
              <w:rPr>
                <w:color w:val="000000" w:themeColor="text1"/>
                <w:sz w:val="21"/>
                <w:szCs w:val="21"/>
              </w:rPr>
            </w:pPr>
            <w:r w:rsidRPr="006E7926">
              <w:rPr>
                <w:rFonts w:ascii="Arial" w:hAnsi="Arial" w:cs="Arial"/>
              </w:rPr>
              <w:t>ЗМІНА № 1:</w:t>
            </w:r>
          </w:p>
        </w:tc>
        <w:tc>
          <w:tcPr>
            <w:tcW w:w="7530" w:type="dxa"/>
            <w:shd w:val="clear" w:color="auto" w:fill="FFFFFF"/>
          </w:tcPr>
          <w:p w14:paraId="1DDF5BE0" w14:textId="77777777" w:rsidR="006E7926" w:rsidRPr="00CA7C54" w:rsidRDefault="00867289" w:rsidP="00D53492">
            <w:pPr>
              <w:spacing w:before="0"/>
              <w:ind w:firstLine="0"/>
              <w:rPr>
                <w:color w:val="000000" w:themeColor="text1"/>
                <w:sz w:val="21"/>
                <w:szCs w:val="21"/>
              </w:rPr>
            </w:pPr>
            <w:r w:rsidRPr="00AB7083">
              <w:rPr>
                <w:rFonts w:ascii="Arial" w:hAnsi="Arial" w:cs="Arial"/>
                <w:spacing w:val="-1"/>
                <w:sz w:val="21"/>
                <w:szCs w:val="21"/>
              </w:rPr>
              <w:t>Міністерство</w:t>
            </w:r>
            <w:r w:rsidR="00686653" w:rsidRPr="00686653">
              <w:rPr>
                <w:rFonts w:ascii="Arial" w:hAnsi="Arial" w:cs="Arial"/>
                <w:spacing w:val="-1"/>
                <w:sz w:val="21"/>
                <w:szCs w:val="21"/>
                <w:lang w:val="ru-RU"/>
              </w:rPr>
              <w:t xml:space="preserve"> </w:t>
            </w:r>
            <w:r w:rsidRPr="00AB7083">
              <w:rPr>
                <w:rFonts w:ascii="Arial" w:hAnsi="Arial" w:cs="Arial"/>
                <w:spacing w:val="-1"/>
                <w:sz w:val="21"/>
                <w:szCs w:val="21"/>
              </w:rPr>
              <w:t>розвитку</w:t>
            </w:r>
            <w:r w:rsidR="00686653" w:rsidRPr="00686653">
              <w:rPr>
                <w:rFonts w:ascii="Arial" w:hAnsi="Arial" w:cs="Arial"/>
                <w:spacing w:val="-1"/>
                <w:sz w:val="21"/>
                <w:szCs w:val="21"/>
                <w:lang w:val="ru-RU"/>
              </w:rPr>
              <w:t xml:space="preserve"> </w:t>
            </w:r>
            <w:r w:rsidRPr="00AB7083">
              <w:rPr>
                <w:rFonts w:ascii="Arial" w:hAnsi="Arial" w:cs="Arial"/>
                <w:spacing w:val="-1"/>
                <w:sz w:val="21"/>
                <w:szCs w:val="21"/>
              </w:rPr>
              <w:t>громад,</w:t>
            </w:r>
            <w:r w:rsidR="00686653" w:rsidRPr="00686653">
              <w:rPr>
                <w:rFonts w:ascii="Arial" w:hAnsi="Arial" w:cs="Arial"/>
                <w:spacing w:val="-1"/>
                <w:sz w:val="21"/>
                <w:szCs w:val="21"/>
                <w:lang w:val="ru-RU"/>
              </w:rPr>
              <w:t xml:space="preserve"> </w:t>
            </w:r>
            <w:r w:rsidRPr="00AB7083">
              <w:rPr>
                <w:rFonts w:ascii="Arial" w:hAnsi="Arial" w:cs="Arial"/>
                <w:spacing w:val="-1"/>
                <w:sz w:val="21"/>
                <w:szCs w:val="21"/>
              </w:rPr>
              <w:t>територій</w:t>
            </w:r>
            <w:r w:rsidR="00686653" w:rsidRPr="00686653">
              <w:rPr>
                <w:rFonts w:ascii="Arial" w:hAnsi="Arial" w:cs="Arial"/>
                <w:spacing w:val="-1"/>
                <w:sz w:val="21"/>
                <w:szCs w:val="21"/>
                <w:lang w:val="ru-RU"/>
              </w:rPr>
              <w:t xml:space="preserve"> </w:t>
            </w:r>
            <w:r w:rsidRPr="00AB7083">
              <w:rPr>
                <w:rFonts w:ascii="Arial" w:hAnsi="Arial" w:cs="Arial"/>
                <w:sz w:val="21"/>
                <w:szCs w:val="21"/>
              </w:rPr>
              <w:t>та</w:t>
            </w:r>
            <w:r w:rsidR="00686653" w:rsidRPr="00686653">
              <w:rPr>
                <w:rFonts w:ascii="Arial" w:hAnsi="Arial" w:cs="Arial"/>
                <w:sz w:val="21"/>
                <w:szCs w:val="21"/>
                <w:lang w:val="ru-RU"/>
              </w:rPr>
              <w:t xml:space="preserve"> </w:t>
            </w:r>
            <w:r w:rsidRPr="00AB7083">
              <w:rPr>
                <w:rFonts w:ascii="Arial" w:hAnsi="Arial" w:cs="Arial"/>
                <w:sz w:val="21"/>
                <w:szCs w:val="21"/>
              </w:rPr>
              <w:t>інфраструктури</w:t>
            </w:r>
            <w:r w:rsidR="00686653" w:rsidRPr="00686653">
              <w:rPr>
                <w:rFonts w:ascii="Arial" w:hAnsi="Arial" w:cs="Arial"/>
                <w:sz w:val="21"/>
                <w:szCs w:val="21"/>
                <w:lang w:val="ru-RU"/>
              </w:rPr>
              <w:t xml:space="preserve"> </w:t>
            </w:r>
            <w:r w:rsidRPr="00AB7083">
              <w:rPr>
                <w:rFonts w:ascii="Arial" w:hAnsi="Arial" w:cs="Arial"/>
                <w:sz w:val="21"/>
                <w:szCs w:val="21"/>
              </w:rPr>
              <w:t>України</w:t>
            </w:r>
          </w:p>
        </w:tc>
      </w:tr>
      <w:tr w:rsidR="00D53492" w:rsidRPr="00CA7C54" w14:paraId="58C62578" w14:textId="77777777" w:rsidTr="00E40099">
        <w:trPr>
          <w:trHeight w:val="492"/>
        </w:trPr>
        <w:tc>
          <w:tcPr>
            <w:tcW w:w="2070" w:type="dxa"/>
            <w:shd w:val="clear" w:color="auto" w:fill="FFFFFF"/>
          </w:tcPr>
          <w:p w14:paraId="28E22726" w14:textId="77777777" w:rsidR="00D53492" w:rsidRDefault="00D53492" w:rsidP="00D53492">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РОЗРОБНИКИ</w:t>
            </w:r>
          </w:p>
          <w:p w14:paraId="0704B5D3" w14:textId="77777777" w:rsidR="00D53492" w:rsidRPr="00CA7C54" w:rsidRDefault="00D53492" w:rsidP="00D53492">
            <w:pPr>
              <w:spacing w:before="0" w:line="288" w:lineRule="auto"/>
              <w:ind w:firstLine="0"/>
              <w:rPr>
                <w:rFonts w:ascii="Arial" w:hAnsi="Arial" w:cs="Arial"/>
                <w:color w:val="000000" w:themeColor="text1"/>
                <w:sz w:val="21"/>
                <w:szCs w:val="21"/>
              </w:rPr>
            </w:pPr>
            <w:r>
              <w:rPr>
                <w:rFonts w:ascii="Arial" w:hAnsi="Arial" w:cs="Arial"/>
                <w:color w:val="000000" w:themeColor="text1"/>
                <w:sz w:val="21"/>
                <w:szCs w:val="21"/>
              </w:rPr>
              <w:t>ЗМІНА № 1:</w:t>
            </w:r>
          </w:p>
          <w:p w14:paraId="5268F99D" w14:textId="77777777" w:rsidR="00D53492" w:rsidRPr="006E7926" w:rsidRDefault="00D53492" w:rsidP="00D53492">
            <w:pPr>
              <w:pStyle w:val="afffffffffffffffffffffffffffffffffa"/>
              <w:spacing w:after="0" w:line="240" w:lineRule="auto"/>
              <w:ind w:firstLine="0"/>
            </w:pPr>
          </w:p>
        </w:tc>
        <w:tc>
          <w:tcPr>
            <w:tcW w:w="7530" w:type="dxa"/>
            <w:shd w:val="clear" w:color="auto" w:fill="FFFFFF"/>
          </w:tcPr>
          <w:p w14:paraId="203CD50D" w14:textId="407BFA6B" w:rsidR="00D53492" w:rsidRPr="00AB7083" w:rsidRDefault="00D53492" w:rsidP="00D53492">
            <w:pPr>
              <w:spacing w:before="0"/>
              <w:ind w:firstLine="0"/>
              <w:rPr>
                <w:spacing w:val="-1"/>
                <w:sz w:val="21"/>
                <w:szCs w:val="21"/>
              </w:rPr>
            </w:pPr>
            <w:r w:rsidRPr="00AB7083">
              <w:rPr>
                <w:rFonts w:ascii="Arial" w:hAnsi="Arial" w:cs="Arial"/>
                <w:sz w:val="21"/>
                <w:szCs w:val="21"/>
              </w:rPr>
              <w:t>Постійно</w:t>
            </w:r>
            <w:r w:rsidRPr="00686653">
              <w:rPr>
                <w:rFonts w:ascii="Arial" w:hAnsi="Arial" w:cs="Arial"/>
                <w:sz w:val="21"/>
                <w:szCs w:val="21"/>
              </w:rPr>
              <w:t xml:space="preserve"> </w:t>
            </w:r>
            <w:r w:rsidRPr="00AB7083">
              <w:rPr>
                <w:rFonts w:ascii="Arial" w:hAnsi="Arial" w:cs="Arial"/>
                <w:sz w:val="21"/>
                <w:szCs w:val="21"/>
              </w:rPr>
              <w:t>діюча</w:t>
            </w:r>
            <w:r w:rsidRPr="00686653">
              <w:rPr>
                <w:rFonts w:ascii="Arial" w:hAnsi="Arial" w:cs="Arial"/>
                <w:sz w:val="21"/>
                <w:szCs w:val="21"/>
              </w:rPr>
              <w:t xml:space="preserve"> </w:t>
            </w:r>
            <w:r w:rsidRPr="00AB7083">
              <w:rPr>
                <w:rFonts w:ascii="Arial" w:hAnsi="Arial" w:cs="Arial"/>
                <w:sz w:val="21"/>
                <w:szCs w:val="21"/>
              </w:rPr>
              <w:t>робоча</w:t>
            </w:r>
            <w:r w:rsidRPr="00686653">
              <w:rPr>
                <w:rFonts w:ascii="Arial" w:hAnsi="Arial" w:cs="Arial"/>
                <w:sz w:val="21"/>
                <w:szCs w:val="21"/>
              </w:rPr>
              <w:t xml:space="preserve"> </w:t>
            </w:r>
            <w:r w:rsidRPr="00AB7083">
              <w:rPr>
                <w:rFonts w:ascii="Arial" w:hAnsi="Arial" w:cs="Arial"/>
                <w:sz w:val="21"/>
                <w:szCs w:val="21"/>
              </w:rPr>
              <w:t>група</w:t>
            </w:r>
            <w:r w:rsidRPr="00686653">
              <w:rPr>
                <w:rFonts w:ascii="Arial" w:hAnsi="Arial" w:cs="Arial"/>
                <w:sz w:val="21"/>
                <w:szCs w:val="21"/>
              </w:rPr>
              <w:t xml:space="preserve"> </w:t>
            </w:r>
            <w:r w:rsidRPr="00AB7083">
              <w:rPr>
                <w:rFonts w:ascii="Arial" w:hAnsi="Arial" w:cs="Arial"/>
                <w:sz w:val="21"/>
                <w:szCs w:val="21"/>
              </w:rPr>
              <w:t>з</w:t>
            </w:r>
            <w:r w:rsidRPr="00686653">
              <w:rPr>
                <w:rFonts w:ascii="Arial" w:hAnsi="Arial" w:cs="Arial"/>
                <w:sz w:val="21"/>
                <w:szCs w:val="21"/>
              </w:rPr>
              <w:t xml:space="preserve"> </w:t>
            </w:r>
            <w:r w:rsidRPr="00AB7083">
              <w:rPr>
                <w:rFonts w:ascii="Arial" w:hAnsi="Arial" w:cs="Arial"/>
                <w:sz w:val="21"/>
                <w:szCs w:val="21"/>
              </w:rPr>
              <w:t>розгляду</w:t>
            </w:r>
            <w:r w:rsidRPr="00686653">
              <w:rPr>
                <w:rFonts w:ascii="Arial" w:hAnsi="Arial" w:cs="Arial"/>
                <w:sz w:val="21"/>
                <w:szCs w:val="21"/>
              </w:rPr>
              <w:t xml:space="preserve"> </w:t>
            </w:r>
            <w:r w:rsidRPr="00AB7083">
              <w:rPr>
                <w:rFonts w:ascii="Arial" w:hAnsi="Arial" w:cs="Arial"/>
                <w:sz w:val="21"/>
                <w:szCs w:val="21"/>
              </w:rPr>
              <w:t>питань</w:t>
            </w:r>
            <w:r w:rsidRPr="00686653">
              <w:rPr>
                <w:rFonts w:ascii="Arial" w:hAnsi="Arial" w:cs="Arial"/>
                <w:sz w:val="21"/>
                <w:szCs w:val="21"/>
              </w:rPr>
              <w:t xml:space="preserve"> </w:t>
            </w:r>
            <w:r w:rsidRPr="00AB7083">
              <w:rPr>
                <w:rFonts w:ascii="Arial" w:hAnsi="Arial" w:cs="Arial"/>
                <w:sz w:val="21"/>
                <w:szCs w:val="21"/>
              </w:rPr>
              <w:t>нормативного</w:t>
            </w:r>
            <w:r w:rsidRPr="00686653">
              <w:rPr>
                <w:rFonts w:ascii="Arial" w:hAnsi="Arial" w:cs="Arial"/>
                <w:sz w:val="21"/>
                <w:szCs w:val="21"/>
              </w:rPr>
              <w:t xml:space="preserve"> </w:t>
            </w:r>
            <w:r w:rsidRPr="00AB7083">
              <w:rPr>
                <w:rFonts w:ascii="Arial" w:hAnsi="Arial" w:cs="Arial"/>
                <w:sz w:val="21"/>
                <w:szCs w:val="21"/>
              </w:rPr>
              <w:t>забезпечення</w:t>
            </w:r>
            <w:r w:rsidRPr="00686653">
              <w:rPr>
                <w:rFonts w:ascii="Arial" w:hAnsi="Arial" w:cs="Arial"/>
                <w:sz w:val="21"/>
                <w:szCs w:val="21"/>
              </w:rPr>
              <w:t xml:space="preserve"> </w:t>
            </w:r>
            <w:r>
              <w:rPr>
                <w:rFonts w:ascii="Arial" w:hAnsi="Arial" w:cs="Arial"/>
                <w:sz w:val="21"/>
                <w:szCs w:val="21"/>
              </w:rPr>
              <w:t>проєктування</w:t>
            </w:r>
            <w:r w:rsidRPr="00686653">
              <w:rPr>
                <w:rFonts w:ascii="Arial" w:hAnsi="Arial" w:cs="Arial"/>
                <w:sz w:val="21"/>
                <w:szCs w:val="21"/>
              </w:rPr>
              <w:t xml:space="preserve"> </w:t>
            </w:r>
            <w:r w:rsidRPr="00AB7083">
              <w:rPr>
                <w:rFonts w:ascii="Arial" w:hAnsi="Arial" w:cs="Arial"/>
                <w:sz w:val="21"/>
                <w:szCs w:val="21"/>
              </w:rPr>
              <w:t>та</w:t>
            </w:r>
            <w:r w:rsidRPr="00686653">
              <w:rPr>
                <w:rFonts w:ascii="Arial" w:hAnsi="Arial" w:cs="Arial"/>
                <w:sz w:val="21"/>
                <w:szCs w:val="21"/>
              </w:rPr>
              <w:t xml:space="preserve"> </w:t>
            </w:r>
            <w:r w:rsidRPr="00AB7083">
              <w:rPr>
                <w:rFonts w:ascii="Arial" w:hAnsi="Arial" w:cs="Arial"/>
                <w:sz w:val="21"/>
                <w:szCs w:val="21"/>
              </w:rPr>
              <w:t>будівництва</w:t>
            </w:r>
            <w:r w:rsidRPr="00686653">
              <w:rPr>
                <w:rFonts w:ascii="Arial" w:hAnsi="Arial" w:cs="Arial"/>
                <w:sz w:val="21"/>
                <w:szCs w:val="21"/>
              </w:rPr>
              <w:t xml:space="preserve"> </w:t>
            </w:r>
            <w:r w:rsidRPr="00AB7083">
              <w:rPr>
                <w:rFonts w:ascii="Arial" w:hAnsi="Arial" w:cs="Arial"/>
                <w:sz w:val="21"/>
                <w:szCs w:val="21"/>
              </w:rPr>
              <w:t>об’єктів</w:t>
            </w:r>
            <w:r w:rsidRPr="00686653">
              <w:rPr>
                <w:rFonts w:ascii="Arial" w:hAnsi="Arial" w:cs="Arial"/>
                <w:sz w:val="21"/>
                <w:szCs w:val="21"/>
              </w:rPr>
              <w:t xml:space="preserve"> </w:t>
            </w:r>
            <w:r w:rsidRPr="00AB7083">
              <w:rPr>
                <w:rFonts w:ascii="Arial" w:hAnsi="Arial" w:cs="Arial"/>
                <w:sz w:val="21"/>
                <w:szCs w:val="21"/>
              </w:rPr>
              <w:t>цивільного</w:t>
            </w:r>
            <w:r w:rsidRPr="00686653">
              <w:rPr>
                <w:rFonts w:ascii="Arial" w:hAnsi="Arial" w:cs="Arial"/>
                <w:sz w:val="21"/>
                <w:szCs w:val="21"/>
              </w:rPr>
              <w:t xml:space="preserve"> </w:t>
            </w:r>
            <w:r w:rsidRPr="00AB7083">
              <w:rPr>
                <w:rFonts w:ascii="Arial" w:hAnsi="Arial" w:cs="Arial"/>
                <w:sz w:val="21"/>
                <w:szCs w:val="21"/>
              </w:rPr>
              <w:t>захисту</w:t>
            </w:r>
            <w:r w:rsidRPr="00686653">
              <w:rPr>
                <w:rFonts w:ascii="Arial" w:hAnsi="Arial" w:cs="Arial"/>
                <w:sz w:val="21"/>
                <w:szCs w:val="21"/>
              </w:rPr>
              <w:t xml:space="preserve"> </w:t>
            </w:r>
            <w:r w:rsidRPr="00AB7083">
              <w:rPr>
                <w:rFonts w:ascii="Arial" w:hAnsi="Arial" w:cs="Arial"/>
                <w:sz w:val="21"/>
                <w:szCs w:val="21"/>
              </w:rPr>
              <w:t>Науково-технічної</w:t>
            </w:r>
            <w:r w:rsidRPr="00686653">
              <w:rPr>
                <w:rFonts w:ascii="Arial" w:hAnsi="Arial" w:cs="Arial"/>
                <w:sz w:val="21"/>
                <w:szCs w:val="21"/>
              </w:rPr>
              <w:t xml:space="preserve"> </w:t>
            </w:r>
            <w:r w:rsidRPr="00AB7083">
              <w:rPr>
                <w:rFonts w:ascii="Arial" w:hAnsi="Arial" w:cs="Arial"/>
                <w:sz w:val="21"/>
                <w:szCs w:val="21"/>
              </w:rPr>
              <w:t>ради</w:t>
            </w:r>
            <w:r w:rsidRPr="00686653">
              <w:rPr>
                <w:rFonts w:ascii="Arial" w:hAnsi="Arial" w:cs="Arial"/>
                <w:sz w:val="21"/>
                <w:szCs w:val="21"/>
              </w:rPr>
              <w:t xml:space="preserve"> </w:t>
            </w:r>
            <w:r w:rsidRPr="00AB7083">
              <w:rPr>
                <w:rFonts w:ascii="Arial" w:hAnsi="Arial" w:cs="Arial"/>
                <w:sz w:val="21"/>
                <w:szCs w:val="21"/>
              </w:rPr>
              <w:t>Міністерства</w:t>
            </w:r>
            <w:r w:rsidRPr="00686653">
              <w:rPr>
                <w:rFonts w:ascii="Arial" w:hAnsi="Arial" w:cs="Arial"/>
                <w:sz w:val="21"/>
                <w:szCs w:val="21"/>
              </w:rPr>
              <w:t xml:space="preserve"> </w:t>
            </w:r>
            <w:r w:rsidRPr="00AB7083">
              <w:rPr>
                <w:rFonts w:ascii="Arial" w:hAnsi="Arial" w:cs="Arial"/>
                <w:sz w:val="21"/>
                <w:szCs w:val="21"/>
              </w:rPr>
              <w:t>розвитку</w:t>
            </w:r>
            <w:r w:rsidRPr="00686653">
              <w:rPr>
                <w:rFonts w:ascii="Arial" w:hAnsi="Arial" w:cs="Arial"/>
                <w:sz w:val="21"/>
                <w:szCs w:val="21"/>
              </w:rPr>
              <w:t xml:space="preserve"> </w:t>
            </w:r>
            <w:r w:rsidRPr="00AB7083">
              <w:rPr>
                <w:rFonts w:ascii="Arial" w:hAnsi="Arial" w:cs="Arial"/>
                <w:sz w:val="21"/>
                <w:szCs w:val="21"/>
              </w:rPr>
              <w:t>громад,</w:t>
            </w:r>
            <w:r w:rsidRPr="00686653">
              <w:rPr>
                <w:rFonts w:ascii="Arial" w:hAnsi="Arial" w:cs="Arial"/>
                <w:sz w:val="21"/>
                <w:szCs w:val="21"/>
              </w:rPr>
              <w:t xml:space="preserve"> </w:t>
            </w:r>
            <w:r w:rsidRPr="00AB7083">
              <w:rPr>
                <w:rFonts w:ascii="Arial" w:hAnsi="Arial" w:cs="Arial"/>
                <w:sz w:val="21"/>
                <w:szCs w:val="21"/>
              </w:rPr>
              <w:t>територій</w:t>
            </w:r>
            <w:r w:rsidRPr="00686653">
              <w:rPr>
                <w:rFonts w:ascii="Arial" w:hAnsi="Arial" w:cs="Arial"/>
                <w:sz w:val="21"/>
                <w:szCs w:val="21"/>
              </w:rPr>
              <w:t xml:space="preserve"> </w:t>
            </w:r>
            <w:r w:rsidRPr="00AB7083">
              <w:rPr>
                <w:rFonts w:ascii="Arial" w:hAnsi="Arial" w:cs="Arial"/>
                <w:sz w:val="21"/>
                <w:szCs w:val="21"/>
              </w:rPr>
              <w:t>та</w:t>
            </w:r>
            <w:r w:rsidRPr="00686653">
              <w:rPr>
                <w:rFonts w:ascii="Arial" w:hAnsi="Arial" w:cs="Arial"/>
                <w:sz w:val="21"/>
                <w:szCs w:val="21"/>
              </w:rPr>
              <w:t xml:space="preserve"> </w:t>
            </w:r>
            <w:r w:rsidRPr="00AB7083">
              <w:rPr>
                <w:rFonts w:ascii="Arial" w:hAnsi="Arial" w:cs="Arial"/>
                <w:sz w:val="21"/>
                <w:szCs w:val="21"/>
              </w:rPr>
              <w:t>інфраструктури України (утворена рішенням НТР Міністерства розвитку</w:t>
            </w:r>
            <w:r w:rsidRPr="00686653">
              <w:rPr>
                <w:rFonts w:ascii="Arial" w:hAnsi="Arial" w:cs="Arial"/>
                <w:sz w:val="21"/>
                <w:szCs w:val="21"/>
              </w:rPr>
              <w:t xml:space="preserve"> </w:t>
            </w:r>
            <w:r w:rsidRPr="00AB7083">
              <w:rPr>
                <w:rFonts w:ascii="Arial" w:hAnsi="Arial" w:cs="Arial"/>
                <w:spacing w:val="-1"/>
                <w:sz w:val="21"/>
                <w:szCs w:val="21"/>
              </w:rPr>
              <w:t xml:space="preserve">громад, територій та інфраструктури України, </w:t>
            </w:r>
            <w:r w:rsidRPr="00AB7083">
              <w:rPr>
                <w:rFonts w:ascii="Arial" w:hAnsi="Arial" w:cs="Arial"/>
                <w:sz w:val="21"/>
                <w:szCs w:val="21"/>
              </w:rPr>
              <w:t>протокол №1 від 02 червня</w:t>
            </w:r>
            <w:r w:rsidRPr="00686653">
              <w:rPr>
                <w:rFonts w:ascii="Arial" w:hAnsi="Arial" w:cs="Arial"/>
                <w:sz w:val="21"/>
                <w:szCs w:val="21"/>
              </w:rPr>
              <w:t xml:space="preserve"> </w:t>
            </w:r>
            <w:r w:rsidRPr="00AB7083">
              <w:rPr>
                <w:rFonts w:ascii="Arial" w:hAnsi="Arial" w:cs="Arial"/>
                <w:sz w:val="21"/>
                <w:szCs w:val="21"/>
              </w:rPr>
              <w:t>2023</w:t>
            </w:r>
            <w:r w:rsidRPr="00686653">
              <w:rPr>
                <w:rFonts w:ascii="Arial" w:hAnsi="Arial" w:cs="Arial"/>
                <w:sz w:val="21"/>
                <w:szCs w:val="21"/>
              </w:rPr>
              <w:t xml:space="preserve"> </w:t>
            </w:r>
            <w:r w:rsidRPr="00AB7083">
              <w:rPr>
                <w:rFonts w:ascii="Arial" w:hAnsi="Arial" w:cs="Arial"/>
                <w:sz w:val="21"/>
                <w:szCs w:val="21"/>
              </w:rPr>
              <w:t>року)</w:t>
            </w:r>
          </w:p>
        </w:tc>
      </w:tr>
    </w:tbl>
    <w:p w14:paraId="19DAF5C6" w14:textId="77777777" w:rsidR="00B37CCE" w:rsidRDefault="00B37CCE" w:rsidP="00867289">
      <w:pPr>
        <w:spacing w:before="0" w:line="288" w:lineRule="auto"/>
        <w:ind w:firstLine="0"/>
        <w:rPr>
          <w:color w:val="000000" w:themeColor="text1"/>
          <w:sz w:val="21"/>
          <w:szCs w:val="21"/>
        </w:rPr>
        <w:sectPr w:rsidR="00B37CCE" w:rsidSect="007F5EEB">
          <w:footerReference w:type="even" r:id="rId16"/>
          <w:footerReference w:type="default" r:id="rId17"/>
          <w:headerReference w:type="first" r:id="rId18"/>
          <w:footerReference w:type="first" r:id="rId19"/>
          <w:pgSz w:w="11906" w:h="16838" w:code="9"/>
          <w:pgMar w:top="851" w:right="1134" w:bottom="567" w:left="1134" w:header="709" w:footer="709" w:gutter="0"/>
          <w:pgNumType w:start="1"/>
          <w:cols w:space="720"/>
          <w:docGrid w:linePitch="299"/>
        </w:sectPr>
      </w:pPr>
    </w:p>
    <w:tbl>
      <w:tblPr>
        <w:tblStyle w:val="affffffffffffffffffffffffffffff8"/>
        <w:tblW w:w="9600" w:type="dxa"/>
        <w:tblInd w:w="-5" w:type="dxa"/>
        <w:tblLayout w:type="fixed"/>
        <w:tblLook w:val="0000" w:firstRow="0" w:lastRow="0" w:firstColumn="0" w:lastColumn="0" w:noHBand="0" w:noVBand="0"/>
      </w:tblPr>
      <w:tblGrid>
        <w:gridCol w:w="2070"/>
        <w:gridCol w:w="7530"/>
      </w:tblGrid>
      <w:tr w:rsidR="006E7926" w:rsidRPr="00CA7C54" w14:paraId="14C36EC8" w14:textId="77777777" w:rsidTr="00E40099">
        <w:trPr>
          <w:trHeight w:val="492"/>
        </w:trPr>
        <w:tc>
          <w:tcPr>
            <w:tcW w:w="2070" w:type="dxa"/>
            <w:shd w:val="clear" w:color="auto" w:fill="FFFFFF"/>
          </w:tcPr>
          <w:p w14:paraId="0B881F84" w14:textId="77777777" w:rsidR="006E7926" w:rsidRDefault="00867289" w:rsidP="006E7926">
            <w:pPr>
              <w:pStyle w:val="afffffffffffffffffffffffffffffffffa"/>
              <w:spacing w:after="0" w:line="240" w:lineRule="auto"/>
              <w:ind w:firstLine="0"/>
              <w:rPr>
                <w:rFonts w:ascii="Arial" w:hAnsi="Arial" w:cs="Arial"/>
                <w:sz w:val="21"/>
                <w:szCs w:val="21"/>
              </w:rPr>
            </w:pPr>
            <w:r w:rsidRPr="00AB7083">
              <w:rPr>
                <w:rFonts w:ascii="Arial" w:hAnsi="Arial" w:cs="Arial"/>
                <w:sz w:val="21"/>
                <w:szCs w:val="21"/>
              </w:rPr>
              <w:lastRenderedPageBreak/>
              <w:t>ВНЕСЕНО</w:t>
            </w:r>
          </w:p>
          <w:p w14:paraId="002DC6FA" w14:textId="77777777" w:rsidR="00867289" w:rsidRPr="006E7926" w:rsidRDefault="00867289" w:rsidP="006E7926">
            <w:pPr>
              <w:pStyle w:val="afffffffffffffffffffffffffffffffffa"/>
              <w:spacing w:after="0" w:line="240" w:lineRule="auto"/>
              <w:ind w:firstLine="0"/>
            </w:pPr>
            <w:r>
              <w:rPr>
                <w:rFonts w:ascii="Arial" w:hAnsi="Arial" w:cs="Arial"/>
                <w:sz w:val="21"/>
                <w:szCs w:val="21"/>
              </w:rPr>
              <w:t>ЗМІНА № 1:</w:t>
            </w:r>
          </w:p>
        </w:tc>
        <w:tc>
          <w:tcPr>
            <w:tcW w:w="7530" w:type="dxa"/>
            <w:shd w:val="clear" w:color="auto" w:fill="FFFFFF"/>
          </w:tcPr>
          <w:p w14:paraId="773704E3" w14:textId="77777777" w:rsidR="006E7926" w:rsidRPr="00CA7C54" w:rsidRDefault="00867289" w:rsidP="00D53492">
            <w:pPr>
              <w:spacing w:before="0"/>
              <w:ind w:firstLine="0"/>
              <w:rPr>
                <w:color w:val="000000" w:themeColor="text1"/>
                <w:sz w:val="21"/>
                <w:szCs w:val="21"/>
              </w:rPr>
            </w:pPr>
            <w:r w:rsidRPr="00AB7083">
              <w:rPr>
                <w:rFonts w:ascii="Arial" w:hAnsi="Arial" w:cs="Arial"/>
                <w:sz w:val="21"/>
                <w:szCs w:val="21"/>
              </w:rPr>
              <w:t>Департамент технічного регулювання у будівництві Міністерства</w:t>
            </w:r>
            <w:r w:rsidR="00686653" w:rsidRPr="00686653">
              <w:rPr>
                <w:rFonts w:ascii="Arial" w:hAnsi="Arial" w:cs="Arial"/>
                <w:sz w:val="21"/>
                <w:szCs w:val="21"/>
                <w:lang w:val="ru-RU"/>
              </w:rPr>
              <w:t xml:space="preserve"> </w:t>
            </w:r>
            <w:r w:rsidRPr="00AB7083">
              <w:rPr>
                <w:rFonts w:ascii="Arial" w:hAnsi="Arial" w:cs="Arial"/>
                <w:sz w:val="21"/>
                <w:szCs w:val="21"/>
              </w:rPr>
              <w:t>розвитку</w:t>
            </w:r>
            <w:r w:rsidR="00686653" w:rsidRPr="00686653">
              <w:rPr>
                <w:rFonts w:ascii="Arial" w:hAnsi="Arial" w:cs="Arial"/>
                <w:sz w:val="21"/>
                <w:szCs w:val="21"/>
                <w:lang w:val="ru-RU"/>
              </w:rPr>
              <w:t xml:space="preserve"> </w:t>
            </w:r>
            <w:r w:rsidRPr="00AB7083">
              <w:rPr>
                <w:rFonts w:ascii="Arial" w:hAnsi="Arial" w:cs="Arial"/>
                <w:sz w:val="21"/>
                <w:szCs w:val="21"/>
              </w:rPr>
              <w:t>громад,</w:t>
            </w:r>
            <w:r w:rsidR="00686653" w:rsidRPr="00686653">
              <w:rPr>
                <w:rFonts w:ascii="Arial" w:hAnsi="Arial" w:cs="Arial"/>
                <w:sz w:val="21"/>
                <w:szCs w:val="21"/>
                <w:lang w:val="ru-RU"/>
              </w:rPr>
              <w:t xml:space="preserve"> </w:t>
            </w:r>
            <w:r w:rsidRPr="00AB7083">
              <w:rPr>
                <w:rFonts w:ascii="Arial" w:hAnsi="Arial" w:cs="Arial"/>
                <w:sz w:val="21"/>
                <w:szCs w:val="21"/>
              </w:rPr>
              <w:t>територій</w:t>
            </w:r>
            <w:r w:rsidR="00686653" w:rsidRPr="00686653">
              <w:rPr>
                <w:rFonts w:ascii="Arial" w:hAnsi="Arial" w:cs="Arial"/>
                <w:sz w:val="21"/>
                <w:szCs w:val="21"/>
                <w:lang w:val="ru-RU"/>
              </w:rPr>
              <w:t xml:space="preserve"> </w:t>
            </w:r>
            <w:r w:rsidRPr="00AB7083">
              <w:rPr>
                <w:rFonts w:ascii="Arial" w:hAnsi="Arial" w:cs="Arial"/>
                <w:sz w:val="21"/>
                <w:szCs w:val="21"/>
              </w:rPr>
              <w:t>та</w:t>
            </w:r>
            <w:r w:rsidR="00686653" w:rsidRPr="00686653">
              <w:rPr>
                <w:rFonts w:ascii="Arial" w:hAnsi="Arial" w:cs="Arial"/>
                <w:sz w:val="21"/>
                <w:szCs w:val="21"/>
                <w:lang w:val="ru-RU"/>
              </w:rPr>
              <w:t xml:space="preserve"> </w:t>
            </w:r>
            <w:r w:rsidRPr="00AB7083">
              <w:rPr>
                <w:rFonts w:ascii="Arial" w:hAnsi="Arial" w:cs="Arial"/>
                <w:sz w:val="21"/>
                <w:szCs w:val="21"/>
              </w:rPr>
              <w:t>інфраструктури</w:t>
            </w:r>
            <w:r w:rsidR="00686653" w:rsidRPr="00686653">
              <w:rPr>
                <w:rFonts w:ascii="Arial" w:hAnsi="Arial" w:cs="Arial"/>
                <w:sz w:val="21"/>
                <w:szCs w:val="21"/>
                <w:lang w:val="ru-RU"/>
              </w:rPr>
              <w:t xml:space="preserve"> </w:t>
            </w:r>
            <w:r w:rsidRPr="00AB7083">
              <w:rPr>
                <w:rFonts w:ascii="Arial" w:hAnsi="Arial" w:cs="Arial"/>
                <w:sz w:val="21"/>
                <w:szCs w:val="21"/>
              </w:rPr>
              <w:t>України</w:t>
            </w:r>
          </w:p>
        </w:tc>
      </w:tr>
      <w:tr w:rsidR="00867289" w:rsidRPr="00CA7C54" w14:paraId="1C321D13" w14:textId="77777777" w:rsidTr="00E40099">
        <w:trPr>
          <w:trHeight w:val="492"/>
        </w:trPr>
        <w:tc>
          <w:tcPr>
            <w:tcW w:w="2070" w:type="dxa"/>
            <w:shd w:val="clear" w:color="auto" w:fill="FFFFFF"/>
          </w:tcPr>
          <w:p w14:paraId="287DA954" w14:textId="77777777" w:rsidR="00867289" w:rsidRDefault="00867289" w:rsidP="00254947">
            <w:pPr>
              <w:pStyle w:val="TableParagraph"/>
              <w:spacing w:before="0"/>
              <w:ind w:firstLine="0"/>
              <w:jc w:val="both"/>
              <w:rPr>
                <w:rFonts w:ascii="Arial" w:hAnsi="Arial" w:cs="Arial"/>
                <w:sz w:val="21"/>
                <w:szCs w:val="21"/>
              </w:rPr>
            </w:pPr>
            <w:r w:rsidRPr="00AB7083">
              <w:rPr>
                <w:rFonts w:ascii="Arial" w:hAnsi="Arial" w:cs="Arial"/>
                <w:sz w:val="21"/>
                <w:szCs w:val="21"/>
              </w:rPr>
              <w:t>ПОГОДЖЕНО</w:t>
            </w:r>
          </w:p>
          <w:p w14:paraId="77D5B79B" w14:textId="77777777" w:rsidR="00867289" w:rsidRDefault="00867289" w:rsidP="00254947">
            <w:pPr>
              <w:pStyle w:val="TableParagraph"/>
              <w:spacing w:before="0"/>
              <w:ind w:firstLine="0"/>
              <w:jc w:val="both"/>
              <w:rPr>
                <w:rFonts w:ascii="Arial" w:hAnsi="Arial" w:cs="Arial"/>
                <w:sz w:val="21"/>
                <w:szCs w:val="21"/>
              </w:rPr>
            </w:pPr>
            <w:r>
              <w:rPr>
                <w:rFonts w:ascii="Arial" w:hAnsi="Arial" w:cs="Arial"/>
                <w:sz w:val="21"/>
                <w:szCs w:val="21"/>
              </w:rPr>
              <w:t>ЗМІНА № 1:</w:t>
            </w:r>
          </w:p>
          <w:p w14:paraId="5CF1A912" w14:textId="77777777" w:rsidR="00867289" w:rsidRPr="00AB7083" w:rsidRDefault="00867289" w:rsidP="00254947">
            <w:pPr>
              <w:pStyle w:val="afffffffffffffffffffffffffffffffffa"/>
              <w:spacing w:after="0" w:line="240" w:lineRule="auto"/>
              <w:ind w:firstLine="0"/>
              <w:rPr>
                <w:sz w:val="21"/>
                <w:szCs w:val="21"/>
              </w:rPr>
            </w:pPr>
          </w:p>
        </w:tc>
        <w:tc>
          <w:tcPr>
            <w:tcW w:w="7530" w:type="dxa"/>
            <w:shd w:val="clear" w:color="auto" w:fill="FFFFFF"/>
            <w:vAlign w:val="bottom"/>
          </w:tcPr>
          <w:p w14:paraId="3DF009CE" w14:textId="77777777" w:rsidR="00867289" w:rsidRDefault="00867289" w:rsidP="00D53492">
            <w:pPr>
              <w:pStyle w:val="TableParagraph"/>
              <w:spacing w:before="0" w:line="264" w:lineRule="auto"/>
              <w:ind w:left="-57" w:right="1757" w:firstLine="0"/>
              <w:contextualSpacing/>
              <w:jc w:val="left"/>
              <w:rPr>
                <w:rFonts w:ascii="Arial" w:hAnsi="Arial" w:cs="Arial"/>
                <w:sz w:val="21"/>
                <w:szCs w:val="21"/>
              </w:rPr>
            </w:pPr>
            <w:r w:rsidRPr="00AB7083">
              <w:rPr>
                <w:rFonts w:ascii="Arial" w:hAnsi="Arial" w:cs="Arial"/>
                <w:sz w:val="21"/>
                <w:szCs w:val="21"/>
              </w:rPr>
              <w:t xml:space="preserve">Державна служба України з надзвичайних ситуацій </w:t>
            </w:r>
          </w:p>
          <w:p w14:paraId="3CB4FDC0" w14:textId="77777777" w:rsidR="00867289" w:rsidRPr="00AB7083" w:rsidRDefault="00867289" w:rsidP="00D53492">
            <w:pPr>
              <w:pStyle w:val="TableParagraph"/>
              <w:spacing w:before="0" w:line="264" w:lineRule="auto"/>
              <w:ind w:left="-57" w:right="1757" w:firstLine="0"/>
              <w:contextualSpacing/>
              <w:jc w:val="left"/>
              <w:rPr>
                <w:rFonts w:ascii="Arial" w:hAnsi="Arial" w:cs="Arial"/>
                <w:sz w:val="21"/>
                <w:szCs w:val="21"/>
              </w:rPr>
            </w:pPr>
            <w:r w:rsidRPr="00AB7083">
              <w:rPr>
                <w:rFonts w:ascii="Arial" w:hAnsi="Arial" w:cs="Arial"/>
                <w:sz w:val="21"/>
                <w:szCs w:val="21"/>
              </w:rPr>
              <w:t>лист від</w:t>
            </w:r>
            <w:r w:rsidR="00686653" w:rsidRPr="00686653">
              <w:rPr>
                <w:rFonts w:ascii="Arial" w:hAnsi="Arial" w:cs="Arial"/>
                <w:sz w:val="21"/>
                <w:szCs w:val="21"/>
                <w:lang w:val="ru-RU"/>
              </w:rPr>
              <w:t xml:space="preserve"> </w:t>
            </w:r>
            <w:r w:rsidRPr="00AB7083">
              <w:rPr>
                <w:rFonts w:ascii="Arial" w:hAnsi="Arial" w:cs="Arial"/>
                <w:sz w:val="21"/>
                <w:szCs w:val="21"/>
              </w:rPr>
              <w:t xml:space="preserve">30.09.2023 №03-18649/162-2 </w:t>
            </w:r>
          </w:p>
          <w:p w14:paraId="06778765" w14:textId="77777777" w:rsidR="00867289" w:rsidRDefault="00867289" w:rsidP="00D53492">
            <w:pPr>
              <w:pStyle w:val="TableParagraph"/>
              <w:spacing w:before="0" w:line="264" w:lineRule="auto"/>
              <w:ind w:left="-624"/>
              <w:contextualSpacing/>
              <w:jc w:val="left"/>
              <w:rPr>
                <w:rFonts w:ascii="Arial" w:hAnsi="Arial" w:cs="Arial"/>
                <w:spacing w:val="-14"/>
                <w:sz w:val="21"/>
                <w:szCs w:val="21"/>
              </w:rPr>
            </w:pPr>
            <w:r w:rsidRPr="00AB7083">
              <w:rPr>
                <w:rFonts w:ascii="Arial" w:hAnsi="Arial" w:cs="Arial"/>
                <w:spacing w:val="-1"/>
                <w:sz w:val="21"/>
                <w:szCs w:val="21"/>
              </w:rPr>
              <w:t>Міністерство</w:t>
            </w:r>
            <w:r w:rsidR="00686653" w:rsidRPr="00686653">
              <w:rPr>
                <w:rFonts w:ascii="Arial" w:hAnsi="Arial" w:cs="Arial"/>
                <w:spacing w:val="-1"/>
                <w:sz w:val="21"/>
                <w:szCs w:val="21"/>
                <w:lang w:val="ru-RU"/>
              </w:rPr>
              <w:t xml:space="preserve"> </w:t>
            </w:r>
            <w:r w:rsidRPr="00AB7083">
              <w:rPr>
                <w:rFonts w:ascii="Arial" w:hAnsi="Arial" w:cs="Arial"/>
                <w:sz w:val="21"/>
                <w:szCs w:val="21"/>
              </w:rPr>
              <w:t>охорони</w:t>
            </w:r>
            <w:r w:rsidR="00686653" w:rsidRPr="00686653">
              <w:rPr>
                <w:rFonts w:ascii="Arial" w:hAnsi="Arial" w:cs="Arial"/>
                <w:sz w:val="21"/>
                <w:szCs w:val="21"/>
                <w:lang w:val="ru-RU"/>
              </w:rPr>
              <w:t xml:space="preserve"> </w:t>
            </w:r>
            <w:r w:rsidRPr="00AB7083">
              <w:rPr>
                <w:rFonts w:ascii="Arial" w:hAnsi="Arial" w:cs="Arial"/>
                <w:sz w:val="21"/>
                <w:szCs w:val="21"/>
              </w:rPr>
              <w:t>здоров’я</w:t>
            </w:r>
            <w:r w:rsidR="00686653" w:rsidRPr="00686653">
              <w:rPr>
                <w:rFonts w:ascii="Arial" w:hAnsi="Arial" w:cs="Arial"/>
                <w:sz w:val="21"/>
                <w:szCs w:val="21"/>
                <w:lang w:val="ru-RU"/>
              </w:rPr>
              <w:t xml:space="preserve"> </w:t>
            </w:r>
            <w:r w:rsidRPr="00AB7083">
              <w:rPr>
                <w:rFonts w:ascii="Arial" w:hAnsi="Arial" w:cs="Arial"/>
                <w:sz w:val="21"/>
                <w:szCs w:val="21"/>
              </w:rPr>
              <w:t>України</w:t>
            </w:r>
          </w:p>
          <w:p w14:paraId="3291DC99" w14:textId="77777777" w:rsidR="00867289" w:rsidRPr="00AB7083" w:rsidRDefault="00686653" w:rsidP="00D53492">
            <w:pPr>
              <w:pStyle w:val="TableParagraph"/>
              <w:spacing w:before="0" w:line="264" w:lineRule="auto"/>
              <w:ind w:left="-57" w:firstLine="57"/>
              <w:contextualSpacing/>
              <w:jc w:val="left"/>
              <w:rPr>
                <w:rFonts w:ascii="Arial" w:hAnsi="Arial" w:cs="Arial"/>
                <w:sz w:val="21"/>
                <w:szCs w:val="21"/>
              </w:rPr>
            </w:pPr>
            <w:r>
              <w:rPr>
                <w:rFonts w:ascii="Arial" w:hAnsi="Arial" w:cs="Arial"/>
                <w:sz w:val="21"/>
                <w:szCs w:val="21"/>
              </w:rPr>
              <w:t>л</w:t>
            </w:r>
            <w:r w:rsidR="00867289" w:rsidRPr="00AB7083">
              <w:rPr>
                <w:rFonts w:ascii="Arial" w:hAnsi="Arial" w:cs="Arial"/>
                <w:sz w:val="21"/>
                <w:szCs w:val="21"/>
              </w:rPr>
              <w:t>ист</w:t>
            </w:r>
            <w:r w:rsidRPr="00686653">
              <w:rPr>
                <w:rFonts w:ascii="Arial" w:hAnsi="Arial" w:cs="Arial"/>
                <w:sz w:val="21"/>
                <w:szCs w:val="21"/>
                <w:lang w:val="ru-RU"/>
              </w:rPr>
              <w:t xml:space="preserve"> </w:t>
            </w:r>
            <w:r w:rsidR="00867289" w:rsidRPr="00AB7083">
              <w:rPr>
                <w:rFonts w:ascii="Arial" w:hAnsi="Arial" w:cs="Arial"/>
                <w:sz w:val="21"/>
                <w:szCs w:val="21"/>
              </w:rPr>
              <w:t>від</w:t>
            </w:r>
            <w:r w:rsidRPr="00686653">
              <w:rPr>
                <w:rFonts w:ascii="Arial" w:hAnsi="Arial" w:cs="Arial"/>
                <w:sz w:val="21"/>
                <w:szCs w:val="21"/>
                <w:lang w:val="ru-RU"/>
              </w:rPr>
              <w:t xml:space="preserve"> </w:t>
            </w:r>
            <w:r w:rsidR="00867289" w:rsidRPr="00AB7083">
              <w:rPr>
                <w:rFonts w:ascii="Arial" w:hAnsi="Arial" w:cs="Arial"/>
                <w:sz w:val="21"/>
                <w:szCs w:val="21"/>
              </w:rPr>
              <w:t>03.10.2023 №21-13/27983/2-23</w:t>
            </w:r>
          </w:p>
          <w:p w14:paraId="20C8A82F" w14:textId="77777777" w:rsidR="00867289" w:rsidRDefault="00867289" w:rsidP="00D53492">
            <w:pPr>
              <w:pStyle w:val="TableParagraph"/>
              <w:spacing w:before="0" w:line="264" w:lineRule="auto"/>
              <w:ind w:left="261" w:hanging="318"/>
              <w:contextualSpacing/>
              <w:jc w:val="left"/>
              <w:rPr>
                <w:rFonts w:ascii="Arial" w:hAnsi="Arial" w:cs="Arial"/>
                <w:spacing w:val="-3"/>
                <w:sz w:val="21"/>
                <w:szCs w:val="21"/>
              </w:rPr>
            </w:pPr>
            <w:r w:rsidRPr="00AB7083">
              <w:rPr>
                <w:rFonts w:ascii="Arial" w:hAnsi="Arial" w:cs="Arial"/>
                <w:sz w:val="21"/>
                <w:szCs w:val="21"/>
              </w:rPr>
              <w:t>Міністерство</w:t>
            </w:r>
            <w:r w:rsidR="00686653">
              <w:rPr>
                <w:rFonts w:ascii="Arial" w:hAnsi="Arial" w:cs="Arial"/>
                <w:sz w:val="21"/>
                <w:szCs w:val="21"/>
              </w:rPr>
              <w:t xml:space="preserve"> </w:t>
            </w:r>
            <w:r w:rsidRPr="00AB7083">
              <w:rPr>
                <w:rFonts w:ascii="Arial" w:hAnsi="Arial" w:cs="Arial"/>
                <w:sz w:val="21"/>
                <w:szCs w:val="21"/>
              </w:rPr>
              <w:t>освіти</w:t>
            </w:r>
            <w:r w:rsidR="00686653">
              <w:rPr>
                <w:rFonts w:ascii="Arial" w:hAnsi="Arial" w:cs="Arial"/>
                <w:sz w:val="21"/>
                <w:szCs w:val="21"/>
              </w:rPr>
              <w:t xml:space="preserve"> </w:t>
            </w:r>
            <w:r w:rsidRPr="00AB7083">
              <w:rPr>
                <w:rFonts w:ascii="Arial" w:hAnsi="Arial" w:cs="Arial"/>
                <w:sz w:val="21"/>
                <w:szCs w:val="21"/>
              </w:rPr>
              <w:t>та</w:t>
            </w:r>
            <w:r w:rsidR="00686653">
              <w:rPr>
                <w:rFonts w:ascii="Arial" w:hAnsi="Arial" w:cs="Arial"/>
                <w:sz w:val="21"/>
                <w:szCs w:val="21"/>
              </w:rPr>
              <w:t xml:space="preserve"> </w:t>
            </w:r>
            <w:r w:rsidRPr="00AB7083">
              <w:rPr>
                <w:rFonts w:ascii="Arial" w:hAnsi="Arial" w:cs="Arial"/>
                <w:sz w:val="21"/>
                <w:szCs w:val="21"/>
              </w:rPr>
              <w:t>науки</w:t>
            </w:r>
            <w:r w:rsidR="00686653">
              <w:rPr>
                <w:rFonts w:ascii="Arial" w:hAnsi="Arial" w:cs="Arial"/>
                <w:sz w:val="21"/>
                <w:szCs w:val="21"/>
              </w:rPr>
              <w:t xml:space="preserve"> </w:t>
            </w:r>
            <w:r w:rsidRPr="00AB7083">
              <w:rPr>
                <w:rFonts w:ascii="Arial" w:hAnsi="Arial" w:cs="Arial"/>
                <w:sz w:val="21"/>
                <w:szCs w:val="21"/>
              </w:rPr>
              <w:t>України</w:t>
            </w:r>
          </w:p>
          <w:p w14:paraId="4CE8DB4E" w14:textId="77777777" w:rsidR="00867289" w:rsidRPr="00AB7083" w:rsidRDefault="00686653" w:rsidP="00D53492">
            <w:pPr>
              <w:spacing w:before="0"/>
              <w:ind w:firstLine="0"/>
              <w:jc w:val="left"/>
              <w:rPr>
                <w:sz w:val="21"/>
                <w:szCs w:val="21"/>
              </w:rPr>
            </w:pPr>
            <w:r>
              <w:rPr>
                <w:rFonts w:ascii="Arial" w:hAnsi="Arial" w:cs="Arial"/>
                <w:sz w:val="21"/>
                <w:szCs w:val="21"/>
              </w:rPr>
              <w:t>л</w:t>
            </w:r>
            <w:r w:rsidR="00867289" w:rsidRPr="00AB7083">
              <w:rPr>
                <w:rFonts w:ascii="Arial" w:hAnsi="Arial" w:cs="Arial"/>
                <w:sz w:val="21"/>
                <w:szCs w:val="21"/>
              </w:rPr>
              <w:t>ист</w:t>
            </w:r>
            <w:r>
              <w:rPr>
                <w:rFonts w:ascii="Arial" w:hAnsi="Arial" w:cs="Arial"/>
                <w:sz w:val="21"/>
                <w:szCs w:val="21"/>
              </w:rPr>
              <w:t xml:space="preserve"> </w:t>
            </w:r>
            <w:r w:rsidR="00867289" w:rsidRPr="00AB7083">
              <w:rPr>
                <w:rFonts w:ascii="Arial" w:hAnsi="Arial" w:cs="Arial"/>
                <w:sz w:val="21"/>
                <w:szCs w:val="21"/>
              </w:rPr>
              <w:t>від</w:t>
            </w:r>
            <w:r>
              <w:rPr>
                <w:rFonts w:ascii="Arial" w:hAnsi="Arial" w:cs="Arial"/>
                <w:sz w:val="21"/>
                <w:szCs w:val="21"/>
              </w:rPr>
              <w:t xml:space="preserve"> </w:t>
            </w:r>
            <w:r w:rsidR="00867289" w:rsidRPr="00AB7083">
              <w:rPr>
                <w:rFonts w:ascii="Arial" w:hAnsi="Arial" w:cs="Arial"/>
                <w:sz w:val="21"/>
                <w:szCs w:val="21"/>
              </w:rPr>
              <w:t>05.10.2023 №1/15379з-23</w:t>
            </w:r>
          </w:p>
        </w:tc>
      </w:tr>
      <w:tr w:rsidR="00867289" w:rsidRPr="00CA7C54" w14:paraId="0095E6CE" w14:textId="77777777" w:rsidTr="00E40099">
        <w:trPr>
          <w:trHeight w:val="492"/>
        </w:trPr>
        <w:tc>
          <w:tcPr>
            <w:tcW w:w="2070" w:type="dxa"/>
            <w:shd w:val="clear" w:color="auto" w:fill="FFFFFF"/>
          </w:tcPr>
          <w:p w14:paraId="49921E4B" w14:textId="77777777" w:rsidR="00867289" w:rsidRDefault="00867289" w:rsidP="00254947">
            <w:pPr>
              <w:pStyle w:val="TableParagraph"/>
              <w:spacing w:before="0"/>
              <w:ind w:firstLine="0"/>
              <w:jc w:val="both"/>
              <w:rPr>
                <w:rFonts w:ascii="Arial" w:hAnsi="Arial" w:cs="Arial"/>
                <w:spacing w:val="-1"/>
                <w:sz w:val="21"/>
                <w:szCs w:val="21"/>
              </w:rPr>
            </w:pPr>
            <w:r w:rsidRPr="00AB7083">
              <w:rPr>
                <w:rFonts w:ascii="Arial" w:hAnsi="Arial" w:cs="Arial"/>
                <w:spacing w:val="-1"/>
                <w:sz w:val="21"/>
                <w:szCs w:val="21"/>
              </w:rPr>
              <w:t>ЗАТВЕРДЖЕНО</w:t>
            </w:r>
          </w:p>
          <w:p w14:paraId="05A10C86" w14:textId="77777777" w:rsidR="00867289" w:rsidRDefault="00867289" w:rsidP="00254947">
            <w:pPr>
              <w:pStyle w:val="TableParagraph"/>
              <w:spacing w:before="0"/>
              <w:ind w:firstLine="0"/>
              <w:jc w:val="both"/>
              <w:rPr>
                <w:rFonts w:ascii="Arial" w:hAnsi="Arial" w:cs="Arial"/>
                <w:sz w:val="21"/>
                <w:szCs w:val="21"/>
              </w:rPr>
            </w:pPr>
            <w:r>
              <w:rPr>
                <w:rFonts w:ascii="Arial" w:hAnsi="Arial" w:cs="Arial"/>
                <w:sz w:val="21"/>
                <w:szCs w:val="21"/>
              </w:rPr>
              <w:t>ЗМІНА № 1:</w:t>
            </w:r>
          </w:p>
          <w:p w14:paraId="0E6A2C07" w14:textId="77777777" w:rsidR="00867289" w:rsidRPr="00AB7083" w:rsidRDefault="00867289" w:rsidP="00867289">
            <w:pPr>
              <w:pStyle w:val="TableParagraph"/>
              <w:spacing w:before="78"/>
              <w:ind w:firstLine="0"/>
              <w:jc w:val="both"/>
              <w:rPr>
                <w:rFonts w:ascii="Arial" w:hAnsi="Arial" w:cs="Arial"/>
                <w:sz w:val="21"/>
                <w:szCs w:val="21"/>
              </w:rPr>
            </w:pPr>
          </w:p>
        </w:tc>
        <w:tc>
          <w:tcPr>
            <w:tcW w:w="7530" w:type="dxa"/>
            <w:shd w:val="clear" w:color="auto" w:fill="FFFFFF"/>
          </w:tcPr>
          <w:p w14:paraId="1A27B6A0" w14:textId="77777777" w:rsidR="00867289" w:rsidRDefault="00867289" w:rsidP="00D53492">
            <w:pPr>
              <w:pStyle w:val="TableParagraph"/>
              <w:spacing w:before="0" w:line="264" w:lineRule="auto"/>
              <w:ind w:left="-57" w:right="1757" w:firstLine="0"/>
              <w:contextualSpacing/>
              <w:jc w:val="left"/>
              <w:rPr>
                <w:rFonts w:ascii="Arial" w:hAnsi="Arial" w:cs="Arial"/>
                <w:sz w:val="21"/>
                <w:szCs w:val="21"/>
              </w:rPr>
            </w:pPr>
            <w:r w:rsidRPr="00AB7083">
              <w:rPr>
                <w:rFonts w:ascii="Arial" w:hAnsi="Arial" w:cs="Arial"/>
                <w:spacing w:val="-1"/>
                <w:sz w:val="21"/>
                <w:szCs w:val="21"/>
              </w:rPr>
              <w:t xml:space="preserve">наказ Міністерства розвитку громад, територій та </w:t>
            </w:r>
            <w:r w:rsidRPr="00AB7083">
              <w:rPr>
                <w:rFonts w:ascii="Arial" w:hAnsi="Arial" w:cs="Arial"/>
                <w:sz w:val="21"/>
                <w:szCs w:val="21"/>
              </w:rPr>
              <w:t>інфраструктури</w:t>
            </w:r>
            <w:r w:rsidR="00686653">
              <w:rPr>
                <w:rFonts w:ascii="Arial" w:hAnsi="Arial" w:cs="Arial"/>
                <w:sz w:val="21"/>
                <w:szCs w:val="21"/>
              </w:rPr>
              <w:t xml:space="preserve"> </w:t>
            </w:r>
            <w:r w:rsidRPr="00AB7083">
              <w:rPr>
                <w:rFonts w:ascii="Arial" w:hAnsi="Arial" w:cs="Arial"/>
                <w:sz w:val="21"/>
                <w:szCs w:val="21"/>
              </w:rPr>
              <w:t>України</w:t>
            </w:r>
            <w:r w:rsidR="00686653">
              <w:rPr>
                <w:rFonts w:ascii="Arial" w:hAnsi="Arial" w:cs="Arial"/>
                <w:sz w:val="21"/>
                <w:szCs w:val="21"/>
              </w:rPr>
              <w:t xml:space="preserve"> </w:t>
            </w:r>
            <w:r w:rsidRPr="00AB7083">
              <w:rPr>
                <w:rFonts w:ascii="Arial" w:hAnsi="Arial" w:cs="Arial"/>
                <w:sz w:val="21"/>
                <w:szCs w:val="21"/>
              </w:rPr>
              <w:t>від</w:t>
            </w:r>
            <w:r>
              <w:rPr>
                <w:rFonts w:ascii="Arial" w:hAnsi="Arial" w:cs="Arial"/>
                <w:sz w:val="21"/>
                <w:szCs w:val="21"/>
              </w:rPr>
              <w:t xml:space="preserve"> 10.10.2023  </w:t>
            </w:r>
            <w:r w:rsidRPr="00AB7083">
              <w:rPr>
                <w:rFonts w:ascii="Arial" w:hAnsi="Arial" w:cs="Arial"/>
                <w:sz w:val="21"/>
                <w:szCs w:val="21"/>
              </w:rPr>
              <w:t>№</w:t>
            </w:r>
            <w:r>
              <w:rPr>
                <w:rFonts w:ascii="Arial" w:hAnsi="Arial" w:cs="Arial"/>
                <w:sz w:val="21"/>
                <w:szCs w:val="21"/>
              </w:rPr>
              <w:t xml:space="preserve"> 921</w:t>
            </w:r>
          </w:p>
        </w:tc>
      </w:tr>
      <w:tr w:rsidR="00867289" w:rsidRPr="00CA7C54" w14:paraId="2E73E7D5" w14:textId="77777777" w:rsidTr="00E40099">
        <w:trPr>
          <w:trHeight w:val="684"/>
        </w:trPr>
        <w:tc>
          <w:tcPr>
            <w:tcW w:w="2070" w:type="dxa"/>
            <w:shd w:val="clear" w:color="auto" w:fill="FFFFFF"/>
          </w:tcPr>
          <w:p w14:paraId="11C415AD" w14:textId="77777777" w:rsidR="00867289" w:rsidRDefault="00867289" w:rsidP="00254947">
            <w:pPr>
              <w:pStyle w:val="TableParagraph"/>
              <w:spacing w:before="0"/>
              <w:ind w:firstLine="0"/>
              <w:jc w:val="left"/>
              <w:rPr>
                <w:rFonts w:ascii="Arial" w:hAnsi="Arial" w:cs="Arial"/>
                <w:sz w:val="21"/>
                <w:szCs w:val="21"/>
              </w:rPr>
            </w:pPr>
            <w:r w:rsidRPr="00AB7083">
              <w:rPr>
                <w:rFonts w:ascii="Arial" w:hAnsi="Arial" w:cs="Arial"/>
                <w:sz w:val="21"/>
                <w:szCs w:val="21"/>
              </w:rPr>
              <w:t>НАБРАННЯ</w:t>
            </w:r>
            <w:r w:rsidR="00686653">
              <w:rPr>
                <w:rFonts w:ascii="Arial" w:hAnsi="Arial" w:cs="Arial"/>
                <w:sz w:val="21"/>
                <w:szCs w:val="21"/>
              </w:rPr>
              <w:t xml:space="preserve"> </w:t>
            </w:r>
            <w:r w:rsidRPr="00AB7083">
              <w:rPr>
                <w:rFonts w:ascii="Arial" w:hAnsi="Arial" w:cs="Arial"/>
                <w:sz w:val="21"/>
                <w:szCs w:val="21"/>
              </w:rPr>
              <w:t>ЧИННОСТІ</w:t>
            </w:r>
          </w:p>
          <w:p w14:paraId="154E4AB7" w14:textId="79BDF27D" w:rsidR="00867289" w:rsidRPr="00527B5E" w:rsidRDefault="00867289" w:rsidP="00527B5E">
            <w:pPr>
              <w:pStyle w:val="TableParagraph"/>
              <w:spacing w:before="0"/>
              <w:ind w:firstLine="0"/>
              <w:jc w:val="left"/>
              <w:rPr>
                <w:rFonts w:ascii="Arial" w:hAnsi="Arial" w:cs="Arial"/>
                <w:sz w:val="21"/>
                <w:szCs w:val="21"/>
              </w:rPr>
            </w:pPr>
            <w:r>
              <w:rPr>
                <w:rFonts w:ascii="Arial" w:hAnsi="Arial" w:cs="Arial"/>
                <w:sz w:val="21"/>
                <w:szCs w:val="21"/>
              </w:rPr>
              <w:t>ЗМІНА № 1:</w:t>
            </w:r>
          </w:p>
        </w:tc>
        <w:tc>
          <w:tcPr>
            <w:tcW w:w="7530" w:type="dxa"/>
            <w:shd w:val="clear" w:color="auto" w:fill="FFFFFF"/>
            <w:vAlign w:val="center"/>
          </w:tcPr>
          <w:p w14:paraId="77951C84" w14:textId="77777777" w:rsidR="00867289" w:rsidRPr="00AB7083" w:rsidRDefault="00686653" w:rsidP="00D53492">
            <w:pPr>
              <w:pStyle w:val="TableParagraph"/>
              <w:spacing w:before="0" w:line="264" w:lineRule="auto"/>
              <w:ind w:left="-57" w:right="1757" w:firstLine="0"/>
              <w:contextualSpacing/>
              <w:jc w:val="left"/>
              <w:rPr>
                <w:rFonts w:ascii="Arial" w:hAnsi="Arial" w:cs="Arial"/>
                <w:spacing w:val="-1"/>
                <w:sz w:val="21"/>
                <w:szCs w:val="21"/>
              </w:rPr>
            </w:pPr>
            <w:r w:rsidRPr="00AB7083">
              <w:rPr>
                <w:rFonts w:ascii="Arial" w:hAnsi="Arial" w:cs="Arial"/>
                <w:sz w:val="21"/>
                <w:szCs w:val="21"/>
              </w:rPr>
              <w:t>З</w:t>
            </w:r>
            <w:r>
              <w:rPr>
                <w:rFonts w:ascii="Arial" w:hAnsi="Arial" w:cs="Arial"/>
                <w:sz w:val="21"/>
                <w:szCs w:val="21"/>
              </w:rPr>
              <w:t xml:space="preserve"> </w:t>
            </w:r>
            <w:r w:rsidR="00867289" w:rsidRPr="00AB7083">
              <w:rPr>
                <w:rFonts w:ascii="Arial" w:hAnsi="Arial" w:cs="Arial"/>
                <w:sz w:val="21"/>
                <w:szCs w:val="21"/>
              </w:rPr>
              <w:t>2023</w:t>
            </w:r>
            <w:r w:rsidR="00867289">
              <w:rPr>
                <w:rFonts w:ascii="Arial" w:hAnsi="Arial" w:cs="Arial"/>
                <w:sz w:val="21"/>
                <w:szCs w:val="21"/>
              </w:rPr>
              <w:t xml:space="preserve"> -11- 01</w:t>
            </w:r>
          </w:p>
        </w:tc>
      </w:tr>
      <w:tr w:rsidR="00527B5E" w:rsidRPr="00CA7C54" w14:paraId="22C3CF33" w14:textId="77777777" w:rsidTr="00E40099">
        <w:trPr>
          <w:trHeight w:val="470"/>
        </w:trPr>
        <w:tc>
          <w:tcPr>
            <w:tcW w:w="2070" w:type="dxa"/>
            <w:shd w:val="clear" w:color="auto" w:fill="FFFFFF"/>
          </w:tcPr>
          <w:p w14:paraId="7E97A008" w14:textId="77777777" w:rsidR="00527B5E" w:rsidRPr="006E7926" w:rsidRDefault="00527B5E" w:rsidP="00527B5E">
            <w:pPr>
              <w:pStyle w:val="afffffffffffffffffffffffffffffffffa"/>
              <w:spacing w:after="0" w:line="240" w:lineRule="auto"/>
              <w:ind w:firstLine="0"/>
              <w:rPr>
                <w:rFonts w:ascii="Arial" w:hAnsi="Arial" w:cs="Arial"/>
              </w:rPr>
            </w:pPr>
            <w:r w:rsidRPr="006E7926">
              <w:rPr>
                <w:rFonts w:ascii="Arial" w:hAnsi="Arial" w:cs="Arial"/>
              </w:rPr>
              <w:t>РОЗРОБЛЕНО</w:t>
            </w:r>
          </w:p>
          <w:p w14:paraId="7E633286" w14:textId="38267305" w:rsidR="00527B5E" w:rsidRPr="00AB7083" w:rsidRDefault="00527B5E" w:rsidP="00527B5E">
            <w:pPr>
              <w:pStyle w:val="TableParagraph"/>
              <w:spacing w:before="0"/>
              <w:ind w:firstLine="0"/>
              <w:jc w:val="left"/>
              <w:rPr>
                <w:rFonts w:ascii="Arial" w:hAnsi="Arial" w:cs="Arial"/>
                <w:sz w:val="21"/>
                <w:szCs w:val="21"/>
              </w:rPr>
            </w:pPr>
            <w:r w:rsidRPr="006E7926">
              <w:rPr>
                <w:rFonts w:ascii="Arial" w:hAnsi="Arial" w:cs="Arial"/>
              </w:rPr>
              <w:t xml:space="preserve">ЗМІНА № </w:t>
            </w:r>
            <w:r>
              <w:rPr>
                <w:rFonts w:ascii="Arial" w:hAnsi="Arial" w:cs="Arial"/>
              </w:rPr>
              <w:t>2</w:t>
            </w:r>
            <w:r w:rsidRPr="006E7926">
              <w:rPr>
                <w:rFonts w:ascii="Arial" w:hAnsi="Arial" w:cs="Arial"/>
              </w:rPr>
              <w:t>:</w:t>
            </w:r>
          </w:p>
        </w:tc>
        <w:tc>
          <w:tcPr>
            <w:tcW w:w="7530" w:type="dxa"/>
            <w:shd w:val="clear" w:color="auto" w:fill="FFFFFF"/>
          </w:tcPr>
          <w:p w14:paraId="3E963032" w14:textId="59E914C2" w:rsidR="00527B5E" w:rsidRPr="00AB7083" w:rsidRDefault="00527B5E" w:rsidP="00D53492">
            <w:pPr>
              <w:pStyle w:val="TableParagraph"/>
              <w:spacing w:before="0" w:line="264" w:lineRule="auto"/>
              <w:ind w:left="-57" w:right="1757" w:firstLine="0"/>
              <w:contextualSpacing/>
              <w:jc w:val="left"/>
              <w:rPr>
                <w:rFonts w:ascii="Arial" w:hAnsi="Arial" w:cs="Arial"/>
                <w:sz w:val="21"/>
                <w:szCs w:val="21"/>
              </w:rPr>
            </w:pPr>
            <w:r w:rsidRPr="00AB7083">
              <w:rPr>
                <w:rFonts w:ascii="Arial" w:hAnsi="Arial" w:cs="Arial"/>
                <w:spacing w:val="-1"/>
                <w:sz w:val="21"/>
                <w:szCs w:val="21"/>
              </w:rPr>
              <w:t>Міністерство</w:t>
            </w:r>
            <w:r w:rsidRPr="00686653">
              <w:rPr>
                <w:rFonts w:ascii="Arial" w:hAnsi="Arial" w:cs="Arial"/>
                <w:spacing w:val="-1"/>
                <w:sz w:val="21"/>
                <w:szCs w:val="21"/>
                <w:lang w:val="ru-RU"/>
              </w:rPr>
              <w:t xml:space="preserve"> </w:t>
            </w:r>
            <w:r w:rsidRPr="00AB7083">
              <w:rPr>
                <w:rFonts w:ascii="Arial" w:hAnsi="Arial" w:cs="Arial"/>
                <w:spacing w:val="-1"/>
                <w:sz w:val="21"/>
                <w:szCs w:val="21"/>
              </w:rPr>
              <w:t>розвитку</w:t>
            </w:r>
            <w:r w:rsidRPr="00686653">
              <w:rPr>
                <w:rFonts w:ascii="Arial" w:hAnsi="Arial" w:cs="Arial"/>
                <w:spacing w:val="-1"/>
                <w:sz w:val="21"/>
                <w:szCs w:val="21"/>
                <w:lang w:val="ru-RU"/>
              </w:rPr>
              <w:t xml:space="preserve"> </w:t>
            </w:r>
            <w:r w:rsidRPr="00AB7083">
              <w:rPr>
                <w:rFonts w:ascii="Arial" w:hAnsi="Arial" w:cs="Arial"/>
                <w:spacing w:val="-1"/>
                <w:sz w:val="21"/>
                <w:szCs w:val="21"/>
              </w:rPr>
              <w:t>громад</w:t>
            </w:r>
            <w:r>
              <w:rPr>
                <w:rFonts w:ascii="Arial" w:hAnsi="Arial" w:cs="Arial"/>
                <w:spacing w:val="-1"/>
                <w:sz w:val="21"/>
                <w:szCs w:val="21"/>
              </w:rPr>
              <w:t xml:space="preserve"> та </w:t>
            </w:r>
            <w:r w:rsidRPr="00AB7083">
              <w:rPr>
                <w:rFonts w:ascii="Arial" w:hAnsi="Arial" w:cs="Arial"/>
                <w:spacing w:val="-1"/>
                <w:sz w:val="21"/>
                <w:szCs w:val="21"/>
              </w:rPr>
              <w:t>територій</w:t>
            </w:r>
            <w:r w:rsidRPr="00686653">
              <w:rPr>
                <w:rFonts w:ascii="Arial" w:hAnsi="Arial" w:cs="Arial"/>
                <w:spacing w:val="-1"/>
                <w:sz w:val="21"/>
                <w:szCs w:val="21"/>
                <w:lang w:val="ru-RU"/>
              </w:rPr>
              <w:t xml:space="preserve"> </w:t>
            </w:r>
            <w:r w:rsidRPr="00AB7083">
              <w:rPr>
                <w:rFonts w:ascii="Arial" w:hAnsi="Arial" w:cs="Arial"/>
                <w:sz w:val="21"/>
                <w:szCs w:val="21"/>
              </w:rPr>
              <w:t>України</w:t>
            </w:r>
          </w:p>
        </w:tc>
      </w:tr>
      <w:tr w:rsidR="00527B5E" w:rsidRPr="00CA7C54" w14:paraId="5623ED1E" w14:textId="77777777" w:rsidTr="00E40099">
        <w:trPr>
          <w:trHeight w:val="470"/>
        </w:trPr>
        <w:tc>
          <w:tcPr>
            <w:tcW w:w="2070" w:type="dxa"/>
            <w:shd w:val="clear" w:color="auto" w:fill="FFFFFF"/>
          </w:tcPr>
          <w:p w14:paraId="733766D6" w14:textId="77777777" w:rsidR="00A11FE2" w:rsidRDefault="00A11FE2" w:rsidP="00A11FE2">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РОЗРОБНИКИ</w:t>
            </w:r>
          </w:p>
          <w:p w14:paraId="2F71195A" w14:textId="4198C560" w:rsidR="00A11FE2" w:rsidRPr="00CA7C54" w:rsidRDefault="00A11FE2" w:rsidP="00A11FE2">
            <w:pPr>
              <w:spacing w:before="0" w:line="288" w:lineRule="auto"/>
              <w:ind w:firstLine="0"/>
              <w:rPr>
                <w:rFonts w:ascii="Arial" w:hAnsi="Arial" w:cs="Arial"/>
                <w:color w:val="000000" w:themeColor="text1"/>
                <w:sz w:val="21"/>
                <w:szCs w:val="21"/>
              </w:rPr>
            </w:pPr>
            <w:r>
              <w:rPr>
                <w:rFonts w:ascii="Arial" w:hAnsi="Arial" w:cs="Arial"/>
                <w:color w:val="000000" w:themeColor="text1"/>
                <w:sz w:val="21"/>
                <w:szCs w:val="21"/>
              </w:rPr>
              <w:t>ЗМІНА № 2:</w:t>
            </w:r>
          </w:p>
          <w:p w14:paraId="0508484D" w14:textId="77777777" w:rsidR="00527B5E" w:rsidRPr="006E7926" w:rsidRDefault="00527B5E" w:rsidP="00527B5E">
            <w:pPr>
              <w:pStyle w:val="afffffffffffffffffffffffffffffffffa"/>
              <w:spacing w:after="0" w:line="240" w:lineRule="auto"/>
              <w:ind w:firstLine="0"/>
            </w:pPr>
          </w:p>
        </w:tc>
        <w:tc>
          <w:tcPr>
            <w:tcW w:w="7530" w:type="dxa"/>
            <w:shd w:val="clear" w:color="auto" w:fill="FFFFFF"/>
          </w:tcPr>
          <w:p w14:paraId="29CA6F7E" w14:textId="293486E6" w:rsidR="00527B5E" w:rsidRPr="00A11FE2" w:rsidRDefault="00A11FE2" w:rsidP="00D53492">
            <w:pPr>
              <w:pStyle w:val="TableParagraph"/>
              <w:spacing w:before="0" w:line="264" w:lineRule="auto"/>
              <w:ind w:right="449" w:firstLine="0"/>
              <w:jc w:val="both"/>
              <w:rPr>
                <w:rFonts w:ascii="Arial" w:hAnsi="Arial" w:cs="Arial"/>
                <w:sz w:val="21"/>
                <w:szCs w:val="21"/>
              </w:rPr>
            </w:pPr>
            <w:r w:rsidRPr="00B173EB">
              <w:rPr>
                <w:rFonts w:ascii="Arial" w:hAnsi="Arial" w:cs="Arial"/>
                <w:sz w:val="21"/>
                <w:szCs w:val="21"/>
              </w:rPr>
              <w:t>Постійно</w:t>
            </w:r>
            <w:r w:rsidRPr="00B173EB">
              <w:rPr>
                <w:rFonts w:ascii="Arial" w:hAnsi="Arial" w:cs="Arial"/>
                <w:spacing w:val="1"/>
                <w:sz w:val="21"/>
                <w:szCs w:val="21"/>
              </w:rPr>
              <w:t xml:space="preserve"> </w:t>
            </w:r>
            <w:r w:rsidRPr="00B173EB">
              <w:rPr>
                <w:rFonts w:ascii="Arial" w:hAnsi="Arial" w:cs="Arial"/>
                <w:sz w:val="21"/>
                <w:szCs w:val="21"/>
              </w:rPr>
              <w:t>діюча</w:t>
            </w:r>
            <w:r w:rsidRPr="00B173EB">
              <w:rPr>
                <w:rFonts w:ascii="Arial" w:hAnsi="Arial" w:cs="Arial"/>
                <w:spacing w:val="1"/>
                <w:sz w:val="21"/>
                <w:szCs w:val="21"/>
              </w:rPr>
              <w:t xml:space="preserve"> </w:t>
            </w:r>
            <w:r w:rsidRPr="00B173EB">
              <w:rPr>
                <w:rFonts w:ascii="Arial" w:hAnsi="Arial" w:cs="Arial"/>
                <w:sz w:val="21"/>
                <w:szCs w:val="21"/>
              </w:rPr>
              <w:t>робоча</w:t>
            </w:r>
            <w:r w:rsidRPr="00B173EB">
              <w:rPr>
                <w:rFonts w:ascii="Arial" w:hAnsi="Arial" w:cs="Arial"/>
                <w:spacing w:val="1"/>
                <w:sz w:val="21"/>
                <w:szCs w:val="21"/>
              </w:rPr>
              <w:t xml:space="preserve"> </w:t>
            </w:r>
            <w:r w:rsidRPr="00B173EB">
              <w:rPr>
                <w:rFonts w:ascii="Arial" w:hAnsi="Arial" w:cs="Arial"/>
                <w:sz w:val="21"/>
                <w:szCs w:val="21"/>
              </w:rPr>
              <w:t>група</w:t>
            </w:r>
            <w:r w:rsidRPr="00B173EB">
              <w:rPr>
                <w:rFonts w:ascii="Arial" w:hAnsi="Arial" w:cs="Arial"/>
                <w:spacing w:val="1"/>
                <w:sz w:val="21"/>
                <w:szCs w:val="21"/>
              </w:rPr>
              <w:t xml:space="preserve"> </w:t>
            </w:r>
            <w:r w:rsidRPr="00B173EB">
              <w:rPr>
                <w:rFonts w:ascii="Arial" w:hAnsi="Arial" w:cs="Arial"/>
                <w:sz w:val="21"/>
                <w:szCs w:val="21"/>
              </w:rPr>
              <w:t>з</w:t>
            </w:r>
            <w:r w:rsidRPr="00B173EB">
              <w:rPr>
                <w:rFonts w:ascii="Arial" w:hAnsi="Arial" w:cs="Arial"/>
                <w:spacing w:val="1"/>
                <w:sz w:val="21"/>
                <w:szCs w:val="21"/>
              </w:rPr>
              <w:t xml:space="preserve"> </w:t>
            </w:r>
            <w:r w:rsidRPr="00B173EB">
              <w:rPr>
                <w:rFonts w:ascii="Arial" w:hAnsi="Arial" w:cs="Arial"/>
                <w:sz w:val="21"/>
                <w:szCs w:val="21"/>
              </w:rPr>
              <w:t>розгляду</w:t>
            </w:r>
            <w:r w:rsidRPr="00B173EB">
              <w:rPr>
                <w:rFonts w:ascii="Arial" w:hAnsi="Arial" w:cs="Arial"/>
                <w:spacing w:val="1"/>
                <w:sz w:val="21"/>
                <w:szCs w:val="21"/>
              </w:rPr>
              <w:t xml:space="preserve"> </w:t>
            </w:r>
            <w:r w:rsidRPr="00B173EB">
              <w:rPr>
                <w:rFonts w:ascii="Arial" w:hAnsi="Arial" w:cs="Arial"/>
                <w:sz w:val="21"/>
                <w:szCs w:val="21"/>
              </w:rPr>
              <w:t>питань</w:t>
            </w:r>
            <w:r w:rsidRPr="00B173EB">
              <w:rPr>
                <w:rFonts w:ascii="Arial" w:hAnsi="Arial" w:cs="Arial"/>
                <w:spacing w:val="1"/>
                <w:sz w:val="21"/>
                <w:szCs w:val="21"/>
              </w:rPr>
              <w:t xml:space="preserve"> </w:t>
            </w:r>
            <w:r w:rsidRPr="00B173EB">
              <w:rPr>
                <w:rFonts w:ascii="Arial" w:hAnsi="Arial" w:cs="Arial"/>
                <w:sz w:val="21"/>
                <w:szCs w:val="21"/>
              </w:rPr>
              <w:t>нормативного</w:t>
            </w:r>
            <w:r w:rsidRPr="00B173EB">
              <w:rPr>
                <w:rFonts w:ascii="Arial" w:hAnsi="Arial" w:cs="Arial"/>
                <w:spacing w:val="1"/>
                <w:sz w:val="21"/>
                <w:szCs w:val="21"/>
              </w:rPr>
              <w:t xml:space="preserve"> </w:t>
            </w:r>
            <w:r w:rsidRPr="00B173EB">
              <w:rPr>
                <w:rFonts w:ascii="Arial" w:hAnsi="Arial" w:cs="Arial"/>
                <w:sz w:val="21"/>
                <w:szCs w:val="21"/>
              </w:rPr>
              <w:t>забезпечення</w:t>
            </w:r>
            <w:r w:rsidRPr="00B173EB">
              <w:rPr>
                <w:rFonts w:ascii="Arial" w:hAnsi="Arial" w:cs="Arial"/>
                <w:spacing w:val="1"/>
                <w:sz w:val="21"/>
                <w:szCs w:val="21"/>
              </w:rPr>
              <w:t xml:space="preserve"> </w:t>
            </w:r>
            <w:r w:rsidRPr="00B173EB">
              <w:rPr>
                <w:rFonts w:ascii="Arial" w:hAnsi="Arial" w:cs="Arial"/>
                <w:sz w:val="21"/>
                <w:szCs w:val="21"/>
              </w:rPr>
              <w:t>про</w:t>
            </w:r>
            <w:r>
              <w:rPr>
                <w:rFonts w:ascii="Arial" w:hAnsi="Arial" w:cs="Arial"/>
                <w:sz w:val="21"/>
                <w:szCs w:val="21"/>
              </w:rPr>
              <w:t>е</w:t>
            </w:r>
            <w:r w:rsidRPr="00B173EB">
              <w:rPr>
                <w:rFonts w:ascii="Arial" w:hAnsi="Arial" w:cs="Arial"/>
                <w:sz w:val="21"/>
                <w:szCs w:val="21"/>
              </w:rPr>
              <w:t>ктування</w:t>
            </w:r>
            <w:r w:rsidRPr="00B173EB">
              <w:rPr>
                <w:rFonts w:ascii="Arial" w:hAnsi="Arial" w:cs="Arial"/>
                <w:spacing w:val="1"/>
                <w:sz w:val="21"/>
                <w:szCs w:val="21"/>
              </w:rPr>
              <w:t xml:space="preserve"> </w:t>
            </w:r>
            <w:r w:rsidRPr="00B173EB">
              <w:rPr>
                <w:rFonts w:ascii="Arial" w:hAnsi="Arial" w:cs="Arial"/>
                <w:sz w:val="21"/>
                <w:szCs w:val="21"/>
              </w:rPr>
              <w:t>та</w:t>
            </w:r>
            <w:r w:rsidRPr="00B173EB">
              <w:rPr>
                <w:rFonts w:ascii="Arial" w:hAnsi="Arial" w:cs="Arial"/>
                <w:spacing w:val="1"/>
                <w:sz w:val="21"/>
                <w:szCs w:val="21"/>
              </w:rPr>
              <w:t xml:space="preserve"> </w:t>
            </w:r>
            <w:r w:rsidRPr="00B173EB">
              <w:rPr>
                <w:rFonts w:ascii="Arial" w:hAnsi="Arial" w:cs="Arial"/>
                <w:sz w:val="21"/>
                <w:szCs w:val="21"/>
              </w:rPr>
              <w:t>будівництва</w:t>
            </w:r>
            <w:r w:rsidRPr="00B173EB">
              <w:rPr>
                <w:rFonts w:ascii="Arial" w:hAnsi="Arial" w:cs="Arial"/>
                <w:spacing w:val="1"/>
                <w:sz w:val="21"/>
                <w:szCs w:val="21"/>
              </w:rPr>
              <w:t xml:space="preserve"> </w:t>
            </w:r>
            <w:r w:rsidRPr="00B173EB">
              <w:rPr>
                <w:rFonts w:ascii="Arial" w:hAnsi="Arial" w:cs="Arial"/>
                <w:sz w:val="21"/>
                <w:szCs w:val="21"/>
              </w:rPr>
              <w:t>об’єктів</w:t>
            </w:r>
            <w:r w:rsidRPr="00B173EB">
              <w:rPr>
                <w:rFonts w:ascii="Arial" w:hAnsi="Arial" w:cs="Arial"/>
                <w:spacing w:val="1"/>
                <w:sz w:val="21"/>
                <w:szCs w:val="21"/>
              </w:rPr>
              <w:t xml:space="preserve"> </w:t>
            </w:r>
            <w:r w:rsidRPr="00B173EB">
              <w:rPr>
                <w:rFonts w:ascii="Arial" w:hAnsi="Arial" w:cs="Arial"/>
                <w:sz w:val="21"/>
                <w:szCs w:val="21"/>
              </w:rPr>
              <w:t>цивільного</w:t>
            </w:r>
            <w:r w:rsidRPr="00B173EB">
              <w:rPr>
                <w:rFonts w:ascii="Arial" w:hAnsi="Arial" w:cs="Arial"/>
                <w:spacing w:val="1"/>
                <w:sz w:val="21"/>
                <w:szCs w:val="21"/>
              </w:rPr>
              <w:t xml:space="preserve"> </w:t>
            </w:r>
            <w:r w:rsidRPr="00B173EB">
              <w:rPr>
                <w:rFonts w:ascii="Arial" w:hAnsi="Arial" w:cs="Arial"/>
                <w:sz w:val="21"/>
                <w:szCs w:val="21"/>
              </w:rPr>
              <w:t>захисту</w:t>
            </w:r>
            <w:r w:rsidRPr="00B173EB">
              <w:rPr>
                <w:rFonts w:ascii="Arial" w:hAnsi="Arial" w:cs="Arial"/>
                <w:spacing w:val="-53"/>
                <w:sz w:val="21"/>
                <w:szCs w:val="21"/>
              </w:rPr>
              <w:t xml:space="preserve"> </w:t>
            </w:r>
            <w:r>
              <w:rPr>
                <w:rFonts w:ascii="Arial" w:hAnsi="Arial" w:cs="Arial"/>
                <w:spacing w:val="-53"/>
                <w:sz w:val="21"/>
                <w:szCs w:val="21"/>
              </w:rPr>
              <w:t xml:space="preserve"> </w:t>
            </w:r>
            <w:r w:rsidRPr="00B173EB">
              <w:rPr>
                <w:rFonts w:ascii="Arial" w:hAnsi="Arial" w:cs="Arial"/>
                <w:sz w:val="21"/>
                <w:szCs w:val="21"/>
              </w:rPr>
              <w:t>Науково-технічної</w:t>
            </w:r>
            <w:r w:rsidRPr="00B173EB">
              <w:rPr>
                <w:rFonts w:ascii="Arial" w:hAnsi="Arial" w:cs="Arial"/>
                <w:spacing w:val="1"/>
                <w:sz w:val="21"/>
                <w:szCs w:val="21"/>
              </w:rPr>
              <w:t xml:space="preserve"> </w:t>
            </w:r>
            <w:r w:rsidRPr="00B173EB">
              <w:rPr>
                <w:rFonts w:ascii="Arial" w:hAnsi="Arial" w:cs="Arial"/>
                <w:sz w:val="21"/>
                <w:szCs w:val="21"/>
              </w:rPr>
              <w:t>ради</w:t>
            </w:r>
            <w:r w:rsidRPr="00B173EB">
              <w:rPr>
                <w:rFonts w:ascii="Arial" w:hAnsi="Arial" w:cs="Arial"/>
                <w:spacing w:val="1"/>
                <w:sz w:val="21"/>
                <w:szCs w:val="21"/>
              </w:rPr>
              <w:t xml:space="preserve"> </w:t>
            </w:r>
            <w:r w:rsidRPr="00B173EB">
              <w:rPr>
                <w:rFonts w:ascii="Arial" w:hAnsi="Arial" w:cs="Arial"/>
                <w:sz w:val="21"/>
                <w:szCs w:val="21"/>
              </w:rPr>
              <w:t>Міністерства</w:t>
            </w:r>
            <w:r w:rsidRPr="00B173EB">
              <w:rPr>
                <w:rFonts w:ascii="Arial" w:hAnsi="Arial" w:cs="Arial"/>
                <w:spacing w:val="1"/>
                <w:sz w:val="21"/>
                <w:szCs w:val="21"/>
              </w:rPr>
              <w:t xml:space="preserve"> </w:t>
            </w:r>
            <w:r w:rsidRPr="00B173EB">
              <w:rPr>
                <w:rFonts w:ascii="Arial" w:hAnsi="Arial" w:cs="Arial"/>
                <w:sz w:val="21"/>
                <w:szCs w:val="21"/>
              </w:rPr>
              <w:t>розвитку</w:t>
            </w:r>
            <w:r w:rsidRPr="00B173EB">
              <w:rPr>
                <w:rFonts w:ascii="Arial" w:hAnsi="Arial" w:cs="Arial"/>
                <w:spacing w:val="1"/>
                <w:sz w:val="21"/>
                <w:szCs w:val="21"/>
              </w:rPr>
              <w:t xml:space="preserve"> </w:t>
            </w:r>
            <w:r w:rsidRPr="00B173EB">
              <w:rPr>
                <w:rFonts w:ascii="Arial" w:hAnsi="Arial" w:cs="Arial"/>
                <w:sz w:val="21"/>
                <w:szCs w:val="21"/>
              </w:rPr>
              <w:t>громад,</w:t>
            </w:r>
            <w:r w:rsidRPr="00B173EB">
              <w:rPr>
                <w:rFonts w:ascii="Arial" w:hAnsi="Arial" w:cs="Arial"/>
                <w:spacing w:val="1"/>
                <w:sz w:val="21"/>
                <w:szCs w:val="21"/>
              </w:rPr>
              <w:t xml:space="preserve"> </w:t>
            </w:r>
            <w:r w:rsidRPr="00B173EB">
              <w:rPr>
                <w:rFonts w:ascii="Arial" w:hAnsi="Arial" w:cs="Arial"/>
                <w:sz w:val="21"/>
                <w:szCs w:val="21"/>
              </w:rPr>
              <w:t>територій</w:t>
            </w:r>
            <w:r w:rsidRPr="00B173EB">
              <w:rPr>
                <w:rFonts w:ascii="Arial" w:hAnsi="Arial" w:cs="Arial"/>
                <w:spacing w:val="1"/>
                <w:sz w:val="21"/>
                <w:szCs w:val="21"/>
              </w:rPr>
              <w:t xml:space="preserve"> </w:t>
            </w:r>
            <w:r w:rsidRPr="00B173EB">
              <w:rPr>
                <w:rFonts w:ascii="Arial" w:hAnsi="Arial" w:cs="Arial"/>
                <w:sz w:val="21"/>
                <w:szCs w:val="21"/>
              </w:rPr>
              <w:t>та</w:t>
            </w:r>
            <w:r w:rsidRPr="00B173EB">
              <w:rPr>
                <w:rFonts w:ascii="Arial" w:hAnsi="Arial" w:cs="Arial"/>
                <w:spacing w:val="1"/>
                <w:sz w:val="21"/>
                <w:szCs w:val="21"/>
              </w:rPr>
              <w:t xml:space="preserve"> </w:t>
            </w:r>
            <w:r w:rsidRPr="00B173EB">
              <w:rPr>
                <w:rFonts w:ascii="Arial" w:hAnsi="Arial" w:cs="Arial"/>
                <w:sz w:val="21"/>
                <w:szCs w:val="21"/>
              </w:rPr>
              <w:t>інфраструктури України (утворена рішенням НТР Міністерства розвитку</w:t>
            </w:r>
            <w:r w:rsidRPr="00B173EB">
              <w:rPr>
                <w:rFonts w:ascii="Arial" w:hAnsi="Arial" w:cs="Arial"/>
                <w:spacing w:val="1"/>
                <w:sz w:val="21"/>
                <w:szCs w:val="21"/>
              </w:rPr>
              <w:t xml:space="preserve"> </w:t>
            </w:r>
            <w:r w:rsidRPr="00B173EB">
              <w:rPr>
                <w:rFonts w:ascii="Arial" w:hAnsi="Arial" w:cs="Arial"/>
                <w:spacing w:val="-1"/>
                <w:sz w:val="21"/>
                <w:szCs w:val="21"/>
              </w:rPr>
              <w:t xml:space="preserve">громад, територій та інфраструктури України, </w:t>
            </w:r>
            <w:r w:rsidRPr="00B173EB">
              <w:rPr>
                <w:rFonts w:ascii="Arial" w:hAnsi="Arial" w:cs="Arial"/>
                <w:sz w:val="21"/>
                <w:szCs w:val="21"/>
              </w:rPr>
              <w:t>протокол №1 від 02 червня</w:t>
            </w:r>
            <w:r w:rsidRPr="00B173EB">
              <w:rPr>
                <w:rFonts w:ascii="Arial" w:hAnsi="Arial" w:cs="Arial"/>
                <w:spacing w:val="1"/>
                <w:sz w:val="21"/>
                <w:szCs w:val="21"/>
              </w:rPr>
              <w:t xml:space="preserve"> </w:t>
            </w:r>
            <w:r w:rsidRPr="00B173EB">
              <w:rPr>
                <w:rFonts w:ascii="Arial" w:hAnsi="Arial" w:cs="Arial"/>
                <w:sz w:val="21"/>
                <w:szCs w:val="21"/>
              </w:rPr>
              <w:t>2023</w:t>
            </w:r>
            <w:r w:rsidRPr="00B173EB">
              <w:rPr>
                <w:rFonts w:ascii="Arial" w:hAnsi="Arial" w:cs="Arial"/>
                <w:spacing w:val="6"/>
                <w:sz w:val="21"/>
                <w:szCs w:val="21"/>
              </w:rPr>
              <w:t xml:space="preserve"> </w:t>
            </w:r>
            <w:r w:rsidRPr="00B173EB">
              <w:rPr>
                <w:rFonts w:ascii="Arial" w:hAnsi="Arial" w:cs="Arial"/>
                <w:sz w:val="21"/>
                <w:szCs w:val="21"/>
              </w:rPr>
              <w:t>року)</w:t>
            </w:r>
          </w:p>
        </w:tc>
      </w:tr>
      <w:tr w:rsidR="00A11FE2" w:rsidRPr="00CA7C54" w14:paraId="0FC4C92F" w14:textId="77777777" w:rsidTr="00E40099">
        <w:trPr>
          <w:trHeight w:val="470"/>
        </w:trPr>
        <w:tc>
          <w:tcPr>
            <w:tcW w:w="2070" w:type="dxa"/>
            <w:shd w:val="clear" w:color="auto" w:fill="FFFFFF"/>
          </w:tcPr>
          <w:p w14:paraId="1426D9A8" w14:textId="77777777" w:rsidR="00A11FE2" w:rsidRDefault="00A11FE2" w:rsidP="00A11FE2">
            <w:pPr>
              <w:pStyle w:val="afffffffffffffffffffffffffffffffffa"/>
              <w:spacing w:after="0" w:line="240" w:lineRule="auto"/>
              <w:ind w:firstLine="0"/>
              <w:rPr>
                <w:rFonts w:ascii="Arial" w:hAnsi="Arial" w:cs="Arial"/>
                <w:sz w:val="21"/>
                <w:szCs w:val="21"/>
              </w:rPr>
            </w:pPr>
            <w:r w:rsidRPr="00AB7083">
              <w:rPr>
                <w:rFonts w:ascii="Arial" w:hAnsi="Arial" w:cs="Arial"/>
                <w:sz w:val="21"/>
                <w:szCs w:val="21"/>
              </w:rPr>
              <w:t>ВНЕСЕНО</w:t>
            </w:r>
          </w:p>
          <w:p w14:paraId="288217A6" w14:textId="65D2F886" w:rsidR="00A11FE2" w:rsidRPr="00CA7C54" w:rsidRDefault="00A11FE2" w:rsidP="00A11FE2">
            <w:pPr>
              <w:spacing w:before="0" w:line="288" w:lineRule="auto"/>
              <w:ind w:firstLine="0"/>
              <w:rPr>
                <w:color w:val="000000" w:themeColor="text1"/>
                <w:sz w:val="21"/>
                <w:szCs w:val="21"/>
              </w:rPr>
            </w:pPr>
            <w:r>
              <w:rPr>
                <w:rFonts w:ascii="Arial" w:hAnsi="Arial" w:cs="Arial"/>
                <w:sz w:val="21"/>
                <w:szCs w:val="21"/>
              </w:rPr>
              <w:t>ЗМІНА № 2:</w:t>
            </w:r>
          </w:p>
        </w:tc>
        <w:tc>
          <w:tcPr>
            <w:tcW w:w="7530" w:type="dxa"/>
            <w:shd w:val="clear" w:color="auto" w:fill="FFFFFF"/>
          </w:tcPr>
          <w:p w14:paraId="21D1FC32" w14:textId="503713DB" w:rsidR="00A11FE2" w:rsidRPr="00B173EB" w:rsidRDefault="00A11FE2" w:rsidP="00D53492">
            <w:pPr>
              <w:pStyle w:val="TableParagraph"/>
              <w:spacing w:before="0" w:line="264" w:lineRule="auto"/>
              <w:ind w:right="449" w:firstLine="0"/>
              <w:jc w:val="both"/>
              <w:rPr>
                <w:rFonts w:ascii="Arial" w:hAnsi="Arial" w:cs="Arial"/>
                <w:sz w:val="21"/>
                <w:szCs w:val="21"/>
              </w:rPr>
            </w:pPr>
            <w:r w:rsidRPr="00AB7083">
              <w:rPr>
                <w:rFonts w:ascii="Arial" w:hAnsi="Arial" w:cs="Arial"/>
                <w:sz w:val="21"/>
                <w:szCs w:val="21"/>
              </w:rPr>
              <w:t>Департамент технічного регулювання у будівництві Міністерства</w:t>
            </w:r>
            <w:r w:rsidRPr="00686653">
              <w:rPr>
                <w:rFonts w:ascii="Arial" w:hAnsi="Arial" w:cs="Arial"/>
                <w:sz w:val="21"/>
                <w:szCs w:val="21"/>
                <w:lang w:val="ru-RU"/>
              </w:rPr>
              <w:t xml:space="preserve"> </w:t>
            </w:r>
            <w:r w:rsidRPr="00AB7083">
              <w:rPr>
                <w:rFonts w:ascii="Arial" w:hAnsi="Arial" w:cs="Arial"/>
                <w:sz w:val="21"/>
                <w:szCs w:val="21"/>
              </w:rPr>
              <w:t>розвитку</w:t>
            </w:r>
            <w:r w:rsidRPr="00686653">
              <w:rPr>
                <w:rFonts w:ascii="Arial" w:hAnsi="Arial" w:cs="Arial"/>
                <w:sz w:val="21"/>
                <w:szCs w:val="21"/>
                <w:lang w:val="ru-RU"/>
              </w:rPr>
              <w:t xml:space="preserve"> </w:t>
            </w:r>
            <w:r w:rsidRPr="00AB7083">
              <w:rPr>
                <w:rFonts w:ascii="Arial" w:hAnsi="Arial" w:cs="Arial"/>
                <w:sz w:val="21"/>
                <w:szCs w:val="21"/>
              </w:rPr>
              <w:t>громад</w:t>
            </w:r>
            <w:r>
              <w:rPr>
                <w:rFonts w:ascii="Arial" w:hAnsi="Arial" w:cs="Arial"/>
                <w:sz w:val="21"/>
                <w:szCs w:val="21"/>
              </w:rPr>
              <w:t xml:space="preserve"> та</w:t>
            </w:r>
            <w:r w:rsidRPr="00686653">
              <w:rPr>
                <w:rFonts w:ascii="Arial" w:hAnsi="Arial" w:cs="Arial"/>
                <w:sz w:val="21"/>
                <w:szCs w:val="21"/>
                <w:lang w:val="ru-RU"/>
              </w:rPr>
              <w:t xml:space="preserve"> </w:t>
            </w:r>
            <w:r w:rsidRPr="00AB7083">
              <w:rPr>
                <w:rFonts w:ascii="Arial" w:hAnsi="Arial" w:cs="Arial"/>
                <w:sz w:val="21"/>
                <w:szCs w:val="21"/>
              </w:rPr>
              <w:t>територій</w:t>
            </w:r>
            <w:r w:rsidRPr="00686653">
              <w:rPr>
                <w:rFonts w:ascii="Arial" w:hAnsi="Arial" w:cs="Arial"/>
                <w:sz w:val="21"/>
                <w:szCs w:val="21"/>
                <w:lang w:val="ru-RU"/>
              </w:rPr>
              <w:t xml:space="preserve">  </w:t>
            </w:r>
            <w:r w:rsidRPr="00AB7083">
              <w:rPr>
                <w:rFonts w:ascii="Arial" w:hAnsi="Arial" w:cs="Arial"/>
                <w:sz w:val="21"/>
                <w:szCs w:val="21"/>
              </w:rPr>
              <w:t>України</w:t>
            </w:r>
          </w:p>
        </w:tc>
      </w:tr>
      <w:tr w:rsidR="00A11FE2" w:rsidRPr="00CA7C54" w14:paraId="50F6E665" w14:textId="77777777" w:rsidTr="00E40099">
        <w:trPr>
          <w:trHeight w:val="470"/>
        </w:trPr>
        <w:tc>
          <w:tcPr>
            <w:tcW w:w="2070" w:type="dxa"/>
            <w:shd w:val="clear" w:color="auto" w:fill="FFFFFF"/>
          </w:tcPr>
          <w:p w14:paraId="56B6FADE" w14:textId="77777777" w:rsidR="00A11FE2" w:rsidRDefault="00A11FE2" w:rsidP="00A11FE2">
            <w:pPr>
              <w:pStyle w:val="TableParagraph"/>
              <w:spacing w:before="0"/>
              <w:ind w:firstLine="0"/>
              <w:jc w:val="both"/>
              <w:rPr>
                <w:rFonts w:ascii="Arial" w:hAnsi="Arial" w:cs="Arial"/>
                <w:sz w:val="21"/>
                <w:szCs w:val="21"/>
              </w:rPr>
            </w:pPr>
            <w:r w:rsidRPr="00AB7083">
              <w:rPr>
                <w:rFonts w:ascii="Arial" w:hAnsi="Arial" w:cs="Arial"/>
                <w:sz w:val="21"/>
                <w:szCs w:val="21"/>
              </w:rPr>
              <w:t>ПОГОДЖЕНО</w:t>
            </w:r>
          </w:p>
          <w:p w14:paraId="44C3083D" w14:textId="29E3C75C" w:rsidR="00A11FE2" w:rsidRDefault="00A11FE2" w:rsidP="00A11FE2">
            <w:pPr>
              <w:pStyle w:val="TableParagraph"/>
              <w:spacing w:before="0"/>
              <w:ind w:firstLine="0"/>
              <w:jc w:val="both"/>
              <w:rPr>
                <w:rFonts w:ascii="Arial" w:hAnsi="Arial" w:cs="Arial"/>
                <w:sz w:val="21"/>
                <w:szCs w:val="21"/>
              </w:rPr>
            </w:pPr>
            <w:r>
              <w:rPr>
                <w:rFonts w:ascii="Arial" w:hAnsi="Arial" w:cs="Arial"/>
                <w:sz w:val="21"/>
                <w:szCs w:val="21"/>
              </w:rPr>
              <w:t>ЗМІНА № 2:</w:t>
            </w:r>
          </w:p>
          <w:p w14:paraId="7A600164" w14:textId="77777777" w:rsidR="00A11FE2" w:rsidRPr="00AB7083" w:rsidRDefault="00A11FE2" w:rsidP="00A11FE2">
            <w:pPr>
              <w:pStyle w:val="afffffffffffffffffffffffffffffffffa"/>
              <w:spacing w:after="0" w:line="240" w:lineRule="auto"/>
              <w:ind w:firstLine="0"/>
              <w:rPr>
                <w:sz w:val="21"/>
                <w:szCs w:val="21"/>
              </w:rPr>
            </w:pPr>
          </w:p>
        </w:tc>
        <w:tc>
          <w:tcPr>
            <w:tcW w:w="7530" w:type="dxa"/>
            <w:shd w:val="clear" w:color="auto" w:fill="FFFFFF"/>
          </w:tcPr>
          <w:p w14:paraId="6CF36DDB" w14:textId="77777777" w:rsidR="00D7409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Міністерство оборони Україн</w:t>
            </w:r>
            <w:r w:rsidR="00D74092" w:rsidRPr="00D53492">
              <w:rPr>
                <w:rFonts w:ascii="Arial" w:eastAsia="Microsoft Sans Serif" w:hAnsi="Arial" w:cs="Arial"/>
                <w:sz w:val="21"/>
                <w:szCs w:val="21"/>
                <w:lang w:eastAsia="en-US"/>
              </w:rPr>
              <w:t>и</w:t>
            </w:r>
          </w:p>
          <w:p w14:paraId="44124FC3" w14:textId="75DAFB9B"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 02.08.2024 № 220/11057</w:t>
            </w:r>
          </w:p>
          <w:p w14:paraId="0D8AD318" w14:textId="77777777"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Генеральний штаб Збройних Сил України </w:t>
            </w:r>
          </w:p>
          <w:p w14:paraId="21D0FEBC" w14:textId="77777777"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 12.09.2024 № 300/1/С/29335</w:t>
            </w:r>
          </w:p>
          <w:p w14:paraId="69C942EB" w14:textId="77777777"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Міністерство внутрішніх справ </w:t>
            </w:r>
          </w:p>
          <w:p w14:paraId="69191C4B" w14:textId="77777777"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від14.08.2024 № 23607/01/35-2024</w:t>
            </w:r>
          </w:p>
          <w:p w14:paraId="035F4ACF" w14:textId="77777777" w:rsidR="00A11FE2" w:rsidRPr="00D53492" w:rsidRDefault="00A11FE2" w:rsidP="00D53492">
            <w:pPr>
              <w:widowControl w:val="0"/>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Державна служба України з надзвичайних ситуацій лист від 26.07.2024 № 01-16635/162-2 </w:t>
            </w:r>
          </w:p>
          <w:p w14:paraId="79C58757"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Міністерство охорони здоров’я України </w:t>
            </w:r>
          </w:p>
          <w:p w14:paraId="29E611E3"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 06.08.2024 № 21-13/30967/2-24</w:t>
            </w:r>
          </w:p>
          <w:p w14:paraId="7A48FFE9"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Міністерство освіти та науки України</w:t>
            </w:r>
          </w:p>
          <w:p w14:paraId="5D8E94AA"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  07.08.2024 № 1/14085з-24</w:t>
            </w:r>
          </w:p>
          <w:p w14:paraId="41EA23E3"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Міністерство цифрової трансформації України </w:t>
            </w:r>
          </w:p>
          <w:p w14:paraId="50225A81" w14:textId="4E6F850B" w:rsidR="00A11FE2" w:rsidRPr="00AB7083" w:rsidRDefault="00A11FE2" w:rsidP="00D53492">
            <w:pPr>
              <w:pStyle w:val="TableParagraph"/>
              <w:spacing w:before="0" w:line="264" w:lineRule="auto"/>
              <w:ind w:right="449" w:firstLine="0"/>
              <w:jc w:val="left"/>
              <w:rPr>
                <w:rFonts w:ascii="Arial" w:hAnsi="Arial" w:cs="Arial"/>
                <w:sz w:val="21"/>
                <w:szCs w:val="21"/>
              </w:rPr>
            </w:pPr>
            <w:r w:rsidRPr="00D53492">
              <w:rPr>
                <w:rFonts w:ascii="Arial" w:eastAsia="Microsoft Sans Serif" w:hAnsi="Arial" w:cs="Arial"/>
                <w:sz w:val="21"/>
                <w:szCs w:val="21"/>
              </w:rPr>
              <w:t>лист  від 07.08.2024 № 1/04-2-12752</w:t>
            </w:r>
          </w:p>
        </w:tc>
      </w:tr>
      <w:tr w:rsidR="00D74092" w:rsidRPr="00CA7C54" w14:paraId="6753276D" w14:textId="77777777" w:rsidTr="00E40099">
        <w:trPr>
          <w:trHeight w:val="470"/>
        </w:trPr>
        <w:tc>
          <w:tcPr>
            <w:tcW w:w="2070" w:type="dxa"/>
            <w:shd w:val="clear" w:color="auto" w:fill="FFFFFF"/>
          </w:tcPr>
          <w:p w14:paraId="7E4BFE5E" w14:textId="77777777" w:rsidR="00D74092" w:rsidRDefault="00D74092" w:rsidP="00D74092">
            <w:pPr>
              <w:pStyle w:val="TableParagraph"/>
              <w:spacing w:before="0"/>
              <w:ind w:firstLine="0"/>
              <w:jc w:val="both"/>
              <w:rPr>
                <w:rFonts w:ascii="Arial" w:hAnsi="Arial" w:cs="Arial"/>
                <w:spacing w:val="-1"/>
                <w:sz w:val="21"/>
                <w:szCs w:val="21"/>
              </w:rPr>
            </w:pPr>
            <w:r w:rsidRPr="00AB7083">
              <w:rPr>
                <w:rFonts w:ascii="Arial" w:hAnsi="Arial" w:cs="Arial"/>
                <w:spacing w:val="-1"/>
                <w:sz w:val="21"/>
                <w:szCs w:val="21"/>
              </w:rPr>
              <w:t>ЗАТВЕРДЖЕНО</w:t>
            </w:r>
          </w:p>
          <w:p w14:paraId="446A5921" w14:textId="36D7B83E" w:rsidR="00D74092" w:rsidRDefault="00D74092" w:rsidP="00D74092">
            <w:pPr>
              <w:pStyle w:val="TableParagraph"/>
              <w:spacing w:before="0"/>
              <w:ind w:firstLine="0"/>
              <w:jc w:val="both"/>
              <w:rPr>
                <w:rFonts w:ascii="Arial" w:hAnsi="Arial" w:cs="Arial"/>
                <w:sz w:val="21"/>
                <w:szCs w:val="21"/>
              </w:rPr>
            </w:pPr>
            <w:r>
              <w:rPr>
                <w:rFonts w:ascii="Arial" w:hAnsi="Arial" w:cs="Arial"/>
                <w:sz w:val="21"/>
                <w:szCs w:val="21"/>
              </w:rPr>
              <w:t>ЗМІНА № 2:</w:t>
            </w:r>
          </w:p>
          <w:p w14:paraId="69E918AE" w14:textId="77777777" w:rsidR="00D74092" w:rsidRPr="00AB7083" w:rsidRDefault="00D74092" w:rsidP="00A11FE2">
            <w:pPr>
              <w:pStyle w:val="TableParagraph"/>
              <w:spacing w:before="0"/>
              <w:ind w:firstLine="0"/>
              <w:jc w:val="both"/>
              <w:rPr>
                <w:rFonts w:ascii="Arial" w:hAnsi="Arial" w:cs="Arial"/>
                <w:sz w:val="21"/>
                <w:szCs w:val="21"/>
              </w:rPr>
            </w:pPr>
          </w:p>
        </w:tc>
        <w:tc>
          <w:tcPr>
            <w:tcW w:w="7530" w:type="dxa"/>
            <w:shd w:val="clear" w:color="auto" w:fill="FFFFFF"/>
          </w:tcPr>
          <w:p w14:paraId="7C55842D" w14:textId="77777777" w:rsidR="00D74092" w:rsidRDefault="00D74092" w:rsidP="00D53492">
            <w:pPr>
              <w:pStyle w:val="TableParagraph"/>
              <w:tabs>
                <w:tab w:val="left" w:pos="2596"/>
              </w:tabs>
              <w:spacing w:before="0" w:line="264" w:lineRule="auto"/>
              <w:ind w:right="1134" w:firstLine="0"/>
              <w:jc w:val="both"/>
              <w:rPr>
                <w:rFonts w:ascii="Arial" w:hAnsi="Arial" w:cs="Arial"/>
                <w:spacing w:val="-1"/>
                <w:sz w:val="21"/>
                <w:szCs w:val="21"/>
              </w:rPr>
            </w:pPr>
            <w:r w:rsidRPr="00B173EB">
              <w:rPr>
                <w:rFonts w:ascii="Arial" w:hAnsi="Arial" w:cs="Arial"/>
                <w:spacing w:val="-1"/>
                <w:sz w:val="21"/>
                <w:szCs w:val="21"/>
              </w:rPr>
              <w:t xml:space="preserve">наказ Міністерства розвитку громад та територій </w:t>
            </w:r>
            <w:r>
              <w:rPr>
                <w:rFonts w:ascii="Arial" w:hAnsi="Arial" w:cs="Arial"/>
                <w:spacing w:val="-1"/>
                <w:sz w:val="21"/>
                <w:szCs w:val="21"/>
              </w:rPr>
              <w:t>України</w:t>
            </w:r>
          </w:p>
          <w:p w14:paraId="77BCA67C" w14:textId="77777777" w:rsidR="00D74092" w:rsidRPr="009A1F85" w:rsidRDefault="00D74092" w:rsidP="00D53492">
            <w:pPr>
              <w:pStyle w:val="TableParagraph"/>
              <w:tabs>
                <w:tab w:val="left" w:pos="2596"/>
              </w:tabs>
              <w:spacing w:before="0" w:line="264" w:lineRule="auto"/>
              <w:ind w:right="1134" w:firstLine="0"/>
              <w:jc w:val="both"/>
              <w:rPr>
                <w:rFonts w:ascii="Arial" w:hAnsi="Arial" w:cs="Arial"/>
                <w:sz w:val="21"/>
                <w:szCs w:val="21"/>
                <w:lang w:val="en-US"/>
              </w:rPr>
            </w:pPr>
            <w:r w:rsidRPr="00B173EB">
              <w:rPr>
                <w:rFonts w:ascii="Arial" w:hAnsi="Arial" w:cs="Arial"/>
                <w:sz w:val="21"/>
                <w:szCs w:val="21"/>
              </w:rPr>
              <w:t>від</w:t>
            </w:r>
            <w:r>
              <w:rPr>
                <w:rFonts w:ascii="Arial" w:hAnsi="Arial" w:cs="Arial"/>
                <w:sz w:val="21"/>
                <w:szCs w:val="21"/>
              </w:rPr>
              <w:t xml:space="preserve"> 13.11.2024  </w:t>
            </w:r>
            <w:r w:rsidRPr="00B173EB">
              <w:rPr>
                <w:rFonts w:ascii="Arial" w:hAnsi="Arial" w:cs="Arial"/>
                <w:sz w:val="21"/>
                <w:szCs w:val="21"/>
              </w:rPr>
              <w:t xml:space="preserve"> № </w:t>
            </w:r>
            <w:r>
              <w:rPr>
                <w:rFonts w:ascii="Arial" w:hAnsi="Arial" w:cs="Arial"/>
                <w:sz w:val="21"/>
                <w:szCs w:val="21"/>
              </w:rPr>
              <w:t>132</w:t>
            </w:r>
            <w:r>
              <w:rPr>
                <w:rFonts w:ascii="Arial" w:hAnsi="Arial" w:cs="Arial"/>
                <w:sz w:val="21"/>
                <w:szCs w:val="21"/>
                <w:lang w:val="en-US"/>
              </w:rPr>
              <w:t>1</w:t>
            </w:r>
          </w:p>
          <w:p w14:paraId="2E64AD25" w14:textId="77777777" w:rsidR="00D74092" w:rsidRPr="00A11FE2" w:rsidRDefault="00D74092" w:rsidP="00D53492">
            <w:pPr>
              <w:widowControl w:val="0"/>
              <w:tabs>
                <w:tab w:val="left" w:pos="6117"/>
              </w:tabs>
              <w:suppressAutoHyphens w:val="0"/>
              <w:autoSpaceDE w:val="0"/>
              <w:autoSpaceDN w:val="0"/>
              <w:spacing w:before="0"/>
              <w:ind w:right="1665" w:firstLine="0"/>
              <w:jc w:val="left"/>
              <w:rPr>
                <w:rFonts w:eastAsia="Microsoft Sans Serif"/>
                <w:sz w:val="21"/>
                <w:szCs w:val="21"/>
                <w:lang w:eastAsia="en-US"/>
              </w:rPr>
            </w:pPr>
          </w:p>
        </w:tc>
      </w:tr>
      <w:tr w:rsidR="00D74092" w:rsidRPr="00CA7C54" w14:paraId="6F1EA603" w14:textId="77777777" w:rsidTr="00E40099">
        <w:trPr>
          <w:trHeight w:val="470"/>
        </w:trPr>
        <w:tc>
          <w:tcPr>
            <w:tcW w:w="2070" w:type="dxa"/>
            <w:shd w:val="clear" w:color="auto" w:fill="FFFFFF"/>
          </w:tcPr>
          <w:p w14:paraId="48242DFD" w14:textId="77777777" w:rsidR="00D74092" w:rsidRDefault="00D74092" w:rsidP="00D74092">
            <w:pPr>
              <w:pStyle w:val="TableParagraph"/>
              <w:spacing w:before="0"/>
              <w:ind w:firstLine="0"/>
              <w:jc w:val="left"/>
              <w:rPr>
                <w:rFonts w:ascii="Arial" w:hAnsi="Arial" w:cs="Arial"/>
                <w:sz w:val="21"/>
                <w:szCs w:val="21"/>
              </w:rPr>
            </w:pPr>
            <w:r w:rsidRPr="00AB7083">
              <w:rPr>
                <w:rFonts w:ascii="Arial" w:hAnsi="Arial" w:cs="Arial"/>
                <w:sz w:val="21"/>
                <w:szCs w:val="21"/>
              </w:rPr>
              <w:t>НАБРАННЯ</w:t>
            </w:r>
            <w:r>
              <w:rPr>
                <w:rFonts w:ascii="Arial" w:hAnsi="Arial" w:cs="Arial"/>
                <w:sz w:val="21"/>
                <w:szCs w:val="21"/>
              </w:rPr>
              <w:t xml:space="preserve"> </w:t>
            </w:r>
            <w:r w:rsidRPr="00AB7083">
              <w:rPr>
                <w:rFonts w:ascii="Arial" w:hAnsi="Arial" w:cs="Arial"/>
                <w:sz w:val="21"/>
                <w:szCs w:val="21"/>
              </w:rPr>
              <w:t>ЧИННОСТІ</w:t>
            </w:r>
          </w:p>
          <w:p w14:paraId="13DBDF51" w14:textId="4D95027A" w:rsidR="00D74092" w:rsidRPr="00AB7083" w:rsidRDefault="00D74092" w:rsidP="00D74092">
            <w:pPr>
              <w:pStyle w:val="TableParagraph"/>
              <w:spacing w:before="0"/>
              <w:ind w:firstLine="0"/>
              <w:jc w:val="both"/>
              <w:rPr>
                <w:rFonts w:ascii="Arial" w:hAnsi="Arial" w:cs="Arial"/>
                <w:spacing w:val="-1"/>
                <w:sz w:val="21"/>
                <w:szCs w:val="21"/>
              </w:rPr>
            </w:pPr>
            <w:r>
              <w:rPr>
                <w:rFonts w:ascii="Arial" w:hAnsi="Arial" w:cs="Arial"/>
                <w:sz w:val="21"/>
                <w:szCs w:val="21"/>
              </w:rPr>
              <w:t>ЗМІНА № 2:</w:t>
            </w:r>
          </w:p>
        </w:tc>
        <w:tc>
          <w:tcPr>
            <w:tcW w:w="7530" w:type="dxa"/>
            <w:shd w:val="clear" w:color="auto" w:fill="FFFFFF"/>
          </w:tcPr>
          <w:p w14:paraId="31CF1A5A" w14:textId="77777777" w:rsidR="00D74092" w:rsidRPr="00B173EB" w:rsidRDefault="00D74092" w:rsidP="00D53492">
            <w:pPr>
              <w:pStyle w:val="TableParagraph"/>
              <w:spacing w:before="0" w:line="264" w:lineRule="auto"/>
              <w:ind w:firstLine="0"/>
              <w:jc w:val="both"/>
              <w:rPr>
                <w:rFonts w:ascii="Arial" w:hAnsi="Arial" w:cs="Arial"/>
                <w:sz w:val="21"/>
                <w:szCs w:val="21"/>
              </w:rPr>
            </w:pPr>
            <w:r w:rsidRPr="00B173EB">
              <w:rPr>
                <w:rFonts w:ascii="Arial" w:hAnsi="Arial" w:cs="Arial"/>
                <w:sz w:val="21"/>
                <w:szCs w:val="21"/>
              </w:rPr>
              <w:t>з першого числа місяця, що настає через 90 днів з дня реєстрації</w:t>
            </w:r>
          </w:p>
          <w:p w14:paraId="7132A9D0" w14:textId="77777777" w:rsidR="00D74092" w:rsidRPr="00B173EB" w:rsidRDefault="00D74092" w:rsidP="00D53492">
            <w:pPr>
              <w:pStyle w:val="TableParagraph"/>
              <w:spacing w:before="0" w:line="264" w:lineRule="auto"/>
              <w:ind w:firstLine="0"/>
              <w:jc w:val="both"/>
              <w:rPr>
                <w:rFonts w:ascii="Arial" w:hAnsi="Arial" w:cs="Arial"/>
                <w:sz w:val="21"/>
                <w:szCs w:val="21"/>
              </w:rPr>
            </w:pPr>
            <w:r w:rsidRPr="00B173EB">
              <w:rPr>
                <w:rFonts w:ascii="Arial" w:hAnsi="Arial" w:cs="Arial"/>
                <w:sz w:val="21"/>
                <w:szCs w:val="21"/>
              </w:rPr>
              <w:t>та оприлюднення на порталі Єдиної державної електронної</w:t>
            </w:r>
          </w:p>
          <w:p w14:paraId="7512D913" w14:textId="3FA97677" w:rsidR="00D74092" w:rsidRPr="00B173EB" w:rsidRDefault="00D74092" w:rsidP="00D53492">
            <w:pPr>
              <w:pStyle w:val="TableParagraph"/>
              <w:tabs>
                <w:tab w:val="left" w:pos="2596"/>
              </w:tabs>
              <w:spacing w:before="0" w:line="264" w:lineRule="auto"/>
              <w:ind w:right="1134" w:firstLine="0"/>
              <w:jc w:val="both"/>
              <w:rPr>
                <w:rFonts w:ascii="Arial" w:hAnsi="Arial" w:cs="Arial"/>
                <w:spacing w:val="-1"/>
                <w:sz w:val="21"/>
                <w:szCs w:val="21"/>
              </w:rPr>
            </w:pPr>
            <w:r w:rsidRPr="00B173EB">
              <w:rPr>
                <w:rFonts w:ascii="Arial" w:hAnsi="Arial" w:cs="Arial"/>
                <w:sz w:val="21"/>
                <w:szCs w:val="21"/>
              </w:rPr>
              <w:t>системи у сфері будівництва</w:t>
            </w:r>
            <w:r>
              <w:rPr>
                <w:rFonts w:ascii="Arial" w:hAnsi="Arial" w:cs="Arial"/>
                <w:sz w:val="21"/>
                <w:szCs w:val="21"/>
              </w:rPr>
              <w:t xml:space="preserve">  ( 2025–04–01)</w:t>
            </w:r>
          </w:p>
        </w:tc>
      </w:tr>
    </w:tbl>
    <w:p w14:paraId="5E3D6D61" w14:textId="4B8D74AC" w:rsidR="00E40099" w:rsidRDefault="00E40099">
      <w:pPr>
        <w:pStyle w:val="2"/>
        <w:pBdr>
          <w:top w:val="nil"/>
          <w:left w:val="nil"/>
          <w:bottom w:val="nil"/>
          <w:right w:val="nil"/>
          <w:between w:val="nil"/>
        </w:pBdr>
        <w:spacing w:before="120" w:after="120"/>
        <w:ind w:firstLine="0"/>
        <w:jc w:val="center"/>
        <w:rPr>
          <w:rFonts w:ascii="Arial" w:hAnsi="Arial"/>
          <w:color w:val="000000" w:themeColor="text1"/>
          <w:sz w:val="22"/>
          <w:szCs w:val="22"/>
        </w:rPr>
      </w:pPr>
      <w:r>
        <w:rPr>
          <w:rFonts w:ascii="Arial" w:hAnsi="Arial"/>
          <w:color w:val="000000" w:themeColor="text1"/>
          <w:sz w:val="22"/>
          <w:szCs w:val="22"/>
        </w:rPr>
        <w:br w:type="page"/>
      </w:r>
    </w:p>
    <w:p w14:paraId="0CC1D197" w14:textId="77777777" w:rsidR="00D53492" w:rsidRDefault="00D53492">
      <w:pPr>
        <w:pStyle w:val="2"/>
        <w:pBdr>
          <w:top w:val="nil"/>
          <w:left w:val="nil"/>
          <w:bottom w:val="nil"/>
          <w:right w:val="nil"/>
          <w:between w:val="nil"/>
        </w:pBdr>
        <w:spacing w:before="120" w:after="120"/>
        <w:ind w:firstLine="0"/>
        <w:jc w:val="center"/>
        <w:rPr>
          <w:rFonts w:ascii="Arial" w:hAnsi="Arial"/>
          <w:color w:val="000000" w:themeColor="text1"/>
          <w:sz w:val="22"/>
          <w:szCs w:val="22"/>
        </w:rPr>
      </w:pPr>
    </w:p>
    <w:p w14:paraId="3B71DC99" w14:textId="1A66364A" w:rsidR="003C4E04" w:rsidRPr="00CA7C54" w:rsidRDefault="001E748C">
      <w:pPr>
        <w:pStyle w:val="2"/>
        <w:pBdr>
          <w:top w:val="nil"/>
          <w:left w:val="nil"/>
          <w:bottom w:val="nil"/>
          <w:right w:val="nil"/>
          <w:between w:val="nil"/>
        </w:pBdr>
        <w:spacing w:before="120" w:after="120"/>
        <w:ind w:firstLine="0"/>
        <w:jc w:val="center"/>
        <w:rPr>
          <w:rFonts w:ascii="Arial" w:hAnsi="Arial"/>
          <w:color w:val="000000" w:themeColor="text1"/>
          <w:sz w:val="22"/>
          <w:szCs w:val="22"/>
        </w:rPr>
      </w:pPr>
      <w:r w:rsidRPr="00CA7C54">
        <w:rPr>
          <w:rFonts w:ascii="Arial" w:hAnsi="Arial"/>
          <w:color w:val="000000" w:themeColor="text1"/>
          <w:sz w:val="22"/>
          <w:szCs w:val="22"/>
        </w:rPr>
        <w:t>ЗМІСТ</w:t>
      </w:r>
    </w:p>
    <w:p w14:paraId="1A28BD04" w14:textId="77777777" w:rsidR="003C4E04" w:rsidRPr="00CA7C54" w:rsidRDefault="003511B1" w:rsidP="003511B1">
      <w:pPr>
        <w:ind w:right="-143" w:firstLine="9214"/>
        <w:rPr>
          <w:color w:val="000000" w:themeColor="text1"/>
        </w:rPr>
      </w:pPr>
      <w:r w:rsidRPr="00CA7C54">
        <w:rPr>
          <w:color w:val="000000" w:themeColor="text1"/>
        </w:rPr>
        <w:t xml:space="preserve">  С.</w:t>
      </w:r>
    </w:p>
    <w:tbl>
      <w:tblPr>
        <w:tblStyle w:val="affffffffffffffffffffffffffffff9"/>
        <w:tblW w:w="9781" w:type="dxa"/>
        <w:tblInd w:w="142" w:type="dxa"/>
        <w:tblLayout w:type="fixed"/>
        <w:tblLook w:val="0400" w:firstRow="0" w:lastRow="0" w:firstColumn="0" w:lastColumn="0" w:noHBand="0" w:noVBand="1"/>
      </w:tblPr>
      <w:tblGrid>
        <w:gridCol w:w="562"/>
        <w:gridCol w:w="709"/>
        <w:gridCol w:w="850"/>
        <w:gridCol w:w="6946"/>
        <w:gridCol w:w="714"/>
      </w:tblGrid>
      <w:tr w:rsidR="00CA7C54" w:rsidRPr="00CA7C54" w14:paraId="6FAAED19" w14:textId="77777777" w:rsidTr="001A41CD">
        <w:tc>
          <w:tcPr>
            <w:tcW w:w="562" w:type="dxa"/>
            <w:shd w:val="clear" w:color="auto" w:fill="auto"/>
          </w:tcPr>
          <w:p w14:paraId="27E7F75B"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8505" w:type="dxa"/>
            <w:gridSpan w:val="3"/>
            <w:shd w:val="clear" w:color="auto" w:fill="auto"/>
          </w:tcPr>
          <w:p w14:paraId="09091AA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СФЕРА ЗАСТОСУВА</w:t>
            </w:r>
            <w:r w:rsidR="00C247A5" w:rsidRPr="00CA7C54">
              <w:rPr>
                <w:rFonts w:ascii="Arial" w:eastAsia="Arial" w:hAnsi="Arial" w:cs="Arial"/>
                <w:color w:val="000000" w:themeColor="text1"/>
                <w:sz w:val="21"/>
                <w:szCs w:val="21"/>
              </w:rPr>
              <w:t>ННЯ…………………………………………………………………</w:t>
            </w:r>
            <w:r w:rsidR="000255E1" w:rsidRPr="00CA7C54">
              <w:rPr>
                <w:rFonts w:ascii="Arial" w:eastAsia="Arial" w:hAnsi="Arial" w:cs="Arial"/>
                <w:color w:val="000000" w:themeColor="text1"/>
                <w:sz w:val="21"/>
                <w:szCs w:val="21"/>
              </w:rPr>
              <w:t>…..</w:t>
            </w:r>
          </w:p>
        </w:tc>
        <w:tc>
          <w:tcPr>
            <w:tcW w:w="714" w:type="dxa"/>
            <w:shd w:val="clear" w:color="auto" w:fill="auto"/>
          </w:tcPr>
          <w:p w14:paraId="3D5136AA"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r>
      <w:tr w:rsidR="00CA7C54" w:rsidRPr="00CA7C54" w14:paraId="38927540" w14:textId="77777777" w:rsidTr="001A41CD">
        <w:tc>
          <w:tcPr>
            <w:tcW w:w="562" w:type="dxa"/>
            <w:shd w:val="clear" w:color="auto" w:fill="auto"/>
          </w:tcPr>
          <w:p w14:paraId="0B56D404"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8505" w:type="dxa"/>
            <w:gridSpan w:val="3"/>
            <w:shd w:val="clear" w:color="auto" w:fill="auto"/>
          </w:tcPr>
          <w:p w14:paraId="1D1061B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НОРМАТИВНІ ПОСИ</w:t>
            </w:r>
            <w:r w:rsidR="00C247A5" w:rsidRPr="00CA7C54">
              <w:rPr>
                <w:rFonts w:ascii="Arial" w:eastAsia="Arial" w:hAnsi="Arial" w:cs="Arial"/>
                <w:color w:val="000000" w:themeColor="text1"/>
                <w:sz w:val="21"/>
                <w:szCs w:val="21"/>
              </w:rPr>
              <w:t>ЛАННЯ………………………………………………………………</w:t>
            </w:r>
            <w:r w:rsidR="000255E1"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18816F2B" w14:textId="77777777" w:rsidR="003C4E04" w:rsidRPr="00CA7C54" w:rsidRDefault="00E6700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r>
      <w:tr w:rsidR="00CA7C54" w:rsidRPr="00CA7C54" w14:paraId="29FA7216" w14:textId="77777777" w:rsidTr="001A41CD">
        <w:tc>
          <w:tcPr>
            <w:tcW w:w="562" w:type="dxa"/>
            <w:shd w:val="clear" w:color="auto" w:fill="auto"/>
          </w:tcPr>
          <w:p w14:paraId="65A8EDAB"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p>
        </w:tc>
        <w:tc>
          <w:tcPr>
            <w:tcW w:w="8505" w:type="dxa"/>
            <w:gridSpan w:val="3"/>
            <w:shd w:val="clear" w:color="auto" w:fill="auto"/>
          </w:tcPr>
          <w:p w14:paraId="1CB295A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ТЕРМІНИ ТА ВИЗНАЧЕНН</w:t>
            </w:r>
            <w:r w:rsidR="00C247A5" w:rsidRPr="00CA7C54">
              <w:rPr>
                <w:rFonts w:ascii="Arial" w:eastAsia="Arial" w:hAnsi="Arial" w:cs="Arial"/>
                <w:color w:val="000000" w:themeColor="text1"/>
                <w:sz w:val="21"/>
                <w:szCs w:val="21"/>
              </w:rPr>
              <w:t>Я ПОНЯТЬ……………………………………………………….</w:t>
            </w:r>
          </w:p>
        </w:tc>
        <w:tc>
          <w:tcPr>
            <w:tcW w:w="714" w:type="dxa"/>
            <w:shd w:val="clear" w:color="auto" w:fill="auto"/>
          </w:tcPr>
          <w:p w14:paraId="0A243463"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4</w:t>
            </w:r>
          </w:p>
        </w:tc>
      </w:tr>
      <w:tr w:rsidR="00CA7C54" w:rsidRPr="00CA7C54" w14:paraId="416447D4" w14:textId="77777777" w:rsidTr="001A41CD">
        <w:tc>
          <w:tcPr>
            <w:tcW w:w="562" w:type="dxa"/>
            <w:shd w:val="clear" w:color="auto" w:fill="auto"/>
          </w:tcPr>
          <w:p w14:paraId="07F791B5"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4</w:t>
            </w:r>
          </w:p>
        </w:tc>
        <w:tc>
          <w:tcPr>
            <w:tcW w:w="8505" w:type="dxa"/>
            <w:gridSpan w:val="3"/>
            <w:shd w:val="clear" w:color="auto" w:fill="auto"/>
          </w:tcPr>
          <w:p w14:paraId="3F9D8CD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ПОЗНАКИ ТА СКОРОЧЕННЯ……………</w:t>
            </w:r>
            <w:r w:rsidR="00370BCF"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1A301362" w14:textId="77777777" w:rsidR="003C4E04" w:rsidRPr="00CA7C54" w:rsidRDefault="00395598"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6</w:t>
            </w:r>
          </w:p>
        </w:tc>
      </w:tr>
      <w:tr w:rsidR="00CA7C54" w:rsidRPr="00CA7C54" w14:paraId="42A9981B" w14:textId="77777777" w:rsidTr="001A41CD">
        <w:tc>
          <w:tcPr>
            <w:tcW w:w="562" w:type="dxa"/>
            <w:shd w:val="clear" w:color="auto" w:fill="auto"/>
          </w:tcPr>
          <w:p w14:paraId="3F2476D1"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p>
        </w:tc>
        <w:tc>
          <w:tcPr>
            <w:tcW w:w="8505" w:type="dxa"/>
            <w:gridSpan w:val="3"/>
            <w:shd w:val="clear" w:color="auto" w:fill="auto"/>
          </w:tcPr>
          <w:p w14:paraId="74EF11DB" w14:textId="77777777" w:rsidR="003C4E04" w:rsidRPr="00CA7C54" w:rsidRDefault="00370BCF"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ЗАГАЛЬНІ </w:t>
            </w:r>
            <w:r w:rsidR="001E748C" w:rsidRPr="00CA7C54">
              <w:rPr>
                <w:rFonts w:ascii="Arial" w:eastAsia="Arial" w:hAnsi="Arial" w:cs="Arial"/>
                <w:color w:val="000000" w:themeColor="text1"/>
                <w:sz w:val="21"/>
                <w:szCs w:val="21"/>
              </w:rPr>
              <w:t>ПОЛОЖЕН</w:t>
            </w:r>
            <w:r w:rsidRPr="00CA7C54">
              <w:rPr>
                <w:rFonts w:ascii="Arial" w:eastAsia="Arial" w:hAnsi="Arial" w:cs="Arial"/>
                <w:color w:val="000000" w:themeColor="text1"/>
                <w:sz w:val="21"/>
                <w:szCs w:val="21"/>
              </w:rPr>
              <w:t>НЯ……………………………………………………………………</w:t>
            </w:r>
            <w:r w:rsidR="000255E1" w:rsidRPr="00CA7C54">
              <w:rPr>
                <w:rFonts w:ascii="Arial" w:eastAsia="Arial" w:hAnsi="Arial" w:cs="Arial"/>
                <w:color w:val="000000" w:themeColor="text1"/>
                <w:sz w:val="21"/>
                <w:szCs w:val="21"/>
              </w:rPr>
              <w:t>…</w:t>
            </w:r>
          </w:p>
        </w:tc>
        <w:tc>
          <w:tcPr>
            <w:tcW w:w="714" w:type="dxa"/>
            <w:shd w:val="clear" w:color="auto" w:fill="auto"/>
          </w:tcPr>
          <w:p w14:paraId="128CE7E9"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r>
      <w:tr w:rsidR="00CA7C54" w:rsidRPr="00CA7C54" w14:paraId="0BF3DBAE" w14:textId="77777777" w:rsidTr="001A41CD">
        <w:tc>
          <w:tcPr>
            <w:tcW w:w="562" w:type="dxa"/>
            <w:shd w:val="clear" w:color="auto" w:fill="auto"/>
          </w:tcPr>
          <w:p w14:paraId="7F3D2211"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c>
          <w:tcPr>
            <w:tcW w:w="8505" w:type="dxa"/>
            <w:gridSpan w:val="3"/>
            <w:shd w:val="clear" w:color="auto" w:fill="auto"/>
          </w:tcPr>
          <w:p w14:paraId="6750D35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РОЗМІЩЕННЯ ЗАХИС</w:t>
            </w:r>
            <w:r w:rsidR="00370BCF" w:rsidRPr="00CA7C54">
              <w:rPr>
                <w:rFonts w:ascii="Arial" w:eastAsia="Arial" w:hAnsi="Arial" w:cs="Arial"/>
                <w:color w:val="000000" w:themeColor="text1"/>
                <w:sz w:val="21"/>
                <w:szCs w:val="21"/>
              </w:rPr>
              <w:t>НИХ СПОРУД ТА СПОРУД ПОДВІЙНОГО ПРИЗНАЧЕННЯ</w:t>
            </w:r>
            <w:r w:rsidR="000255E1" w:rsidRPr="00CA7C54">
              <w:rPr>
                <w:rFonts w:ascii="Arial" w:eastAsia="Arial" w:hAnsi="Arial" w:cs="Arial"/>
                <w:color w:val="000000" w:themeColor="text1"/>
                <w:sz w:val="21"/>
                <w:szCs w:val="21"/>
              </w:rPr>
              <w:t>…</w:t>
            </w:r>
          </w:p>
        </w:tc>
        <w:tc>
          <w:tcPr>
            <w:tcW w:w="714" w:type="dxa"/>
            <w:shd w:val="clear" w:color="auto" w:fill="auto"/>
          </w:tcPr>
          <w:p w14:paraId="22C8C9D6"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p>
        </w:tc>
      </w:tr>
      <w:tr w:rsidR="00CA7C54" w:rsidRPr="00CA7C54" w14:paraId="241CF365" w14:textId="77777777" w:rsidTr="001A41CD">
        <w:tc>
          <w:tcPr>
            <w:tcW w:w="562" w:type="dxa"/>
            <w:shd w:val="clear" w:color="auto" w:fill="auto"/>
          </w:tcPr>
          <w:p w14:paraId="253F59E2"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w:t>
            </w:r>
          </w:p>
        </w:tc>
        <w:tc>
          <w:tcPr>
            <w:tcW w:w="8505" w:type="dxa"/>
            <w:gridSpan w:val="3"/>
            <w:shd w:val="clear" w:color="auto" w:fill="auto"/>
          </w:tcPr>
          <w:p w14:paraId="0A680B5F" w14:textId="77777777" w:rsidR="003C4E04" w:rsidRPr="00CA7C54" w:rsidRDefault="00370BCF"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ОБ’ЄМНО-ПЛАНУВАЛЬНІ РІШЕННЯ………………………………………………………</w:t>
            </w:r>
            <w:r w:rsidR="000255E1"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5488EDF0"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27F54" w:rsidRPr="00CA7C54">
              <w:rPr>
                <w:rFonts w:ascii="Arial" w:eastAsia="Arial" w:hAnsi="Arial" w:cs="Arial"/>
                <w:color w:val="000000" w:themeColor="text1"/>
                <w:sz w:val="21"/>
                <w:szCs w:val="21"/>
              </w:rPr>
              <w:t>2</w:t>
            </w:r>
          </w:p>
        </w:tc>
      </w:tr>
      <w:tr w:rsidR="00CA7C54" w:rsidRPr="00CA7C54" w14:paraId="39AE6CCA" w14:textId="77777777" w:rsidTr="001A41CD">
        <w:tc>
          <w:tcPr>
            <w:tcW w:w="562" w:type="dxa"/>
            <w:shd w:val="clear" w:color="auto" w:fill="auto"/>
          </w:tcPr>
          <w:p w14:paraId="05B2300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FEA2BB5"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7.1</w:t>
            </w:r>
          </w:p>
        </w:tc>
        <w:tc>
          <w:tcPr>
            <w:tcW w:w="7796" w:type="dxa"/>
            <w:gridSpan w:val="2"/>
            <w:shd w:val="clear" w:color="auto" w:fill="auto"/>
          </w:tcPr>
          <w:p w14:paraId="759B6F1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Загальні положення……………………………………………………………………</w:t>
            </w:r>
            <w:r w:rsidR="003511B1" w:rsidRPr="00CA7C54">
              <w:rPr>
                <w:rFonts w:ascii="Arial" w:eastAsia="Arial" w:hAnsi="Arial" w:cs="Arial"/>
                <w:color w:val="000000" w:themeColor="text1"/>
                <w:sz w:val="21"/>
                <w:szCs w:val="21"/>
              </w:rPr>
              <w:t>.</w:t>
            </w:r>
          </w:p>
        </w:tc>
        <w:tc>
          <w:tcPr>
            <w:tcW w:w="714" w:type="dxa"/>
            <w:shd w:val="clear" w:color="auto" w:fill="auto"/>
          </w:tcPr>
          <w:p w14:paraId="67015889"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27F54" w:rsidRPr="00CA7C54">
              <w:rPr>
                <w:rFonts w:ascii="Arial" w:eastAsia="Arial" w:hAnsi="Arial" w:cs="Arial"/>
                <w:color w:val="000000" w:themeColor="text1"/>
                <w:sz w:val="21"/>
                <w:szCs w:val="21"/>
              </w:rPr>
              <w:t>2</w:t>
            </w:r>
          </w:p>
        </w:tc>
      </w:tr>
      <w:tr w:rsidR="00CA7C54" w:rsidRPr="00CA7C54" w14:paraId="2624CC5E" w14:textId="77777777" w:rsidTr="001A41CD">
        <w:tc>
          <w:tcPr>
            <w:tcW w:w="562" w:type="dxa"/>
            <w:shd w:val="clear" w:color="auto" w:fill="auto"/>
          </w:tcPr>
          <w:p w14:paraId="7390663C"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5AEF85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w:t>
            </w:r>
          </w:p>
        </w:tc>
        <w:tc>
          <w:tcPr>
            <w:tcW w:w="7796" w:type="dxa"/>
            <w:gridSpan w:val="2"/>
            <w:shd w:val="clear" w:color="auto" w:fill="auto"/>
          </w:tcPr>
          <w:p w14:paraId="247B0FA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Основні та допоміжні приміщення</w:t>
            </w:r>
            <w:r w:rsidR="00C247A5" w:rsidRPr="00CA7C54">
              <w:rPr>
                <w:rFonts w:ascii="Arial" w:eastAsia="Arial" w:hAnsi="Arial" w:cs="Arial"/>
                <w:color w:val="000000" w:themeColor="text1"/>
                <w:sz w:val="21"/>
                <w:szCs w:val="21"/>
              </w:rPr>
              <w:t xml:space="preserve"> захисних споруд та СПП……………………</w:t>
            </w:r>
            <w:r w:rsidR="003511B1" w:rsidRPr="00CA7C54">
              <w:rPr>
                <w:rFonts w:ascii="Arial" w:eastAsia="Arial" w:hAnsi="Arial" w:cs="Arial"/>
                <w:color w:val="000000" w:themeColor="text1"/>
                <w:sz w:val="21"/>
                <w:szCs w:val="21"/>
              </w:rPr>
              <w:t>.</w:t>
            </w:r>
          </w:p>
        </w:tc>
        <w:tc>
          <w:tcPr>
            <w:tcW w:w="714" w:type="dxa"/>
            <w:shd w:val="clear" w:color="auto" w:fill="auto"/>
          </w:tcPr>
          <w:p w14:paraId="20137965" w14:textId="6888D64A"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B0DD1">
              <w:rPr>
                <w:rFonts w:ascii="Arial" w:eastAsia="Arial" w:hAnsi="Arial" w:cs="Arial"/>
                <w:color w:val="000000" w:themeColor="text1"/>
                <w:sz w:val="21"/>
                <w:szCs w:val="21"/>
              </w:rPr>
              <w:t>4</w:t>
            </w:r>
          </w:p>
        </w:tc>
      </w:tr>
      <w:tr w:rsidR="00CA7C54" w:rsidRPr="00CA7C54" w14:paraId="506D2DBB" w14:textId="77777777" w:rsidTr="001A41CD">
        <w:tc>
          <w:tcPr>
            <w:tcW w:w="562" w:type="dxa"/>
            <w:shd w:val="clear" w:color="auto" w:fill="auto"/>
          </w:tcPr>
          <w:p w14:paraId="6CC1003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43326EE3"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0D4CEC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7.2.1</w:t>
            </w:r>
          </w:p>
        </w:tc>
        <w:tc>
          <w:tcPr>
            <w:tcW w:w="6946" w:type="dxa"/>
            <w:shd w:val="clear" w:color="auto" w:fill="auto"/>
          </w:tcPr>
          <w:p w14:paraId="7F0CCF9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Сховища та СПП із захисним</w:t>
            </w:r>
            <w:r w:rsidR="00C247A5" w:rsidRPr="00CA7C54">
              <w:rPr>
                <w:rFonts w:ascii="Arial" w:eastAsia="Arial" w:hAnsi="Arial" w:cs="Arial"/>
                <w:color w:val="000000" w:themeColor="text1"/>
                <w:sz w:val="21"/>
                <w:szCs w:val="21"/>
              </w:rPr>
              <w:t>и властивостями сховищ……………</w:t>
            </w:r>
            <w:r w:rsidR="000255E1" w:rsidRPr="00CA7C54">
              <w:rPr>
                <w:rFonts w:ascii="Arial" w:eastAsia="Arial" w:hAnsi="Arial" w:cs="Arial"/>
                <w:color w:val="000000" w:themeColor="text1"/>
                <w:sz w:val="21"/>
                <w:szCs w:val="21"/>
              </w:rPr>
              <w:t>…..</w:t>
            </w:r>
          </w:p>
        </w:tc>
        <w:tc>
          <w:tcPr>
            <w:tcW w:w="714" w:type="dxa"/>
            <w:shd w:val="clear" w:color="auto" w:fill="auto"/>
          </w:tcPr>
          <w:p w14:paraId="29843836" w14:textId="47415A5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B0DD1">
              <w:rPr>
                <w:rFonts w:ascii="Arial" w:eastAsia="Arial" w:hAnsi="Arial" w:cs="Arial"/>
                <w:color w:val="000000" w:themeColor="text1"/>
                <w:sz w:val="21"/>
                <w:szCs w:val="21"/>
              </w:rPr>
              <w:t>4</w:t>
            </w:r>
          </w:p>
        </w:tc>
      </w:tr>
      <w:tr w:rsidR="00CA7C54" w:rsidRPr="00CA7C54" w14:paraId="53F98B85" w14:textId="77777777" w:rsidTr="001A41CD">
        <w:tc>
          <w:tcPr>
            <w:tcW w:w="562" w:type="dxa"/>
            <w:shd w:val="clear" w:color="auto" w:fill="auto"/>
          </w:tcPr>
          <w:p w14:paraId="07804F08"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60648F31"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CD627DD"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7.2.2.</w:t>
            </w:r>
          </w:p>
        </w:tc>
        <w:tc>
          <w:tcPr>
            <w:tcW w:w="6946" w:type="dxa"/>
            <w:shd w:val="clear" w:color="auto" w:fill="auto"/>
          </w:tcPr>
          <w:p w14:paraId="0EC413B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ПРУ та СПП із захисним</w:t>
            </w:r>
            <w:r w:rsidR="00C247A5" w:rsidRPr="00CA7C54">
              <w:rPr>
                <w:rFonts w:ascii="Arial" w:eastAsia="Arial" w:hAnsi="Arial" w:cs="Arial"/>
                <w:color w:val="000000" w:themeColor="text1"/>
                <w:sz w:val="21"/>
                <w:szCs w:val="21"/>
              </w:rPr>
              <w:t>и властивостями ПРУ…………………………</w:t>
            </w:r>
            <w:r w:rsidR="000255E1" w:rsidRPr="00CA7C54">
              <w:rPr>
                <w:rFonts w:ascii="Arial" w:eastAsia="Arial" w:hAnsi="Arial" w:cs="Arial"/>
                <w:color w:val="000000" w:themeColor="text1"/>
                <w:sz w:val="21"/>
                <w:szCs w:val="21"/>
              </w:rPr>
              <w:t>.</w:t>
            </w:r>
          </w:p>
        </w:tc>
        <w:tc>
          <w:tcPr>
            <w:tcW w:w="714" w:type="dxa"/>
            <w:shd w:val="clear" w:color="auto" w:fill="auto"/>
          </w:tcPr>
          <w:p w14:paraId="13342EF1"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r>
      <w:tr w:rsidR="00CA7C54" w:rsidRPr="00CA7C54" w14:paraId="6040C8DF" w14:textId="77777777" w:rsidTr="001A41CD">
        <w:tc>
          <w:tcPr>
            <w:tcW w:w="562" w:type="dxa"/>
            <w:shd w:val="clear" w:color="auto" w:fill="auto"/>
          </w:tcPr>
          <w:p w14:paraId="276A617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37298DD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7.3</w:t>
            </w:r>
          </w:p>
        </w:tc>
        <w:tc>
          <w:tcPr>
            <w:tcW w:w="7796" w:type="dxa"/>
            <w:gridSpan w:val="2"/>
            <w:shd w:val="clear" w:color="auto" w:fill="auto"/>
          </w:tcPr>
          <w:p w14:paraId="503222E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Основне приміщення для укр</w:t>
            </w:r>
            <w:r w:rsidR="00370BCF" w:rsidRPr="00CA7C54">
              <w:rPr>
                <w:rFonts w:ascii="Arial" w:eastAsia="Arial" w:hAnsi="Arial" w:cs="Arial"/>
                <w:color w:val="000000" w:themeColor="text1"/>
                <w:sz w:val="21"/>
                <w:szCs w:val="21"/>
              </w:rPr>
              <w:t>иття……………………………………………………</w:t>
            </w:r>
          </w:p>
        </w:tc>
        <w:tc>
          <w:tcPr>
            <w:tcW w:w="714" w:type="dxa"/>
            <w:shd w:val="clear" w:color="auto" w:fill="auto"/>
          </w:tcPr>
          <w:p w14:paraId="2E71D68E"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w:t>
            </w:r>
          </w:p>
        </w:tc>
      </w:tr>
      <w:tr w:rsidR="00CA7C54" w:rsidRPr="00CA7C54" w14:paraId="065B0DF3" w14:textId="77777777" w:rsidTr="001A41CD">
        <w:tc>
          <w:tcPr>
            <w:tcW w:w="562" w:type="dxa"/>
            <w:shd w:val="clear" w:color="auto" w:fill="auto"/>
          </w:tcPr>
          <w:p w14:paraId="3066F133"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83FF15D"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7.4</w:t>
            </w:r>
          </w:p>
        </w:tc>
        <w:tc>
          <w:tcPr>
            <w:tcW w:w="7796" w:type="dxa"/>
            <w:gridSpan w:val="2"/>
            <w:shd w:val="clear" w:color="auto" w:fill="auto"/>
          </w:tcPr>
          <w:p w14:paraId="481B73B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Санітарно-гігієнічні п</w:t>
            </w:r>
            <w:r w:rsidR="00370BCF" w:rsidRPr="00CA7C54">
              <w:rPr>
                <w:rFonts w:ascii="Arial" w:eastAsia="Arial" w:hAnsi="Arial" w:cs="Arial"/>
                <w:color w:val="000000" w:themeColor="text1"/>
                <w:sz w:val="21"/>
                <w:szCs w:val="21"/>
              </w:rPr>
              <w:t>риміщення………………………………………………………</w:t>
            </w:r>
          </w:p>
        </w:tc>
        <w:tc>
          <w:tcPr>
            <w:tcW w:w="714" w:type="dxa"/>
            <w:shd w:val="clear" w:color="auto" w:fill="auto"/>
          </w:tcPr>
          <w:p w14:paraId="603257B1" w14:textId="76527464" w:rsidR="003C4E04" w:rsidRPr="00CA7C54" w:rsidRDefault="008B0DD1"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20</w:t>
            </w:r>
          </w:p>
        </w:tc>
      </w:tr>
      <w:tr w:rsidR="00CA7C54" w:rsidRPr="00CA7C54" w14:paraId="62C07EFF" w14:textId="77777777" w:rsidTr="001A41CD">
        <w:tc>
          <w:tcPr>
            <w:tcW w:w="562" w:type="dxa"/>
            <w:shd w:val="clear" w:color="auto" w:fill="auto"/>
          </w:tcPr>
          <w:p w14:paraId="6E32E54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319322B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w:t>
            </w:r>
          </w:p>
        </w:tc>
        <w:tc>
          <w:tcPr>
            <w:tcW w:w="7796" w:type="dxa"/>
            <w:gridSpan w:val="2"/>
            <w:shd w:val="clear" w:color="auto" w:fill="auto"/>
          </w:tcPr>
          <w:p w14:paraId="74A6E63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Захищені входи та виходи………………………………………………………</w:t>
            </w:r>
            <w:r w:rsidR="000255E1" w:rsidRPr="00CA7C54">
              <w:rPr>
                <w:rFonts w:ascii="Arial" w:eastAsia="Arial" w:hAnsi="Arial" w:cs="Arial"/>
                <w:color w:val="000000" w:themeColor="text1"/>
                <w:sz w:val="21"/>
                <w:szCs w:val="21"/>
              </w:rPr>
              <w:t>…….</w:t>
            </w:r>
          </w:p>
        </w:tc>
        <w:tc>
          <w:tcPr>
            <w:tcW w:w="714" w:type="dxa"/>
            <w:shd w:val="clear" w:color="auto" w:fill="auto"/>
          </w:tcPr>
          <w:p w14:paraId="41D9FCB5" w14:textId="77777777"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20</w:t>
            </w:r>
          </w:p>
        </w:tc>
      </w:tr>
      <w:tr w:rsidR="00CA7C54" w:rsidRPr="00CA7C54" w14:paraId="7601867E" w14:textId="77777777" w:rsidTr="001A41CD">
        <w:tc>
          <w:tcPr>
            <w:tcW w:w="562" w:type="dxa"/>
            <w:shd w:val="clear" w:color="auto" w:fill="auto"/>
          </w:tcPr>
          <w:p w14:paraId="0DD4F546"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3DD242D7"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465B05B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7.5.1</w:t>
            </w:r>
          </w:p>
        </w:tc>
        <w:tc>
          <w:tcPr>
            <w:tcW w:w="6946" w:type="dxa"/>
            <w:shd w:val="clear" w:color="auto" w:fill="auto"/>
          </w:tcPr>
          <w:p w14:paraId="2CF77F5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Схов</w:t>
            </w:r>
            <w:r w:rsidR="00370BCF" w:rsidRPr="00CA7C54">
              <w:rPr>
                <w:rFonts w:ascii="Arial" w:eastAsia="Arial" w:hAnsi="Arial" w:cs="Arial"/>
                <w:color w:val="000000" w:themeColor="text1"/>
                <w:sz w:val="21"/>
                <w:szCs w:val="21"/>
              </w:rPr>
              <w:t>ища……………………………………………………………</w:t>
            </w:r>
            <w:r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2DDC42F5" w14:textId="77777777"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20</w:t>
            </w:r>
          </w:p>
        </w:tc>
      </w:tr>
      <w:tr w:rsidR="00CA7C54" w:rsidRPr="00CA7C54" w14:paraId="2EDA622A" w14:textId="77777777" w:rsidTr="001A41CD">
        <w:tc>
          <w:tcPr>
            <w:tcW w:w="562" w:type="dxa"/>
            <w:shd w:val="clear" w:color="auto" w:fill="auto"/>
          </w:tcPr>
          <w:p w14:paraId="339199A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3C00ACE"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296B860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7.5.2</w:t>
            </w:r>
          </w:p>
        </w:tc>
        <w:tc>
          <w:tcPr>
            <w:tcW w:w="6946" w:type="dxa"/>
            <w:shd w:val="clear" w:color="auto" w:fill="auto"/>
          </w:tcPr>
          <w:p w14:paraId="1D02C5C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СПП із захисними властивостями сховищ………………</w:t>
            </w:r>
            <w:r w:rsidR="00C247A5"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0E6AB625"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r w:rsidR="00827F54" w:rsidRPr="00CA7C54">
              <w:rPr>
                <w:rFonts w:ascii="Arial" w:eastAsia="Arial" w:hAnsi="Arial" w:cs="Arial"/>
                <w:color w:val="000000" w:themeColor="text1"/>
                <w:sz w:val="21"/>
                <w:szCs w:val="21"/>
              </w:rPr>
              <w:t>3</w:t>
            </w:r>
          </w:p>
        </w:tc>
      </w:tr>
      <w:tr w:rsidR="00CA7C54" w:rsidRPr="00CA7C54" w14:paraId="5C689601" w14:textId="77777777" w:rsidTr="001A41CD">
        <w:tc>
          <w:tcPr>
            <w:tcW w:w="562" w:type="dxa"/>
            <w:shd w:val="clear" w:color="auto" w:fill="auto"/>
          </w:tcPr>
          <w:p w14:paraId="0AF4ABF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6776F4BB"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5997926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7.5.3</w:t>
            </w:r>
          </w:p>
        </w:tc>
        <w:tc>
          <w:tcPr>
            <w:tcW w:w="6946" w:type="dxa"/>
            <w:shd w:val="clear" w:color="auto" w:fill="auto"/>
          </w:tcPr>
          <w:p w14:paraId="26D79B6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ПРУ та СПП із захисн</w:t>
            </w:r>
            <w:r w:rsidR="00C247A5" w:rsidRPr="00CA7C54">
              <w:rPr>
                <w:rFonts w:ascii="Arial" w:eastAsia="Arial" w:hAnsi="Arial" w:cs="Arial"/>
                <w:color w:val="000000" w:themeColor="text1"/>
                <w:sz w:val="21"/>
                <w:szCs w:val="21"/>
              </w:rPr>
              <w:t>ими властивостями ПРУ………………………</w:t>
            </w:r>
            <w:r w:rsidR="000255E1" w:rsidRPr="00CA7C54">
              <w:rPr>
                <w:rFonts w:ascii="Arial" w:eastAsia="Arial" w:hAnsi="Arial" w:cs="Arial"/>
                <w:color w:val="000000" w:themeColor="text1"/>
                <w:sz w:val="21"/>
                <w:szCs w:val="21"/>
              </w:rPr>
              <w:t>….</w:t>
            </w:r>
          </w:p>
        </w:tc>
        <w:tc>
          <w:tcPr>
            <w:tcW w:w="714" w:type="dxa"/>
            <w:shd w:val="clear" w:color="auto" w:fill="auto"/>
          </w:tcPr>
          <w:p w14:paraId="3870DA04" w14:textId="77777777"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24</w:t>
            </w:r>
          </w:p>
        </w:tc>
      </w:tr>
      <w:tr w:rsidR="00CA7C54" w:rsidRPr="00CA7C54" w14:paraId="761CBE85" w14:textId="77777777" w:rsidTr="001A41CD">
        <w:tc>
          <w:tcPr>
            <w:tcW w:w="562" w:type="dxa"/>
            <w:shd w:val="clear" w:color="auto" w:fill="auto"/>
          </w:tcPr>
          <w:p w14:paraId="334F9A4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FDF521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7.6</w:t>
            </w:r>
          </w:p>
        </w:tc>
        <w:tc>
          <w:tcPr>
            <w:tcW w:w="7796" w:type="dxa"/>
            <w:gridSpan w:val="2"/>
            <w:shd w:val="clear" w:color="auto" w:fill="auto"/>
          </w:tcPr>
          <w:p w14:paraId="055C24B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Вимоги до опорядження приміщень………………………………………………</w:t>
            </w:r>
            <w:r w:rsidR="000255E1" w:rsidRPr="00CA7C54">
              <w:rPr>
                <w:rFonts w:ascii="Arial" w:eastAsia="Arial" w:hAnsi="Arial" w:cs="Arial"/>
                <w:color w:val="000000" w:themeColor="text1"/>
                <w:sz w:val="21"/>
                <w:szCs w:val="21"/>
              </w:rPr>
              <w:t>…</w:t>
            </w:r>
          </w:p>
        </w:tc>
        <w:tc>
          <w:tcPr>
            <w:tcW w:w="714" w:type="dxa"/>
            <w:shd w:val="clear" w:color="auto" w:fill="auto"/>
          </w:tcPr>
          <w:p w14:paraId="3AF8CEA7" w14:textId="6C8DE4BD"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r w:rsidR="008B0DD1">
              <w:rPr>
                <w:rFonts w:ascii="Arial" w:eastAsia="Arial" w:hAnsi="Arial" w:cs="Arial"/>
                <w:color w:val="000000" w:themeColor="text1"/>
                <w:sz w:val="21"/>
                <w:szCs w:val="21"/>
              </w:rPr>
              <w:t>8</w:t>
            </w:r>
          </w:p>
        </w:tc>
      </w:tr>
      <w:tr w:rsidR="00CA7C54" w:rsidRPr="00CA7C54" w14:paraId="6AC482B5" w14:textId="77777777" w:rsidTr="001A41CD">
        <w:tc>
          <w:tcPr>
            <w:tcW w:w="562" w:type="dxa"/>
            <w:shd w:val="clear" w:color="auto" w:fill="auto"/>
          </w:tcPr>
          <w:p w14:paraId="47C5FD0F"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p>
        </w:tc>
        <w:tc>
          <w:tcPr>
            <w:tcW w:w="8505" w:type="dxa"/>
            <w:gridSpan w:val="3"/>
            <w:shd w:val="clear" w:color="auto" w:fill="auto"/>
          </w:tcPr>
          <w:p w14:paraId="118A155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ДОДАТКОВІ ВИМОГИ ДО ПРО</w:t>
            </w:r>
            <w:r w:rsidR="00E67004" w:rsidRPr="00CA7C54">
              <w:rPr>
                <w:rFonts w:ascii="Arial" w:eastAsia="Arial" w:hAnsi="Arial" w:cs="Arial"/>
                <w:color w:val="000000" w:themeColor="text1"/>
                <w:sz w:val="21"/>
                <w:szCs w:val="21"/>
              </w:rPr>
              <w:t>Є</w:t>
            </w:r>
            <w:r w:rsidRPr="00CA7C54">
              <w:rPr>
                <w:rFonts w:ascii="Arial" w:eastAsia="Arial" w:hAnsi="Arial" w:cs="Arial"/>
                <w:color w:val="000000" w:themeColor="text1"/>
                <w:sz w:val="21"/>
                <w:szCs w:val="21"/>
              </w:rPr>
              <w:t xml:space="preserve">КТУВАННЯ ЗАХИСНИХ СПОРУД ТА СПП </w:t>
            </w:r>
            <w:r w:rsidRPr="00CA7C54">
              <w:rPr>
                <w:rFonts w:ascii="Arial" w:eastAsia="Arial" w:hAnsi="Arial" w:cs="Arial"/>
                <w:color w:val="000000" w:themeColor="text1"/>
                <w:sz w:val="21"/>
                <w:szCs w:val="21"/>
              </w:rPr>
              <w:br/>
              <w:t>У СКЛАДІ ЗАКЛАДІВ ОХОРОНИ ЗДОРОВ’Я, ЗАКЛАДІВ ОСВІТИ, ГРОМАДСЬКИХ БУДІВЕЛЬ ТА ЖИТЛОВИХ БУДИНКІВ…………………………………………………</w:t>
            </w:r>
            <w:r w:rsidR="000255E1" w:rsidRPr="00CA7C54">
              <w:rPr>
                <w:rFonts w:ascii="Arial" w:eastAsia="Arial" w:hAnsi="Arial" w:cs="Arial"/>
                <w:color w:val="000000" w:themeColor="text1"/>
                <w:sz w:val="21"/>
                <w:szCs w:val="21"/>
              </w:rPr>
              <w:t>……</w:t>
            </w:r>
          </w:p>
        </w:tc>
        <w:tc>
          <w:tcPr>
            <w:tcW w:w="714" w:type="dxa"/>
            <w:shd w:val="clear" w:color="auto" w:fill="auto"/>
          </w:tcPr>
          <w:p w14:paraId="7960C1B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0FF40B3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205EAAA0" w14:textId="32D3ECB9"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w:t>
            </w:r>
            <w:r w:rsidR="008B0DD1">
              <w:rPr>
                <w:rFonts w:ascii="Arial" w:eastAsia="Arial" w:hAnsi="Arial" w:cs="Arial"/>
                <w:color w:val="000000" w:themeColor="text1"/>
                <w:sz w:val="21"/>
                <w:szCs w:val="21"/>
                <w:lang w:val="ru-RU"/>
              </w:rPr>
              <w:t>8</w:t>
            </w:r>
          </w:p>
        </w:tc>
      </w:tr>
      <w:tr w:rsidR="00CA7C54" w:rsidRPr="00CA7C54" w14:paraId="0D0153EC" w14:textId="77777777" w:rsidTr="001A41CD">
        <w:tc>
          <w:tcPr>
            <w:tcW w:w="562" w:type="dxa"/>
            <w:shd w:val="clear" w:color="auto" w:fill="auto"/>
          </w:tcPr>
          <w:p w14:paraId="0FD737A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4E7E58F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8.1</w:t>
            </w:r>
          </w:p>
        </w:tc>
        <w:tc>
          <w:tcPr>
            <w:tcW w:w="7796" w:type="dxa"/>
            <w:gridSpan w:val="2"/>
            <w:shd w:val="clear" w:color="auto" w:fill="auto"/>
          </w:tcPr>
          <w:p w14:paraId="60287D2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Заклади охорони здоров’я……………………………………………………………</w:t>
            </w:r>
            <w:r w:rsidR="000255E1" w:rsidRPr="00CA7C54">
              <w:rPr>
                <w:rFonts w:ascii="Arial" w:eastAsia="Arial" w:hAnsi="Arial" w:cs="Arial"/>
                <w:color w:val="000000" w:themeColor="text1"/>
                <w:sz w:val="21"/>
                <w:szCs w:val="21"/>
              </w:rPr>
              <w:t>.</w:t>
            </w:r>
          </w:p>
        </w:tc>
        <w:tc>
          <w:tcPr>
            <w:tcW w:w="714" w:type="dxa"/>
            <w:shd w:val="clear" w:color="auto" w:fill="auto"/>
          </w:tcPr>
          <w:p w14:paraId="0C57526A" w14:textId="6D5012C8"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w:t>
            </w:r>
            <w:r w:rsidR="008B0DD1">
              <w:rPr>
                <w:rFonts w:ascii="Arial" w:eastAsia="Arial" w:hAnsi="Arial" w:cs="Arial"/>
                <w:color w:val="000000" w:themeColor="text1"/>
                <w:sz w:val="21"/>
                <w:szCs w:val="21"/>
                <w:lang w:val="ru-RU"/>
              </w:rPr>
              <w:t>8</w:t>
            </w:r>
          </w:p>
        </w:tc>
      </w:tr>
      <w:tr w:rsidR="00CA7C54" w:rsidRPr="00CA7C54" w14:paraId="1B16CD5E" w14:textId="77777777" w:rsidTr="001A41CD">
        <w:tc>
          <w:tcPr>
            <w:tcW w:w="562" w:type="dxa"/>
            <w:shd w:val="clear" w:color="auto" w:fill="auto"/>
          </w:tcPr>
          <w:p w14:paraId="06FD4D0B"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3E815D56"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7796" w:type="dxa"/>
            <w:gridSpan w:val="2"/>
            <w:shd w:val="clear" w:color="auto" w:fill="auto"/>
          </w:tcPr>
          <w:p w14:paraId="03E68AE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Заклади освіти…………………………………………………………………………</w:t>
            </w:r>
            <w:r w:rsidR="000255E1" w:rsidRPr="00CA7C54">
              <w:rPr>
                <w:rFonts w:ascii="Arial" w:eastAsia="Arial" w:hAnsi="Arial" w:cs="Arial"/>
                <w:color w:val="000000" w:themeColor="text1"/>
                <w:sz w:val="21"/>
                <w:szCs w:val="21"/>
              </w:rPr>
              <w:t>..</w:t>
            </w:r>
          </w:p>
        </w:tc>
        <w:tc>
          <w:tcPr>
            <w:tcW w:w="714" w:type="dxa"/>
            <w:shd w:val="clear" w:color="auto" w:fill="auto"/>
          </w:tcPr>
          <w:p w14:paraId="3E6A9D06" w14:textId="3E40BC89" w:rsidR="003C4E04" w:rsidRPr="00CA7C54" w:rsidRDefault="008B0DD1"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30</w:t>
            </w:r>
          </w:p>
        </w:tc>
      </w:tr>
      <w:tr w:rsidR="00CA7C54" w:rsidRPr="00CA7C54" w14:paraId="7AAAA2F2" w14:textId="77777777" w:rsidTr="001A41CD">
        <w:tc>
          <w:tcPr>
            <w:tcW w:w="562" w:type="dxa"/>
            <w:shd w:val="clear" w:color="auto" w:fill="auto"/>
          </w:tcPr>
          <w:p w14:paraId="54D14EF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CD0107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8.3</w:t>
            </w:r>
          </w:p>
        </w:tc>
        <w:tc>
          <w:tcPr>
            <w:tcW w:w="7796" w:type="dxa"/>
            <w:gridSpan w:val="2"/>
            <w:shd w:val="clear" w:color="auto" w:fill="auto"/>
          </w:tcPr>
          <w:p w14:paraId="55143C75"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Громадські будівлі та жи</w:t>
            </w:r>
            <w:r w:rsidR="00C247A5" w:rsidRPr="00CA7C54">
              <w:rPr>
                <w:rFonts w:ascii="Arial" w:eastAsia="Arial" w:hAnsi="Arial" w:cs="Arial"/>
                <w:color w:val="000000" w:themeColor="text1"/>
                <w:sz w:val="21"/>
                <w:szCs w:val="21"/>
              </w:rPr>
              <w:t>тлові будинки……………………………………………</w:t>
            </w:r>
            <w:r w:rsidR="000255E1" w:rsidRPr="00CA7C54">
              <w:rPr>
                <w:rFonts w:ascii="Arial" w:eastAsia="Arial" w:hAnsi="Arial" w:cs="Arial"/>
                <w:color w:val="000000" w:themeColor="text1"/>
                <w:sz w:val="21"/>
                <w:szCs w:val="21"/>
              </w:rPr>
              <w:t>..</w:t>
            </w:r>
          </w:p>
        </w:tc>
        <w:tc>
          <w:tcPr>
            <w:tcW w:w="714" w:type="dxa"/>
            <w:shd w:val="clear" w:color="auto" w:fill="auto"/>
          </w:tcPr>
          <w:p w14:paraId="04603A56" w14:textId="64E5E5A7" w:rsidR="003C4E04" w:rsidRPr="00CA7C54" w:rsidRDefault="008B0DD1"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32</w:t>
            </w:r>
          </w:p>
        </w:tc>
      </w:tr>
      <w:tr w:rsidR="00CA7C54" w:rsidRPr="00CA7C54" w14:paraId="12729758" w14:textId="77777777" w:rsidTr="001A41CD">
        <w:trPr>
          <w:trHeight w:val="378"/>
        </w:trPr>
        <w:tc>
          <w:tcPr>
            <w:tcW w:w="562" w:type="dxa"/>
            <w:shd w:val="clear" w:color="auto" w:fill="auto"/>
          </w:tcPr>
          <w:p w14:paraId="7F3A1678"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9</w:t>
            </w:r>
          </w:p>
        </w:tc>
        <w:tc>
          <w:tcPr>
            <w:tcW w:w="8505" w:type="dxa"/>
            <w:gridSpan w:val="3"/>
            <w:shd w:val="clear" w:color="auto" w:fill="auto"/>
          </w:tcPr>
          <w:p w14:paraId="727D03D5"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smallCaps/>
                <w:color w:val="000000" w:themeColor="text1"/>
                <w:sz w:val="21"/>
                <w:szCs w:val="21"/>
              </w:rPr>
              <w:t>ОСОБЛИВОСТІ КОНСТРУКТИВНИХ РІШЕНЬ…………………………………………</w:t>
            </w:r>
            <w:r w:rsidR="000255E1" w:rsidRPr="00CA7C54">
              <w:rPr>
                <w:rFonts w:ascii="Arial" w:eastAsia="Arial" w:hAnsi="Arial" w:cs="Arial"/>
                <w:smallCaps/>
                <w:color w:val="000000" w:themeColor="text1"/>
                <w:sz w:val="21"/>
                <w:szCs w:val="21"/>
              </w:rPr>
              <w:t>.</w:t>
            </w:r>
            <w:r w:rsidRPr="00CA7C54">
              <w:rPr>
                <w:rFonts w:ascii="Arial" w:eastAsia="Arial" w:hAnsi="Arial" w:cs="Arial"/>
                <w:smallCaps/>
                <w:color w:val="000000" w:themeColor="text1"/>
                <w:sz w:val="21"/>
                <w:szCs w:val="21"/>
              </w:rPr>
              <w:t>…</w:t>
            </w:r>
            <w:r w:rsidR="000255E1" w:rsidRPr="00CA7C54">
              <w:rPr>
                <w:rFonts w:ascii="Arial" w:eastAsia="Arial" w:hAnsi="Arial" w:cs="Arial"/>
                <w:smallCaps/>
                <w:color w:val="000000" w:themeColor="text1"/>
                <w:sz w:val="21"/>
                <w:szCs w:val="21"/>
              </w:rPr>
              <w:t>.</w:t>
            </w:r>
          </w:p>
        </w:tc>
        <w:tc>
          <w:tcPr>
            <w:tcW w:w="714" w:type="dxa"/>
            <w:shd w:val="clear" w:color="auto" w:fill="auto"/>
          </w:tcPr>
          <w:p w14:paraId="41090787" w14:textId="69CD7F2F"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3</w:t>
            </w:r>
            <w:r w:rsidR="008B0DD1">
              <w:rPr>
                <w:rFonts w:ascii="Arial" w:eastAsia="Arial" w:hAnsi="Arial" w:cs="Arial"/>
                <w:color w:val="000000" w:themeColor="text1"/>
                <w:sz w:val="21"/>
                <w:szCs w:val="21"/>
                <w:lang w:val="ru-RU"/>
              </w:rPr>
              <w:t>2</w:t>
            </w:r>
          </w:p>
        </w:tc>
      </w:tr>
      <w:tr w:rsidR="00CA7C54" w:rsidRPr="00CA7C54" w14:paraId="6EF625E5" w14:textId="77777777" w:rsidTr="001A41CD">
        <w:tc>
          <w:tcPr>
            <w:tcW w:w="562" w:type="dxa"/>
            <w:shd w:val="clear" w:color="auto" w:fill="auto"/>
          </w:tcPr>
          <w:p w14:paraId="5124C18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A20C7C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pacing w:val="-4"/>
                <w:sz w:val="21"/>
                <w:szCs w:val="21"/>
              </w:rPr>
            </w:pPr>
            <w:r w:rsidRPr="00CA7C54">
              <w:rPr>
                <w:rFonts w:ascii="Arial" w:eastAsia="Arial" w:hAnsi="Arial" w:cs="Arial"/>
                <w:color w:val="000000" w:themeColor="text1"/>
                <w:spacing w:val="-4"/>
                <w:sz w:val="21"/>
                <w:szCs w:val="21"/>
              </w:rPr>
              <w:t>9.1.</w:t>
            </w:r>
            <w:r w:rsidR="00827F54" w:rsidRPr="00CA7C54">
              <w:rPr>
                <w:rFonts w:ascii="Arial" w:eastAsia="Arial" w:hAnsi="Arial" w:cs="Arial"/>
                <w:color w:val="000000" w:themeColor="text1"/>
                <w:spacing w:val="-4"/>
                <w:sz w:val="21"/>
                <w:szCs w:val="21"/>
              </w:rPr>
              <w:t>1</w:t>
            </w:r>
          </w:p>
        </w:tc>
        <w:tc>
          <w:tcPr>
            <w:tcW w:w="7796" w:type="dxa"/>
            <w:gridSpan w:val="2"/>
            <w:shd w:val="clear" w:color="auto" w:fill="auto"/>
          </w:tcPr>
          <w:p w14:paraId="269D33E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Сховища та СПП із захисними властивостями сховищ………………</w:t>
            </w:r>
            <w:r w:rsidR="000255E1" w:rsidRPr="00CA7C54">
              <w:rPr>
                <w:rFonts w:ascii="Arial" w:eastAsia="Arial" w:hAnsi="Arial" w:cs="Arial"/>
                <w:color w:val="000000" w:themeColor="text1"/>
                <w:sz w:val="21"/>
                <w:szCs w:val="21"/>
              </w:rPr>
              <w:t>……</w:t>
            </w:r>
            <w:r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77DCDC23" w14:textId="709F5F31"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3</w:t>
            </w:r>
            <w:r w:rsidR="008B0DD1">
              <w:rPr>
                <w:rFonts w:ascii="Arial" w:eastAsia="Arial" w:hAnsi="Arial" w:cs="Arial"/>
                <w:color w:val="000000" w:themeColor="text1"/>
                <w:sz w:val="21"/>
                <w:szCs w:val="21"/>
                <w:lang w:val="ru-RU"/>
              </w:rPr>
              <w:t>2</w:t>
            </w:r>
          </w:p>
        </w:tc>
      </w:tr>
      <w:tr w:rsidR="00CA7C54" w:rsidRPr="00CA7C54" w14:paraId="34525BCC" w14:textId="77777777" w:rsidTr="001A41CD">
        <w:tc>
          <w:tcPr>
            <w:tcW w:w="562" w:type="dxa"/>
            <w:shd w:val="clear" w:color="auto" w:fill="auto"/>
          </w:tcPr>
          <w:p w14:paraId="7418B3B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2B307C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pacing w:val="-4"/>
                <w:sz w:val="21"/>
                <w:szCs w:val="21"/>
              </w:rPr>
            </w:pPr>
            <w:r w:rsidRPr="00CA7C54">
              <w:rPr>
                <w:rFonts w:ascii="Arial" w:eastAsia="Arial" w:hAnsi="Arial" w:cs="Arial"/>
                <w:color w:val="000000" w:themeColor="text1"/>
                <w:spacing w:val="-4"/>
                <w:sz w:val="21"/>
                <w:szCs w:val="21"/>
              </w:rPr>
              <w:t>9.</w:t>
            </w:r>
            <w:r w:rsidR="004766BD" w:rsidRPr="00CA7C54">
              <w:rPr>
                <w:rFonts w:ascii="Arial" w:eastAsia="Arial" w:hAnsi="Arial" w:cs="Arial"/>
                <w:color w:val="000000" w:themeColor="text1"/>
                <w:spacing w:val="-4"/>
                <w:sz w:val="21"/>
                <w:szCs w:val="21"/>
              </w:rPr>
              <w:t>1.</w:t>
            </w:r>
            <w:r w:rsidRPr="00CA7C54">
              <w:rPr>
                <w:rFonts w:ascii="Arial" w:eastAsia="Arial" w:hAnsi="Arial" w:cs="Arial"/>
                <w:color w:val="000000" w:themeColor="text1"/>
                <w:spacing w:val="-4"/>
                <w:sz w:val="21"/>
                <w:szCs w:val="21"/>
              </w:rPr>
              <w:t>2</w:t>
            </w:r>
          </w:p>
        </w:tc>
        <w:tc>
          <w:tcPr>
            <w:tcW w:w="7796" w:type="dxa"/>
            <w:gridSpan w:val="2"/>
            <w:shd w:val="clear" w:color="auto" w:fill="auto"/>
          </w:tcPr>
          <w:p w14:paraId="593E8C8D"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ПРУ та СПП із захисними </w:t>
            </w:r>
            <w:r w:rsidR="00C247A5" w:rsidRPr="00CA7C54">
              <w:rPr>
                <w:rFonts w:ascii="Arial" w:eastAsia="Arial" w:hAnsi="Arial" w:cs="Arial"/>
                <w:color w:val="000000" w:themeColor="text1"/>
                <w:sz w:val="21"/>
                <w:szCs w:val="21"/>
              </w:rPr>
              <w:t>властивостями ПРУ………………………………</w:t>
            </w:r>
            <w:r w:rsidR="003511B1" w:rsidRPr="00CA7C54">
              <w:rPr>
                <w:rFonts w:ascii="Arial" w:eastAsia="Arial" w:hAnsi="Arial" w:cs="Arial"/>
                <w:color w:val="000000" w:themeColor="text1"/>
                <w:sz w:val="21"/>
                <w:szCs w:val="21"/>
              </w:rPr>
              <w:t>…</w:t>
            </w:r>
            <w:r w:rsidR="00C247A5" w:rsidRPr="00CA7C54">
              <w:rPr>
                <w:rFonts w:ascii="Arial" w:eastAsia="Arial" w:hAnsi="Arial" w:cs="Arial"/>
                <w:color w:val="000000" w:themeColor="text1"/>
                <w:sz w:val="21"/>
                <w:szCs w:val="21"/>
              </w:rPr>
              <w:t>…</w:t>
            </w:r>
          </w:p>
        </w:tc>
        <w:tc>
          <w:tcPr>
            <w:tcW w:w="714" w:type="dxa"/>
            <w:shd w:val="clear" w:color="auto" w:fill="auto"/>
          </w:tcPr>
          <w:p w14:paraId="4FA2D1AB" w14:textId="6D8649F4"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r w:rsidR="008B0DD1">
              <w:rPr>
                <w:rFonts w:ascii="Arial" w:eastAsia="Arial" w:hAnsi="Arial" w:cs="Arial"/>
                <w:color w:val="000000" w:themeColor="text1"/>
                <w:sz w:val="21"/>
                <w:szCs w:val="21"/>
              </w:rPr>
              <w:t>4</w:t>
            </w:r>
          </w:p>
        </w:tc>
      </w:tr>
    </w:tbl>
    <w:p w14:paraId="5698704F" w14:textId="77777777" w:rsidR="0003554C" w:rsidRDefault="0003554C" w:rsidP="00014AB4">
      <w:pPr>
        <w:spacing w:before="0" w:line="288" w:lineRule="auto"/>
        <w:ind w:firstLine="0"/>
        <w:jc w:val="left"/>
        <w:rPr>
          <w:color w:val="000000" w:themeColor="text1"/>
          <w:sz w:val="21"/>
          <w:szCs w:val="21"/>
        </w:rPr>
        <w:sectPr w:rsidR="0003554C" w:rsidSect="00490E26">
          <w:footerReference w:type="even" r:id="rId20"/>
          <w:footerReference w:type="default" r:id="rId21"/>
          <w:pgSz w:w="11906" w:h="16838" w:code="9"/>
          <w:pgMar w:top="851" w:right="1134" w:bottom="567" w:left="1134" w:header="709" w:footer="709" w:gutter="0"/>
          <w:pgNumType w:start="1"/>
          <w:cols w:space="720"/>
          <w:titlePg/>
          <w:docGrid w:linePitch="299"/>
        </w:sectPr>
      </w:pPr>
    </w:p>
    <w:tbl>
      <w:tblPr>
        <w:tblStyle w:val="affffffffffffffffffffffffffffff9"/>
        <w:tblW w:w="9781" w:type="dxa"/>
        <w:tblInd w:w="142" w:type="dxa"/>
        <w:tblLayout w:type="fixed"/>
        <w:tblLook w:val="0400" w:firstRow="0" w:lastRow="0" w:firstColumn="0" w:lastColumn="0" w:noHBand="0" w:noVBand="1"/>
      </w:tblPr>
      <w:tblGrid>
        <w:gridCol w:w="562"/>
        <w:gridCol w:w="709"/>
        <w:gridCol w:w="850"/>
        <w:gridCol w:w="6946"/>
        <w:gridCol w:w="714"/>
      </w:tblGrid>
      <w:tr w:rsidR="00CA7C54" w:rsidRPr="00CA7C54" w14:paraId="1EF0FDB1" w14:textId="77777777" w:rsidTr="001A41CD">
        <w:trPr>
          <w:trHeight w:val="368"/>
        </w:trPr>
        <w:tc>
          <w:tcPr>
            <w:tcW w:w="562" w:type="dxa"/>
            <w:shd w:val="clear" w:color="auto" w:fill="auto"/>
          </w:tcPr>
          <w:p w14:paraId="31196051"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lastRenderedPageBreak/>
              <w:t>10</w:t>
            </w:r>
          </w:p>
        </w:tc>
        <w:tc>
          <w:tcPr>
            <w:tcW w:w="8505" w:type="dxa"/>
            <w:gridSpan w:val="3"/>
            <w:shd w:val="clear" w:color="auto" w:fill="auto"/>
          </w:tcPr>
          <w:p w14:paraId="3590C03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ПОЖЕЖНА БЕЗПЕКА………………………………………………………………………</w:t>
            </w:r>
            <w:r w:rsidR="003511B1" w:rsidRPr="00CA7C54">
              <w:rPr>
                <w:rFonts w:ascii="Arial" w:eastAsia="Arial" w:hAnsi="Arial" w:cs="Arial"/>
                <w:color w:val="000000" w:themeColor="text1"/>
                <w:sz w:val="21"/>
                <w:szCs w:val="21"/>
              </w:rPr>
              <w:t>…..</w:t>
            </w:r>
          </w:p>
        </w:tc>
        <w:tc>
          <w:tcPr>
            <w:tcW w:w="714" w:type="dxa"/>
            <w:shd w:val="clear" w:color="auto" w:fill="auto"/>
          </w:tcPr>
          <w:p w14:paraId="0D29FD8F" w14:textId="6E33D00C"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3</w:t>
            </w:r>
            <w:r w:rsidR="008B0DD1">
              <w:rPr>
                <w:rFonts w:ascii="Arial" w:eastAsia="Arial" w:hAnsi="Arial" w:cs="Arial"/>
                <w:color w:val="000000" w:themeColor="text1"/>
                <w:sz w:val="21"/>
                <w:szCs w:val="21"/>
                <w:lang w:val="ru-RU"/>
              </w:rPr>
              <w:t>5</w:t>
            </w:r>
          </w:p>
        </w:tc>
      </w:tr>
      <w:tr w:rsidR="00CA7C54" w:rsidRPr="00CA7C54" w14:paraId="355839D2" w14:textId="77777777" w:rsidTr="001A41CD">
        <w:tc>
          <w:tcPr>
            <w:tcW w:w="562" w:type="dxa"/>
            <w:shd w:val="clear" w:color="auto" w:fill="auto"/>
          </w:tcPr>
          <w:p w14:paraId="1E411F42"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w:t>
            </w:r>
          </w:p>
        </w:tc>
        <w:tc>
          <w:tcPr>
            <w:tcW w:w="8505" w:type="dxa"/>
            <w:gridSpan w:val="3"/>
            <w:shd w:val="clear" w:color="auto" w:fill="auto"/>
          </w:tcPr>
          <w:p w14:paraId="4358E40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ВИМОГИ ДО ІНЖЕНЕРНОГО ОБЛАДНАН</w:t>
            </w:r>
            <w:r w:rsidR="00C247A5" w:rsidRPr="00CA7C54">
              <w:rPr>
                <w:rFonts w:ascii="Arial" w:eastAsia="Arial" w:hAnsi="Arial" w:cs="Arial"/>
                <w:color w:val="000000" w:themeColor="text1"/>
                <w:sz w:val="21"/>
                <w:szCs w:val="21"/>
              </w:rPr>
              <w:t>НЯ ТА СИСТЕМ ЖИТТЄЗАБЕЗПЕЧЕННЯ</w:t>
            </w:r>
            <w:r w:rsidR="003511B1" w:rsidRPr="00CA7C54">
              <w:rPr>
                <w:rFonts w:ascii="Arial" w:eastAsia="Arial" w:hAnsi="Arial" w:cs="Arial"/>
                <w:color w:val="000000" w:themeColor="text1"/>
                <w:sz w:val="21"/>
                <w:szCs w:val="21"/>
              </w:rPr>
              <w:t>………………………………………………………………………</w:t>
            </w:r>
          </w:p>
        </w:tc>
        <w:tc>
          <w:tcPr>
            <w:tcW w:w="714" w:type="dxa"/>
            <w:shd w:val="clear" w:color="auto" w:fill="auto"/>
          </w:tcPr>
          <w:p w14:paraId="44315542" w14:textId="77777777" w:rsidR="003511B1" w:rsidRPr="00CA7C54" w:rsidRDefault="003511B1" w:rsidP="00014AB4">
            <w:pPr>
              <w:spacing w:before="0" w:line="288" w:lineRule="auto"/>
              <w:ind w:firstLine="0"/>
              <w:jc w:val="left"/>
              <w:rPr>
                <w:rFonts w:ascii="Arial" w:eastAsia="Arial" w:hAnsi="Arial" w:cs="Arial"/>
                <w:color w:val="000000" w:themeColor="text1"/>
                <w:sz w:val="21"/>
                <w:szCs w:val="21"/>
              </w:rPr>
            </w:pPr>
          </w:p>
          <w:p w14:paraId="33A0A7F5" w14:textId="34C4122D" w:rsidR="003C4E04" w:rsidRPr="00CA7C54" w:rsidRDefault="007D753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r w:rsidR="005D5415">
              <w:rPr>
                <w:rFonts w:ascii="Arial" w:eastAsia="Arial" w:hAnsi="Arial" w:cs="Arial"/>
                <w:color w:val="000000" w:themeColor="text1"/>
                <w:sz w:val="21"/>
                <w:szCs w:val="21"/>
              </w:rPr>
              <w:t>8</w:t>
            </w:r>
          </w:p>
        </w:tc>
      </w:tr>
      <w:tr w:rsidR="00CA7C54" w:rsidRPr="00CA7C54" w14:paraId="6E04ED7F" w14:textId="77777777" w:rsidTr="001A41CD">
        <w:tc>
          <w:tcPr>
            <w:tcW w:w="562" w:type="dxa"/>
            <w:shd w:val="clear" w:color="auto" w:fill="auto"/>
          </w:tcPr>
          <w:p w14:paraId="14AF02A3"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904D66C"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11.1</w:t>
            </w:r>
          </w:p>
        </w:tc>
        <w:tc>
          <w:tcPr>
            <w:tcW w:w="7796" w:type="dxa"/>
            <w:gridSpan w:val="2"/>
            <w:shd w:val="clear" w:color="auto" w:fill="auto"/>
          </w:tcPr>
          <w:p w14:paraId="69A2B15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Загальні положення……………………………………………………………………</w:t>
            </w:r>
          </w:p>
        </w:tc>
        <w:tc>
          <w:tcPr>
            <w:tcW w:w="714" w:type="dxa"/>
            <w:shd w:val="clear" w:color="auto" w:fill="auto"/>
          </w:tcPr>
          <w:p w14:paraId="217A5B15" w14:textId="70A4D572" w:rsidR="003C4E04" w:rsidRPr="00CA7C54" w:rsidRDefault="007D753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r w:rsidR="005D5415">
              <w:rPr>
                <w:rFonts w:ascii="Arial" w:eastAsia="Arial" w:hAnsi="Arial" w:cs="Arial"/>
                <w:color w:val="000000" w:themeColor="text1"/>
                <w:sz w:val="21"/>
                <w:szCs w:val="21"/>
              </w:rPr>
              <w:t>8</w:t>
            </w:r>
          </w:p>
        </w:tc>
      </w:tr>
      <w:tr w:rsidR="00CA7C54" w:rsidRPr="00CA7C54" w14:paraId="53101BAB" w14:textId="77777777" w:rsidTr="001A41CD">
        <w:tc>
          <w:tcPr>
            <w:tcW w:w="562" w:type="dxa"/>
            <w:shd w:val="clear" w:color="auto" w:fill="auto"/>
          </w:tcPr>
          <w:p w14:paraId="4E181C2B"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bookmarkStart w:id="1" w:name="_heading=h.30j0zll" w:colFirst="0" w:colLast="0"/>
            <w:bookmarkEnd w:id="1"/>
          </w:p>
        </w:tc>
        <w:tc>
          <w:tcPr>
            <w:tcW w:w="709" w:type="dxa"/>
            <w:shd w:val="clear" w:color="auto" w:fill="auto"/>
          </w:tcPr>
          <w:p w14:paraId="0DFD815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w:t>
            </w:r>
          </w:p>
        </w:tc>
        <w:tc>
          <w:tcPr>
            <w:tcW w:w="7796" w:type="dxa"/>
            <w:gridSpan w:val="2"/>
            <w:shd w:val="clear" w:color="auto" w:fill="auto"/>
          </w:tcPr>
          <w:p w14:paraId="51582A7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вентиляції, кондиціонування повітря та опалення……………………</w:t>
            </w:r>
            <w:r w:rsidR="003511B1" w:rsidRPr="00CA7C54">
              <w:rPr>
                <w:rFonts w:ascii="Arial" w:eastAsia="Arial" w:hAnsi="Arial" w:cs="Arial"/>
                <w:color w:val="000000" w:themeColor="text1"/>
                <w:sz w:val="21"/>
                <w:szCs w:val="21"/>
              </w:rPr>
              <w:t>.</w:t>
            </w:r>
          </w:p>
        </w:tc>
        <w:tc>
          <w:tcPr>
            <w:tcW w:w="714" w:type="dxa"/>
            <w:shd w:val="clear" w:color="auto" w:fill="auto"/>
          </w:tcPr>
          <w:p w14:paraId="3E621017" w14:textId="7A6EF69F"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3</w:t>
            </w:r>
            <w:r w:rsidR="005D5415">
              <w:rPr>
                <w:rFonts w:ascii="Arial" w:eastAsia="Arial" w:hAnsi="Arial" w:cs="Arial"/>
                <w:color w:val="000000" w:themeColor="text1"/>
                <w:sz w:val="21"/>
                <w:szCs w:val="21"/>
                <w:lang w:val="ru-RU"/>
              </w:rPr>
              <w:t>8</w:t>
            </w:r>
          </w:p>
        </w:tc>
      </w:tr>
      <w:tr w:rsidR="00CA7C54" w:rsidRPr="00CA7C54" w14:paraId="33D48153" w14:textId="77777777" w:rsidTr="001A41CD">
        <w:tc>
          <w:tcPr>
            <w:tcW w:w="562" w:type="dxa"/>
            <w:shd w:val="clear" w:color="auto" w:fill="auto"/>
          </w:tcPr>
          <w:p w14:paraId="2C025CB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1ACB4E5"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9A4A72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11.2.1</w:t>
            </w:r>
          </w:p>
        </w:tc>
        <w:tc>
          <w:tcPr>
            <w:tcW w:w="6946" w:type="dxa"/>
            <w:shd w:val="clear" w:color="auto" w:fill="auto"/>
          </w:tcPr>
          <w:p w14:paraId="0CAD8E0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Системи вентиляції сховищ та СПП із </w:t>
            </w:r>
            <w:r w:rsidR="00370BCF" w:rsidRPr="00CA7C54">
              <w:rPr>
                <w:rFonts w:ascii="Arial" w:eastAsia="Arial" w:hAnsi="Arial" w:cs="Arial"/>
                <w:color w:val="000000" w:themeColor="text1"/>
                <w:sz w:val="21"/>
                <w:szCs w:val="21"/>
              </w:rPr>
              <w:t>захисними властивостями сховищ</w:t>
            </w:r>
            <w:r w:rsidR="000255E1"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792DD2D1" w14:textId="77777777" w:rsidR="003511B1" w:rsidRPr="00CA7C54" w:rsidRDefault="003511B1" w:rsidP="00014AB4">
            <w:pPr>
              <w:spacing w:before="0" w:line="288" w:lineRule="auto"/>
              <w:ind w:firstLine="0"/>
              <w:jc w:val="left"/>
              <w:rPr>
                <w:rFonts w:ascii="Arial" w:eastAsia="Arial" w:hAnsi="Arial" w:cs="Arial"/>
                <w:color w:val="000000" w:themeColor="text1"/>
                <w:sz w:val="21"/>
                <w:szCs w:val="21"/>
              </w:rPr>
            </w:pPr>
          </w:p>
          <w:p w14:paraId="6DFD91EF" w14:textId="04E9AAC2" w:rsidR="003C4E04" w:rsidRPr="0031771B" w:rsidRDefault="007D753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3</w:t>
            </w:r>
            <w:r w:rsidR="005D5415">
              <w:rPr>
                <w:rFonts w:ascii="Arial" w:eastAsia="Arial" w:hAnsi="Arial" w:cs="Arial"/>
                <w:color w:val="000000" w:themeColor="text1"/>
                <w:sz w:val="21"/>
                <w:szCs w:val="21"/>
                <w:lang w:val="ru-RU"/>
              </w:rPr>
              <w:t>8</w:t>
            </w:r>
          </w:p>
        </w:tc>
      </w:tr>
      <w:tr w:rsidR="00CA7C54" w:rsidRPr="00CA7C54" w14:paraId="662BF10A" w14:textId="77777777" w:rsidTr="001A41CD">
        <w:tc>
          <w:tcPr>
            <w:tcW w:w="562" w:type="dxa"/>
            <w:shd w:val="clear" w:color="auto" w:fill="auto"/>
          </w:tcPr>
          <w:p w14:paraId="7A721E9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70CBE6F"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EF25CB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11.2.2</w:t>
            </w:r>
          </w:p>
        </w:tc>
        <w:tc>
          <w:tcPr>
            <w:tcW w:w="6946" w:type="dxa"/>
            <w:shd w:val="clear" w:color="auto" w:fill="auto"/>
          </w:tcPr>
          <w:p w14:paraId="02DB179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вентиляції ПРУ та СПП і</w:t>
            </w:r>
            <w:r w:rsidR="00C247A5" w:rsidRPr="00CA7C54">
              <w:rPr>
                <w:rFonts w:ascii="Arial" w:eastAsia="Arial" w:hAnsi="Arial" w:cs="Arial"/>
                <w:color w:val="000000" w:themeColor="text1"/>
                <w:sz w:val="21"/>
                <w:szCs w:val="21"/>
              </w:rPr>
              <w:t>з захисними властивостями ПРУ</w:t>
            </w:r>
            <w:r w:rsidR="000255E1" w:rsidRPr="00CA7C54">
              <w:rPr>
                <w:rFonts w:ascii="Arial" w:eastAsia="Arial" w:hAnsi="Arial" w:cs="Arial"/>
                <w:color w:val="000000" w:themeColor="text1"/>
                <w:sz w:val="21"/>
                <w:szCs w:val="21"/>
              </w:rPr>
              <w:t>...</w:t>
            </w:r>
          </w:p>
        </w:tc>
        <w:tc>
          <w:tcPr>
            <w:tcW w:w="714" w:type="dxa"/>
            <w:shd w:val="clear" w:color="auto" w:fill="auto"/>
          </w:tcPr>
          <w:p w14:paraId="2A24F085" w14:textId="60D68A56" w:rsidR="003C4E04" w:rsidRPr="0031771B" w:rsidRDefault="007D753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4</w:t>
            </w:r>
            <w:r w:rsidR="005D5415">
              <w:rPr>
                <w:rFonts w:ascii="Arial" w:eastAsia="Arial" w:hAnsi="Arial" w:cs="Arial"/>
                <w:color w:val="000000" w:themeColor="text1"/>
                <w:sz w:val="21"/>
                <w:szCs w:val="21"/>
                <w:lang w:val="ru-RU"/>
              </w:rPr>
              <w:t>9</w:t>
            </w:r>
          </w:p>
        </w:tc>
      </w:tr>
      <w:tr w:rsidR="00CA7C54" w:rsidRPr="00CA7C54" w14:paraId="604EAE2E" w14:textId="77777777" w:rsidTr="001A41CD">
        <w:tc>
          <w:tcPr>
            <w:tcW w:w="562" w:type="dxa"/>
            <w:shd w:val="clear" w:color="auto" w:fill="auto"/>
          </w:tcPr>
          <w:p w14:paraId="3ECAEB7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9B918F8"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1CFF8D8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11.2.3</w:t>
            </w:r>
          </w:p>
        </w:tc>
        <w:tc>
          <w:tcPr>
            <w:tcW w:w="6946" w:type="dxa"/>
            <w:shd w:val="clear" w:color="auto" w:fill="auto"/>
          </w:tcPr>
          <w:p w14:paraId="12E6418D"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опалення та кондиціонування сховищ, СПП із захисними властивостями сховищ, ПРУ та СПП із захисними властивостями ПР</w:t>
            </w:r>
            <w:r w:rsidR="00370BCF" w:rsidRPr="00CA7C54">
              <w:rPr>
                <w:rFonts w:ascii="Arial" w:eastAsia="Arial" w:hAnsi="Arial" w:cs="Arial"/>
                <w:color w:val="000000" w:themeColor="text1"/>
                <w:sz w:val="21"/>
                <w:szCs w:val="21"/>
              </w:rPr>
              <w:t>У</w:t>
            </w:r>
            <w:r w:rsidR="000255E1"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266D843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5275B1C1" w14:textId="77777777" w:rsidR="003511B1" w:rsidRPr="00CA7C54" w:rsidRDefault="003511B1" w:rsidP="00014AB4">
            <w:pPr>
              <w:spacing w:before="0" w:line="288" w:lineRule="auto"/>
              <w:ind w:firstLine="0"/>
              <w:jc w:val="left"/>
              <w:rPr>
                <w:rFonts w:ascii="Arial" w:eastAsia="Arial" w:hAnsi="Arial" w:cs="Arial"/>
                <w:color w:val="000000" w:themeColor="text1"/>
                <w:sz w:val="21"/>
                <w:szCs w:val="21"/>
              </w:rPr>
            </w:pPr>
          </w:p>
          <w:p w14:paraId="0831246A" w14:textId="586104BE" w:rsidR="003C4E04" w:rsidRPr="0031771B" w:rsidRDefault="005D5415"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rPr>
              <w:t>51</w:t>
            </w:r>
          </w:p>
        </w:tc>
      </w:tr>
      <w:tr w:rsidR="00CA7C54" w:rsidRPr="00CA7C54" w14:paraId="4C46B6C5" w14:textId="77777777" w:rsidTr="001A41CD">
        <w:tc>
          <w:tcPr>
            <w:tcW w:w="562" w:type="dxa"/>
            <w:shd w:val="clear" w:color="auto" w:fill="auto"/>
          </w:tcPr>
          <w:p w14:paraId="457CF2FA"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6582399C"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4FE8F8E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11.2.4</w:t>
            </w:r>
          </w:p>
        </w:tc>
        <w:tc>
          <w:tcPr>
            <w:tcW w:w="6946" w:type="dxa"/>
            <w:shd w:val="clear" w:color="auto" w:fill="auto"/>
          </w:tcPr>
          <w:p w14:paraId="37A0961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вентиляції приміщень ДЕС та інших автономних джерел енергозабезпечення (е</w:t>
            </w:r>
            <w:r w:rsidR="00370BCF" w:rsidRPr="00CA7C54">
              <w:rPr>
                <w:rFonts w:ascii="Arial" w:eastAsia="Arial" w:hAnsi="Arial" w:cs="Arial"/>
                <w:color w:val="000000" w:themeColor="text1"/>
                <w:sz w:val="21"/>
                <w:szCs w:val="21"/>
              </w:rPr>
              <w:t>лектропостачання)………………………………</w:t>
            </w:r>
          </w:p>
        </w:tc>
        <w:tc>
          <w:tcPr>
            <w:tcW w:w="714" w:type="dxa"/>
            <w:shd w:val="clear" w:color="auto" w:fill="auto"/>
          </w:tcPr>
          <w:p w14:paraId="26AB0610"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0A146A82" w14:textId="69DC3878"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r w:rsidR="00843600">
              <w:rPr>
                <w:rFonts w:ascii="Arial" w:eastAsia="Arial" w:hAnsi="Arial" w:cs="Arial"/>
                <w:color w:val="000000" w:themeColor="text1"/>
                <w:sz w:val="21"/>
                <w:szCs w:val="21"/>
              </w:rPr>
              <w:t>4</w:t>
            </w:r>
          </w:p>
        </w:tc>
      </w:tr>
      <w:tr w:rsidR="00CA7C54" w:rsidRPr="00CA7C54" w14:paraId="1B44E712" w14:textId="77777777" w:rsidTr="001A41CD">
        <w:tc>
          <w:tcPr>
            <w:tcW w:w="562" w:type="dxa"/>
            <w:shd w:val="clear" w:color="auto" w:fill="auto"/>
          </w:tcPr>
          <w:p w14:paraId="4FDE9096"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285DAF5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11.3</w:t>
            </w:r>
          </w:p>
        </w:tc>
        <w:tc>
          <w:tcPr>
            <w:tcW w:w="7796" w:type="dxa"/>
            <w:gridSpan w:val="2"/>
            <w:shd w:val="clear" w:color="auto" w:fill="auto"/>
          </w:tcPr>
          <w:p w14:paraId="2D1CAF8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Водопостачан</w:t>
            </w:r>
            <w:r w:rsidR="00370BCF" w:rsidRPr="00CA7C54">
              <w:rPr>
                <w:rFonts w:ascii="Arial" w:eastAsia="Arial" w:hAnsi="Arial" w:cs="Arial"/>
                <w:color w:val="000000" w:themeColor="text1"/>
                <w:sz w:val="21"/>
                <w:szCs w:val="21"/>
              </w:rPr>
              <w:t>ня………………………………………………………………………</w:t>
            </w:r>
            <w:r w:rsidR="003511B1" w:rsidRPr="00CA7C54">
              <w:rPr>
                <w:rFonts w:ascii="Arial" w:eastAsia="Arial" w:hAnsi="Arial" w:cs="Arial"/>
                <w:color w:val="000000" w:themeColor="text1"/>
                <w:sz w:val="21"/>
                <w:szCs w:val="21"/>
              </w:rPr>
              <w:t>…</w:t>
            </w:r>
          </w:p>
        </w:tc>
        <w:tc>
          <w:tcPr>
            <w:tcW w:w="714" w:type="dxa"/>
            <w:shd w:val="clear" w:color="auto" w:fill="auto"/>
          </w:tcPr>
          <w:p w14:paraId="4087228A" w14:textId="09A98DE4" w:rsidR="003C4E04" w:rsidRPr="00CA7C54" w:rsidRDefault="007D753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r w:rsidR="00843600">
              <w:rPr>
                <w:rFonts w:ascii="Arial" w:eastAsia="Arial" w:hAnsi="Arial" w:cs="Arial"/>
                <w:color w:val="000000" w:themeColor="text1"/>
                <w:sz w:val="21"/>
                <w:szCs w:val="21"/>
              </w:rPr>
              <w:t>7</w:t>
            </w:r>
          </w:p>
        </w:tc>
      </w:tr>
      <w:tr w:rsidR="00CA7C54" w:rsidRPr="00CA7C54" w14:paraId="3D7BCA3D" w14:textId="77777777" w:rsidTr="001A41CD">
        <w:tc>
          <w:tcPr>
            <w:tcW w:w="562" w:type="dxa"/>
            <w:shd w:val="clear" w:color="auto" w:fill="auto"/>
          </w:tcPr>
          <w:p w14:paraId="3D615656"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5A39EEF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11.4</w:t>
            </w:r>
          </w:p>
        </w:tc>
        <w:tc>
          <w:tcPr>
            <w:tcW w:w="7796" w:type="dxa"/>
            <w:gridSpan w:val="2"/>
            <w:shd w:val="clear" w:color="auto" w:fill="auto"/>
          </w:tcPr>
          <w:p w14:paraId="7B907B4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Каналізація</w:t>
            </w:r>
            <w:r w:rsidR="00370BCF"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70D52F12" w14:textId="63CDB9B7" w:rsidR="003C4E04" w:rsidRPr="00CA7C54" w:rsidRDefault="007D753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r w:rsidR="00843600">
              <w:rPr>
                <w:rFonts w:ascii="Arial" w:eastAsia="Arial" w:hAnsi="Arial" w:cs="Arial"/>
                <w:color w:val="000000" w:themeColor="text1"/>
                <w:sz w:val="21"/>
                <w:szCs w:val="21"/>
              </w:rPr>
              <w:t>9</w:t>
            </w:r>
          </w:p>
        </w:tc>
      </w:tr>
      <w:tr w:rsidR="00CA7C54" w:rsidRPr="00CA7C54" w14:paraId="51E613A8" w14:textId="77777777" w:rsidTr="001A41CD">
        <w:tc>
          <w:tcPr>
            <w:tcW w:w="562" w:type="dxa"/>
            <w:shd w:val="clear" w:color="auto" w:fill="auto"/>
          </w:tcPr>
          <w:p w14:paraId="510A5403"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445C65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11.5</w:t>
            </w:r>
          </w:p>
        </w:tc>
        <w:tc>
          <w:tcPr>
            <w:tcW w:w="7796" w:type="dxa"/>
            <w:gridSpan w:val="2"/>
            <w:shd w:val="clear" w:color="auto" w:fill="auto"/>
          </w:tcPr>
          <w:p w14:paraId="53D7BE5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Електротехнічні системи……………………………………………………………</w:t>
            </w:r>
            <w:r w:rsidR="003511B1" w:rsidRPr="00CA7C54">
              <w:rPr>
                <w:rFonts w:ascii="Arial" w:eastAsia="Arial" w:hAnsi="Arial" w:cs="Arial"/>
                <w:color w:val="000000" w:themeColor="text1"/>
                <w:sz w:val="21"/>
                <w:szCs w:val="21"/>
              </w:rPr>
              <w:t>…</w:t>
            </w:r>
          </w:p>
        </w:tc>
        <w:tc>
          <w:tcPr>
            <w:tcW w:w="714" w:type="dxa"/>
            <w:shd w:val="clear" w:color="auto" w:fill="auto"/>
          </w:tcPr>
          <w:p w14:paraId="16AEFB29" w14:textId="0675CAFD"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60</w:t>
            </w:r>
          </w:p>
        </w:tc>
      </w:tr>
      <w:tr w:rsidR="00CA7C54" w:rsidRPr="00CA7C54" w14:paraId="2344C0C8" w14:textId="77777777" w:rsidTr="001A41CD">
        <w:tc>
          <w:tcPr>
            <w:tcW w:w="562" w:type="dxa"/>
            <w:shd w:val="clear" w:color="auto" w:fill="auto"/>
          </w:tcPr>
          <w:p w14:paraId="028D03FA"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6DE4F8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11.6</w:t>
            </w:r>
          </w:p>
        </w:tc>
        <w:tc>
          <w:tcPr>
            <w:tcW w:w="7796" w:type="dxa"/>
            <w:gridSpan w:val="2"/>
            <w:shd w:val="clear" w:color="auto" w:fill="auto"/>
          </w:tcPr>
          <w:p w14:paraId="499DF9B6"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Захищені дизельні електростанції…………………………………………………</w:t>
            </w:r>
            <w:r w:rsidR="003511B1" w:rsidRPr="00CA7C54">
              <w:rPr>
                <w:rFonts w:ascii="Arial" w:eastAsia="Arial" w:hAnsi="Arial" w:cs="Arial"/>
                <w:color w:val="000000" w:themeColor="text1"/>
                <w:sz w:val="21"/>
                <w:szCs w:val="21"/>
              </w:rPr>
              <w:t>...</w:t>
            </w:r>
          </w:p>
        </w:tc>
        <w:tc>
          <w:tcPr>
            <w:tcW w:w="714" w:type="dxa"/>
            <w:shd w:val="clear" w:color="auto" w:fill="auto"/>
          </w:tcPr>
          <w:p w14:paraId="4C819BD9" w14:textId="74A573F6" w:rsidR="003C4E04" w:rsidRPr="0031771B" w:rsidRDefault="00843600"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61</w:t>
            </w:r>
          </w:p>
        </w:tc>
      </w:tr>
      <w:tr w:rsidR="00CA7C54" w:rsidRPr="00CA7C54" w14:paraId="483FC962" w14:textId="77777777" w:rsidTr="001A41CD">
        <w:tc>
          <w:tcPr>
            <w:tcW w:w="562" w:type="dxa"/>
            <w:shd w:val="clear" w:color="auto" w:fill="auto"/>
          </w:tcPr>
          <w:p w14:paraId="1FA4702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2705F0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11.7</w:t>
            </w:r>
          </w:p>
        </w:tc>
        <w:tc>
          <w:tcPr>
            <w:tcW w:w="7796" w:type="dxa"/>
            <w:gridSpan w:val="2"/>
            <w:shd w:val="clear" w:color="auto" w:fill="auto"/>
          </w:tcPr>
          <w:p w14:paraId="2BFAE3A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Електронні комунікації та оповіщення ………………………………………………</w:t>
            </w:r>
          </w:p>
        </w:tc>
        <w:tc>
          <w:tcPr>
            <w:tcW w:w="714" w:type="dxa"/>
            <w:shd w:val="clear" w:color="auto" w:fill="auto"/>
          </w:tcPr>
          <w:p w14:paraId="52FCD337" w14:textId="679DB7AB"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rPr>
              <w:t>3</w:t>
            </w:r>
          </w:p>
        </w:tc>
      </w:tr>
      <w:tr w:rsidR="00CA7C54" w:rsidRPr="00CA7C54" w14:paraId="5BFC352C" w14:textId="77777777" w:rsidTr="001A41CD">
        <w:tc>
          <w:tcPr>
            <w:tcW w:w="562" w:type="dxa"/>
            <w:shd w:val="clear" w:color="auto" w:fill="auto"/>
          </w:tcPr>
          <w:p w14:paraId="521D9DBA"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8505" w:type="dxa"/>
            <w:gridSpan w:val="3"/>
            <w:shd w:val="clear" w:color="auto" w:fill="auto"/>
          </w:tcPr>
          <w:p w14:paraId="5538BC5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САНІТАРНО-ГІГІЄНІЧНІ ВИМОГИ………………………………………………………</w:t>
            </w:r>
            <w:r w:rsidR="003511B1" w:rsidRPr="00CA7C54">
              <w:rPr>
                <w:rFonts w:ascii="Arial" w:eastAsia="Arial" w:hAnsi="Arial" w:cs="Arial"/>
                <w:color w:val="000000" w:themeColor="text1"/>
                <w:sz w:val="21"/>
                <w:szCs w:val="21"/>
              </w:rPr>
              <w:t>…</w:t>
            </w:r>
            <w:r w:rsidRPr="00CA7C54">
              <w:rPr>
                <w:rFonts w:ascii="Arial" w:eastAsia="Arial" w:hAnsi="Arial" w:cs="Arial"/>
                <w:color w:val="000000" w:themeColor="text1"/>
                <w:sz w:val="21"/>
                <w:szCs w:val="21"/>
              </w:rPr>
              <w:t>…</w:t>
            </w:r>
          </w:p>
        </w:tc>
        <w:tc>
          <w:tcPr>
            <w:tcW w:w="714" w:type="dxa"/>
            <w:shd w:val="clear" w:color="auto" w:fill="auto"/>
          </w:tcPr>
          <w:p w14:paraId="7C9E324A" w14:textId="06867FB3" w:rsidR="003C4E04" w:rsidRPr="0031771B" w:rsidRDefault="007D753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4</w:t>
            </w:r>
          </w:p>
        </w:tc>
      </w:tr>
      <w:tr w:rsidR="00CA7C54" w:rsidRPr="00CA7C54" w14:paraId="097A8B3F" w14:textId="77777777" w:rsidTr="001A41CD">
        <w:tc>
          <w:tcPr>
            <w:tcW w:w="562" w:type="dxa"/>
            <w:shd w:val="clear" w:color="auto" w:fill="auto"/>
          </w:tcPr>
          <w:p w14:paraId="7590AF39"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8505" w:type="dxa"/>
            <w:gridSpan w:val="3"/>
            <w:shd w:val="clear" w:color="auto" w:fill="auto"/>
          </w:tcPr>
          <w:p w14:paraId="4A9F208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ОСОБЛИВОСТІ ПРО</w:t>
            </w:r>
            <w:r w:rsidR="00E67004" w:rsidRPr="00CA7C54">
              <w:rPr>
                <w:rFonts w:ascii="Arial" w:eastAsia="Arial" w:hAnsi="Arial" w:cs="Arial"/>
                <w:color w:val="000000" w:themeColor="text1"/>
                <w:sz w:val="21"/>
                <w:szCs w:val="21"/>
              </w:rPr>
              <w:t>Є</w:t>
            </w:r>
            <w:r w:rsidRPr="00CA7C54">
              <w:rPr>
                <w:rFonts w:ascii="Arial" w:eastAsia="Arial" w:hAnsi="Arial" w:cs="Arial"/>
                <w:color w:val="000000" w:themeColor="text1"/>
                <w:sz w:val="21"/>
                <w:szCs w:val="21"/>
              </w:rPr>
              <w:t>КТУВАННЯ СХОВИЩ ТА СПП ІЗ ЗАХИСНИМИ ВЛАСТИВОСТЯМИ СХОВИЩ, ЩО РОЗТАШОВАНІ У ЗОНІ МОЖЛИВОГО КАТАСТРОФІЧНОГО ЗАТОПЛЕННЯ………………………………………………………</w:t>
            </w:r>
            <w:r w:rsidR="003511B1" w:rsidRPr="00CA7C54">
              <w:rPr>
                <w:rFonts w:ascii="Arial" w:eastAsia="Arial" w:hAnsi="Arial" w:cs="Arial"/>
                <w:color w:val="000000" w:themeColor="text1"/>
                <w:sz w:val="21"/>
                <w:szCs w:val="21"/>
              </w:rPr>
              <w:t>…</w:t>
            </w:r>
          </w:p>
        </w:tc>
        <w:tc>
          <w:tcPr>
            <w:tcW w:w="714" w:type="dxa"/>
            <w:shd w:val="clear" w:color="auto" w:fill="auto"/>
          </w:tcPr>
          <w:p w14:paraId="55AFE0F0"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575547BB"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7DADA407" w14:textId="04B394E8"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6</w:t>
            </w:r>
          </w:p>
        </w:tc>
      </w:tr>
      <w:tr w:rsidR="00CA7C54" w:rsidRPr="00CA7C54" w14:paraId="252CF0BB" w14:textId="77777777" w:rsidTr="001A41CD">
        <w:tc>
          <w:tcPr>
            <w:tcW w:w="562" w:type="dxa"/>
            <w:shd w:val="clear" w:color="auto" w:fill="auto"/>
          </w:tcPr>
          <w:p w14:paraId="3D3C962D"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c>
          <w:tcPr>
            <w:tcW w:w="8505" w:type="dxa"/>
            <w:gridSpan w:val="3"/>
            <w:shd w:val="clear" w:color="auto" w:fill="auto"/>
          </w:tcPr>
          <w:p w14:paraId="585A0F3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РОЗРАХУНОК НЕСУЧИХ ТА ОГОРОДЖУВАЛЬНИХ КОНСТРУКЦІЙ………………</w:t>
            </w:r>
            <w:r w:rsidR="003511B1" w:rsidRPr="00CA7C54">
              <w:rPr>
                <w:rFonts w:ascii="Arial" w:eastAsia="Arial" w:hAnsi="Arial" w:cs="Arial"/>
                <w:color w:val="000000" w:themeColor="text1"/>
                <w:sz w:val="21"/>
                <w:szCs w:val="21"/>
              </w:rPr>
              <w:t>.</w:t>
            </w:r>
            <w:r w:rsidRPr="00CA7C54">
              <w:rPr>
                <w:rFonts w:ascii="Arial" w:eastAsia="Arial" w:hAnsi="Arial" w:cs="Arial"/>
                <w:color w:val="000000" w:themeColor="text1"/>
                <w:sz w:val="21"/>
                <w:szCs w:val="21"/>
              </w:rPr>
              <w:t>…</w:t>
            </w:r>
          </w:p>
        </w:tc>
        <w:tc>
          <w:tcPr>
            <w:tcW w:w="714" w:type="dxa"/>
            <w:shd w:val="clear" w:color="auto" w:fill="auto"/>
          </w:tcPr>
          <w:p w14:paraId="1206AD24" w14:textId="396F067A"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7</w:t>
            </w:r>
          </w:p>
        </w:tc>
      </w:tr>
      <w:tr w:rsidR="00CA7C54" w:rsidRPr="00CA7C54" w14:paraId="697DDD5D" w14:textId="77777777" w:rsidTr="001A41CD">
        <w:tc>
          <w:tcPr>
            <w:tcW w:w="562" w:type="dxa"/>
            <w:shd w:val="clear" w:color="auto" w:fill="auto"/>
          </w:tcPr>
          <w:p w14:paraId="481C07A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65F7E9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14.1</w:t>
            </w:r>
          </w:p>
        </w:tc>
        <w:tc>
          <w:tcPr>
            <w:tcW w:w="7796" w:type="dxa"/>
            <w:gridSpan w:val="2"/>
            <w:shd w:val="clear" w:color="auto" w:fill="auto"/>
          </w:tcPr>
          <w:p w14:paraId="48877125"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Розрахункові навантаження та впливи на </w:t>
            </w:r>
            <w:r w:rsidR="00370BCF" w:rsidRPr="00CA7C54">
              <w:rPr>
                <w:rFonts w:ascii="Arial" w:eastAsia="Arial" w:hAnsi="Arial" w:cs="Arial"/>
                <w:color w:val="000000" w:themeColor="text1"/>
                <w:sz w:val="21"/>
                <w:szCs w:val="21"/>
              </w:rPr>
              <w:t>дію повітряної ударної хвилі…</w:t>
            </w:r>
            <w:r w:rsidR="003511B1" w:rsidRPr="00CA7C54">
              <w:rPr>
                <w:rFonts w:ascii="Arial" w:eastAsia="Arial" w:hAnsi="Arial" w:cs="Arial"/>
                <w:color w:val="000000" w:themeColor="text1"/>
                <w:sz w:val="21"/>
                <w:szCs w:val="21"/>
              </w:rPr>
              <w:t>…</w:t>
            </w:r>
            <w:r w:rsidR="00370BCF" w:rsidRPr="00CA7C54">
              <w:rPr>
                <w:rFonts w:ascii="Arial" w:eastAsia="Arial" w:hAnsi="Arial" w:cs="Arial"/>
                <w:color w:val="000000" w:themeColor="text1"/>
                <w:sz w:val="21"/>
                <w:szCs w:val="21"/>
              </w:rPr>
              <w:t>…</w:t>
            </w:r>
          </w:p>
        </w:tc>
        <w:tc>
          <w:tcPr>
            <w:tcW w:w="714" w:type="dxa"/>
            <w:shd w:val="clear" w:color="auto" w:fill="auto"/>
          </w:tcPr>
          <w:p w14:paraId="0F0C64A6" w14:textId="1AEEAA43"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7</w:t>
            </w:r>
          </w:p>
        </w:tc>
      </w:tr>
      <w:tr w:rsidR="00CA7C54" w:rsidRPr="00CA7C54" w14:paraId="3C14D562" w14:textId="77777777" w:rsidTr="001A41CD">
        <w:tc>
          <w:tcPr>
            <w:tcW w:w="562" w:type="dxa"/>
            <w:shd w:val="clear" w:color="auto" w:fill="auto"/>
          </w:tcPr>
          <w:p w14:paraId="1CA2274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3CAB21B"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621F765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14.1.1</w:t>
            </w:r>
          </w:p>
        </w:tc>
        <w:tc>
          <w:tcPr>
            <w:tcW w:w="6946" w:type="dxa"/>
            <w:shd w:val="clear" w:color="auto" w:fill="auto"/>
          </w:tcPr>
          <w:p w14:paraId="6C0B10B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Загальні по</w:t>
            </w:r>
            <w:r w:rsidR="00370BCF" w:rsidRPr="00CA7C54">
              <w:rPr>
                <w:rFonts w:ascii="Arial" w:eastAsia="Arial" w:hAnsi="Arial" w:cs="Arial"/>
                <w:color w:val="000000" w:themeColor="text1"/>
                <w:sz w:val="21"/>
                <w:szCs w:val="21"/>
              </w:rPr>
              <w:t>ложення…………………………………………………………</w:t>
            </w:r>
            <w:r w:rsidR="003511B1" w:rsidRPr="00CA7C54">
              <w:rPr>
                <w:rFonts w:ascii="Arial" w:eastAsia="Arial" w:hAnsi="Arial" w:cs="Arial"/>
                <w:color w:val="000000" w:themeColor="text1"/>
                <w:sz w:val="21"/>
                <w:szCs w:val="21"/>
              </w:rPr>
              <w:t>..</w:t>
            </w:r>
          </w:p>
        </w:tc>
        <w:tc>
          <w:tcPr>
            <w:tcW w:w="714" w:type="dxa"/>
            <w:shd w:val="clear" w:color="auto" w:fill="auto"/>
          </w:tcPr>
          <w:p w14:paraId="7F8C1529" w14:textId="05111C2F"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7</w:t>
            </w:r>
          </w:p>
        </w:tc>
      </w:tr>
      <w:tr w:rsidR="00CA7C54" w:rsidRPr="00CA7C54" w14:paraId="222D8B8D" w14:textId="77777777" w:rsidTr="001A41CD">
        <w:tc>
          <w:tcPr>
            <w:tcW w:w="562" w:type="dxa"/>
            <w:shd w:val="clear" w:color="auto" w:fill="auto"/>
          </w:tcPr>
          <w:p w14:paraId="064AE473"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22ACD13"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3F09F55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14.1.2</w:t>
            </w:r>
          </w:p>
        </w:tc>
        <w:tc>
          <w:tcPr>
            <w:tcW w:w="6946" w:type="dxa"/>
            <w:shd w:val="clear" w:color="auto" w:fill="auto"/>
          </w:tcPr>
          <w:p w14:paraId="7C160796"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Приведене навантаження від впли</w:t>
            </w:r>
            <w:r w:rsidR="00370BCF" w:rsidRPr="00CA7C54">
              <w:rPr>
                <w:rFonts w:ascii="Arial" w:eastAsia="Arial" w:hAnsi="Arial" w:cs="Arial"/>
                <w:color w:val="000000" w:themeColor="text1"/>
                <w:sz w:val="21"/>
                <w:szCs w:val="21"/>
              </w:rPr>
              <w:t>ву повітряної ударної хвилі………</w:t>
            </w:r>
          </w:p>
        </w:tc>
        <w:tc>
          <w:tcPr>
            <w:tcW w:w="714" w:type="dxa"/>
            <w:shd w:val="clear" w:color="auto" w:fill="auto"/>
          </w:tcPr>
          <w:p w14:paraId="742DF56F" w14:textId="5E32C530"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8</w:t>
            </w:r>
          </w:p>
        </w:tc>
      </w:tr>
      <w:tr w:rsidR="00CA7C54" w:rsidRPr="00CA7C54" w14:paraId="0EBEC1FD" w14:textId="77777777" w:rsidTr="001A41CD">
        <w:tc>
          <w:tcPr>
            <w:tcW w:w="562" w:type="dxa"/>
            <w:shd w:val="clear" w:color="auto" w:fill="auto"/>
          </w:tcPr>
          <w:p w14:paraId="484F6D2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2A1C1FBB"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13FA0E3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14.1.3</w:t>
            </w:r>
          </w:p>
        </w:tc>
        <w:tc>
          <w:tcPr>
            <w:tcW w:w="6946" w:type="dxa"/>
            <w:shd w:val="clear" w:color="auto" w:fill="auto"/>
          </w:tcPr>
          <w:p w14:paraId="7B013B0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Квазістатичне (еквівалентне статичне) навантаження та впливи</w:t>
            </w:r>
            <w:r w:rsidR="00370BCF"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7942B24A" w14:textId="5A517ECE" w:rsidR="003C4E04" w:rsidRPr="00CA7C54" w:rsidRDefault="00590AF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w:t>
            </w:r>
            <w:r w:rsidR="00843600">
              <w:rPr>
                <w:rFonts w:ascii="Arial" w:eastAsia="Arial" w:hAnsi="Arial" w:cs="Arial"/>
                <w:color w:val="000000" w:themeColor="text1"/>
                <w:sz w:val="21"/>
                <w:szCs w:val="21"/>
              </w:rPr>
              <w:t>6</w:t>
            </w:r>
          </w:p>
        </w:tc>
      </w:tr>
      <w:tr w:rsidR="00CA7C54" w:rsidRPr="00CA7C54" w14:paraId="7F23083A" w14:textId="77777777" w:rsidTr="001A41CD">
        <w:tc>
          <w:tcPr>
            <w:tcW w:w="562" w:type="dxa"/>
            <w:shd w:val="clear" w:color="auto" w:fill="auto"/>
          </w:tcPr>
          <w:p w14:paraId="4724B930"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66E13BB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14.2</w:t>
            </w:r>
          </w:p>
        </w:tc>
        <w:tc>
          <w:tcPr>
            <w:tcW w:w="7796" w:type="dxa"/>
            <w:gridSpan w:val="2"/>
            <w:shd w:val="clear" w:color="auto" w:fill="auto"/>
          </w:tcPr>
          <w:p w14:paraId="69BC5D5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Розрахунок бетонних, залізобетонних та сталезалізобетонних конструкцій (елементiв)…</w:t>
            </w:r>
            <w:r w:rsidR="00370BCF"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7A56344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5820D89E" w14:textId="6A1EEFB2"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80</w:t>
            </w:r>
          </w:p>
        </w:tc>
      </w:tr>
      <w:tr w:rsidR="00CA7C54" w:rsidRPr="00CA7C54" w14:paraId="7E9E566B" w14:textId="77777777" w:rsidTr="001A41CD">
        <w:tc>
          <w:tcPr>
            <w:tcW w:w="562" w:type="dxa"/>
            <w:shd w:val="clear" w:color="auto" w:fill="auto"/>
          </w:tcPr>
          <w:p w14:paraId="7DFF894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4F439FCC"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705637F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14.2.1</w:t>
            </w:r>
          </w:p>
        </w:tc>
        <w:tc>
          <w:tcPr>
            <w:tcW w:w="6946" w:type="dxa"/>
            <w:shd w:val="clear" w:color="auto" w:fill="auto"/>
          </w:tcPr>
          <w:p w14:paraId="36ACE26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Загальні положення………………………………………………………</w:t>
            </w:r>
            <w:r w:rsidR="003511B1" w:rsidRPr="00CA7C54">
              <w:rPr>
                <w:rFonts w:ascii="Arial" w:eastAsia="Arial" w:hAnsi="Arial" w:cs="Arial"/>
                <w:color w:val="000000" w:themeColor="text1"/>
                <w:sz w:val="21"/>
                <w:szCs w:val="21"/>
              </w:rPr>
              <w:t>.</w:t>
            </w:r>
            <w:r w:rsidRPr="00CA7C54">
              <w:rPr>
                <w:rFonts w:ascii="Arial" w:eastAsia="Arial" w:hAnsi="Arial" w:cs="Arial"/>
                <w:color w:val="000000" w:themeColor="text1"/>
                <w:sz w:val="21"/>
                <w:szCs w:val="21"/>
              </w:rPr>
              <w:t>…</w:t>
            </w:r>
          </w:p>
        </w:tc>
        <w:tc>
          <w:tcPr>
            <w:tcW w:w="714" w:type="dxa"/>
            <w:shd w:val="clear" w:color="auto" w:fill="auto"/>
          </w:tcPr>
          <w:p w14:paraId="217773B3" w14:textId="64883702"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80</w:t>
            </w:r>
          </w:p>
        </w:tc>
      </w:tr>
      <w:tr w:rsidR="00CA7C54" w:rsidRPr="00CA7C54" w14:paraId="758F7376" w14:textId="77777777" w:rsidTr="001A41CD">
        <w:tc>
          <w:tcPr>
            <w:tcW w:w="562" w:type="dxa"/>
            <w:shd w:val="clear" w:color="auto" w:fill="auto"/>
          </w:tcPr>
          <w:p w14:paraId="1B663026" w14:textId="77777777" w:rsidR="003C4E04" w:rsidRPr="00CA7C54" w:rsidRDefault="00DC31F3" w:rsidP="00014AB4">
            <w:pPr>
              <w:spacing w:before="0" w:line="288" w:lineRule="auto"/>
              <w:ind w:firstLine="0"/>
              <w:jc w:val="left"/>
              <w:rPr>
                <w:rFonts w:ascii="Arial" w:eastAsia="Arial" w:hAnsi="Arial" w:cs="Arial"/>
                <w:color w:val="000000" w:themeColor="text1"/>
                <w:sz w:val="21"/>
                <w:szCs w:val="21"/>
              </w:rPr>
            </w:pPr>
            <w:r>
              <w:rPr>
                <w:noProof/>
                <w:color w:val="000000" w:themeColor="text1"/>
                <w:sz w:val="21"/>
                <w:szCs w:val="21"/>
                <w:lang w:val="ru-RU" w:eastAsia="ru-RU"/>
              </w:rPr>
              <w:pict w14:anchorId="498FC5B8">
                <v:rect id="Прямокутник 2130524451" o:spid="_x0000_s2050" style="position:absolute;margin-left:-14613pt;margin-top:-148398pt;width:576.85pt;height:28.9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yzgEAAIIDAAAOAAAAZHJzL2Uyb0RvYy54bWysU8GOmzAQvVfqP1i+N0A2QBaFrKpdpaq0&#10;aiNt9wMcY4IlY7seJ5C/79iwm7S9Vb2YGWZ4fu/NsHkYe0XOwoE0uqbZIqVEaG4aqY81ff2x+7Sm&#10;BDzTDVNGi5peBNCH7ccPm8FWYmk6oxrhCIJoqAZb0857WyUJ8E70DBbGCo3F1rieeUzdMWkcGxC9&#10;V8kyTYtkMK6xznABgG+fpiLdRvy2Fdx/b1sQnqiaIjcfTxfPQziT7YZVR8dsJ/lMg/0Di55JjZe+&#10;Qz0xz8jJyb+gesmdAdP6BTd9YtpWchE1oJos/UPNS8esiFrQHLDvNsH/g+Xfzi9279CGwUIFGAYV&#10;Y+v68ER+ZMSxFuuyLHJKLjW9K9JsuVpPxonRE44N5V1WrEr0l4eOvMzTPDQkVyTrwH8RpichqKnD&#10;wUS/2PkZ/NT61hIuBqNks5NKxSQsg3hUjpwZjlH5bAb/rUvp0KtN+GoCDG+Sq6wQ+fEwzloPprns&#10;HQHLdxI5PTPwe+Zw+BklAy5ETeHniTlBifqq0fH7bLVEC3xMVnmZolx3WzncVpjmncE985RM4aOP&#10;Wzdx/HzyppVRd2A1UZnJ4qCjc/NShk26zWPX9dfZ/gIAAP//AwBQSwMEFAAGAAgAAAAhADQno+3m&#10;AAAAGQEAAA8AAABkcnMvZG93bnJldi54bWxMj1FLwzAUhd8F/0O4gm9daiZdV5sOEfYmDqey16y5&#10;NnXNTWmyrv57Mxno2z2cw7nfKVeT7diIg28dSbibpcCQaqdbaiS8v62THJgPirTqHKGEb/Swqq6v&#10;SlVod6JXHLehYbGEfKEkmBD6gnNfG7TKz1yPFL1PN1gVohwargd1iuW24yJNM25VS/GDUT0+GawP&#10;26OV8HzvN19rHM1mt6tD/xKM+zhMUt7eTI8PwAJO4S8MZ/yIDlVk2rsjac86CYlYCpHFOeH3zhbL&#10;s4jBROTpQsyB7S/GPBfAq5L/X1T9AAAA//8DAFBLAQItABQABgAIAAAAIQC2gziS/gAAAOEBAAAT&#10;AAAAAAAAAAAAAAAAAAAAAABbQ29udGVudF9UeXBlc10ueG1sUEsBAi0AFAAGAAgAAAAhADj9If/W&#10;AAAAlAEAAAsAAAAAAAAAAAAAAAAALwEAAF9yZWxzLy5yZWxzUEsBAi0AFAAGAAgAAAAhAFlub/LO&#10;AQAAggMAAA4AAAAAAAAAAAAAAAAALgIAAGRycy9lMm9Eb2MueG1sUEsBAi0AFAAGAAgAAAAhADQn&#10;o+3mAAAAGQEAAA8AAAAAAAAAAAAAAAAAKAQAAGRycy9kb3ducmV2LnhtbFBLBQYAAAAABAAEAPMA&#10;AAA7BQAAAAA=&#10;" fillcolor="white [3201]" stroked="f">
                  <v:textbox inset="2.53958mm,1.2694mm,2.53958mm,1.2694mm">
                    <w:txbxContent>
                      <w:p w14:paraId="612B4454" w14:textId="77777777" w:rsidR="0038736B" w:rsidRDefault="0038736B">
                        <w:pPr>
                          <w:spacing w:before="0" w:line="240" w:lineRule="auto"/>
                          <w:ind w:right="-125" w:firstLine="10348"/>
                          <w:textDirection w:val="btLr"/>
                        </w:pPr>
                        <w:r>
                          <w:rPr>
                            <w:color w:val="000000"/>
                          </w:rPr>
                          <w:t xml:space="preserve">         ІІІ</w:t>
                        </w:r>
                      </w:p>
                    </w:txbxContent>
                  </v:textbox>
                </v:rect>
              </w:pict>
            </w:r>
          </w:p>
        </w:tc>
        <w:tc>
          <w:tcPr>
            <w:tcW w:w="709" w:type="dxa"/>
            <w:shd w:val="clear" w:color="auto" w:fill="auto"/>
          </w:tcPr>
          <w:p w14:paraId="3A51DD39"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71A0AF1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14.2.2</w:t>
            </w:r>
          </w:p>
        </w:tc>
        <w:tc>
          <w:tcPr>
            <w:tcW w:w="6946" w:type="dxa"/>
            <w:shd w:val="clear" w:color="auto" w:fill="auto"/>
          </w:tcPr>
          <w:p w14:paraId="3C6B02D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Матеріали та їх розрахункові характеристики…………………………</w:t>
            </w:r>
            <w:r w:rsidR="003511B1" w:rsidRPr="00CA7C54">
              <w:rPr>
                <w:rFonts w:ascii="Arial" w:eastAsia="Arial" w:hAnsi="Arial" w:cs="Arial"/>
                <w:color w:val="000000" w:themeColor="text1"/>
                <w:sz w:val="21"/>
                <w:szCs w:val="21"/>
              </w:rPr>
              <w:t>..</w:t>
            </w:r>
          </w:p>
        </w:tc>
        <w:tc>
          <w:tcPr>
            <w:tcW w:w="714" w:type="dxa"/>
            <w:shd w:val="clear" w:color="auto" w:fill="auto"/>
          </w:tcPr>
          <w:p w14:paraId="7057DB92" w14:textId="0422E388"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81</w:t>
            </w:r>
          </w:p>
        </w:tc>
      </w:tr>
      <w:tr w:rsidR="00CA7C54" w:rsidRPr="00CA7C54" w14:paraId="2E270220" w14:textId="77777777" w:rsidTr="001A41CD">
        <w:tc>
          <w:tcPr>
            <w:tcW w:w="562" w:type="dxa"/>
            <w:shd w:val="clear" w:color="auto" w:fill="auto"/>
          </w:tcPr>
          <w:p w14:paraId="1B4D66C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36CFCAC"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726093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14.2.3</w:t>
            </w:r>
          </w:p>
        </w:tc>
        <w:tc>
          <w:tcPr>
            <w:tcW w:w="6946" w:type="dxa"/>
            <w:shd w:val="clear" w:color="auto" w:fill="auto"/>
          </w:tcPr>
          <w:p w14:paraId="593B1A7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Проникнення та вторинне сколювання……………………………………</w:t>
            </w:r>
          </w:p>
        </w:tc>
        <w:tc>
          <w:tcPr>
            <w:tcW w:w="714" w:type="dxa"/>
            <w:shd w:val="clear" w:color="auto" w:fill="auto"/>
          </w:tcPr>
          <w:p w14:paraId="4B73A252" w14:textId="3D1BBE18"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81</w:t>
            </w:r>
          </w:p>
        </w:tc>
      </w:tr>
      <w:tr w:rsidR="00CA7C54" w:rsidRPr="00CA7C54" w14:paraId="761CAD70" w14:textId="77777777" w:rsidTr="001A41CD">
        <w:tc>
          <w:tcPr>
            <w:tcW w:w="562" w:type="dxa"/>
            <w:shd w:val="clear" w:color="auto" w:fill="auto"/>
          </w:tcPr>
          <w:p w14:paraId="29895367"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4515EB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14.3</w:t>
            </w:r>
          </w:p>
        </w:tc>
        <w:tc>
          <w:tcPr>
            <w:tcW w:w="7796" w:type="dxa"/>
            <w:gridSpan w:val="2"/>
            <w:shd w:val="clear" w:color="auto" w:fill="auto"/>
          </w:tcPr>
          <w:p w14:paraId="10ABC3E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Розрахунок конструкцій з кам'яних </w:t>
            </w:r>
            <w:r w:rsidR="00370BCF" w:rsidRPr="00CA7C54">
              <w:rPr>
                <w:rFonts w:ascii="Arial" w:eastAsia="Arial" w:hAnsi="Arial" w:cs="Arial"/>
                <w:color w:val="000000" w:themeColor="text1"/>
                <w:sz w:val="21"/>
                <w:szCs w:val="21"/>
              </w:rPr>
              <w:t>та інших матеріалів………………………</w:t>
            </w:r>
            <w:r w:rsidR="003511B1" w:rsidRPr="00CA7C54">
              <w:rPr>
                <w:rFonts w:ascii="Arial" w:eastAsia="Arial" w:hAnsi="Arial" w:cs="Arial"/>
                <w:color w:val="000000" w:themeColor="text1"/>
                <w:sz w:val="21"/>
                <w:szCs w:val="21"/>
              </w:rPr>
              <w:t>.</w:t>
            </w:r>
            <w:r w:rsidR="00370BCF" w:rsidRPr="00CA7C54">
              <w:rPr>
                <w:rFonts w:ascii="Arial" w:eastAsia="Arial" w:hAnsi="Arial" w:cs="Arial"/>
                <w:color w:val="000000" w:themeColor="text1"/>
                <w:sz w:val="21"/>
                <w:szCs w:val="21"/>
              </w:rPr>
              <w:t>…</w:t>
            </w:r>
          </w:p>
        </w:tc>
        <w:tc>
          <w:tcPr>
            <w:tcW w:w="714" w:type="dxa"/>
            <w:shd w:val="clear" w:color="auto" w:fill="auto"/>
          </w:tcPr>
          <w:p w14:paraId="2887A048" w14:textId="1732ED5A"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rPr>
              <w:t>3</w:t>
            </w:r>
          </w:p>
        </w:tc>
      </w:tr>
      <w:tr w:rsidR="00CA7C54" w:rsidRPr="00CA7C54" w14:paraId="2F4E5172" w14:textId="77777777" w:rsidTr="001A41CD">
        <w:tc>
          <w:tcPr>
            <w:tcW w:w="562" w:type="dxa"/>
            <w:shd w:val="clear" w:color="auto" w:fill="auto"/>
          </w:tcPr>
          <w:p w14:paraId="4536A63C"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5C94321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14.4</w:t>
            </w:r>
          </w:p>
        </w:tc>
        <w:tc>
          <w:tcPr>
            <w:tcW w:w="7796" w:type="dxa"/>
            <w:gridSpan w:val="2"/>
            <w:shd w:val="clear" w:color="auto" w:fill="auto"/>
          </w:tcPr>
          <w:p w14:paraId="3C51DA6B" w14:textId="77777777" w:rsidR="00370BCF"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Розрахунок основ та</w:t>
            </w:r>
            <w:r w:rsidR="00370BCF" w:rsidRPr="00CA7C54">
              <w:rPr>
                <w:rFonts w:ascii="Arial" w:eastAsia="Arial" w:hAnsi="Arial" w:cs="Arial"/>
                <w:color w:val="000000" w:themeColor="text1"/>
                <w:sz w:val="21"/>
                <w:szCs w:val="21"/>
              </w:rPr>
              <w:t xml:space="preserve"> фундаментів………………………………………………</w:t>
            </w:r>
            <w:r w:rsidR="003511B1" w:rsidRPr="00CA7C54">
              <w:rPr>
                <w:rFonts w:ascii="Arial" w:eastAsia="Arial" w:hAnsi="Arial" w:cs="Arial"/>
                <w:color w:val="000000" w:themeColor="text1"/>
                <w:sz w:val="21"/>
                <w:szCs w:val="21"/>
              </w:rPr>
              <w:t>…..</w:t>
            </w:r>
          </w:p>
        </w:tc>
        <w:tc>
          <w:tcPr>
            <w:tcW w:w="714" w:type="dxa"/>
            <w:shd w:val="clear" w:color="auto" w:fill="auto"/>
          </w:tcPr>
          <w:p w14:paraId="2B351AB5" w14:textId="79E56C11" w:rsidR="003C4E04" w:rsidRPr="00CA7C54" w:rsidRDefault="00590AF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rPr>
              <w:t>4</w:t>
            </w:r>
          </w:p>
        </w:tc>
      </w:tr>
      <w:tr w:rsidR="00CA7C54" w:rsidRPr="00CA7C54" w14:paraId="45DFFA60" w14:textId="77777777" w:rsidTr="001A41CD">
        <w:tc>
          <w:tcPr>
            <w:tcW w:w="562" w:type="dxa"/>
            <w:shd w:val="clear" w:color="auto" w:fill="auto"/>
          </w:tcPr>
          <w:p w14:paraId="6A974506"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8505" w:type="dxa"/>
            <w:gridSpan w:val="3"/>
            <w:shd w:val="clear" w:color="auto" w:fill="auto"/>
          </w:tcPr>
          <w:p w14:paraId="483FE36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ПРО</w:t>
            </w:r>
            <w:r w:rsidR="00E67004" w:rsidRPr="00CA7C54">
              <w:rPr>
                <w:rFonts w:ascii="Arial" w:eastAsia="Arial" w:hAnsi="Arial" w:cs="Arial"/>
                <w:color w:val="000000" w:themeColor="text1"/>
                <w:sz w:val="21"/>
                <w:szCs w:val="21"/>
              </w:rPr>
              <w:t>Є</w:t>
            </w:r>
            <w:r w:rsidRPr="00CA7C54">
              <w:rPr>
                <w:rFonts w:ascii="Arial" w:eastAsia="Arial" w:hAnsi="Arial" w:cs="Arial"/>
                <w:color w:val="000000" w:themeColor="text1"/>
                <w:sz w:val="21"/>
                <w:szCs w:val="21"/>
              </w:rPr>
              <w:t xml:space="preserve">КТУВАННЯ ГІДРОІЗОЯЦІЇ </w:t>
            </w:r>
            <w:r w:rsidRPr="00CA7C54">
              <w:rPr>
                <w:rFonts w:ascii="Arial" w:eastAsia="Arial" w:hAnsi="Arial" w:cs="Arial"/>
                <w:smallCaps/>
                <w:color w:val="000000" w:themeColor="text1"/>
                <w:sz w:val="21"/>
                <w:szCs w:val="21"/>
              </w:rPr>
              <w:t>ЗАГЛИБЛЕНИХ ЧАСТИН</w:t>
            </w:r>
            <w:r w:rsidRPr="00CA7C54">
              <w:rPr>
                <w:rFonts w:ascii="Arial" w:eastAsia="Arial" w:hAnsi="Arial" w:cs="Arial"/>
                <w:color w:val="000000" w:themeColor="text1"/>
                <w:sz w:val="21"/>
                <w:szCs w:val="21"/>
              </w:rPr>
              <w:t xml:space="preserve"> ЗАХИСНИХ СПОРУД</w:t>
            </w:r>
            <w:r w:rsidRPr="00CA7C54">
              <w:rPr>
                <w:rFonts w:ascii="Arial" w:eastAsia="Arial" w:hAnsi="Arial" w:cs="Arial"/>
                <w:color w:val="000000" w:themeColor="text1"/>
                <w:sz w:val="21"/>
                <w:szCs w:val="21"/>
              </w:rPr>
              <w:br/>
              <w:t>ТА СПП………………</w:t>
            </w:r>
            <w:r w:rsidR="00370BCF"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r w:rsidR="00370BCF" w:rsidRPr="00CA7C54">
              <w:rPr>
                <w:rFonts w:ascii="Arial" w:eastAsia="Arial" w:hAnsi="Arial" w:cs="Arial"/>
                <w:color w:val="000000" w:themeColor="text1"/>
                <w:sz w:val="21"/>
                <w:szCs w:val="21"/>
              </w:rPr>
              <w:t>…</w:t>
            </w:r>
          </w:p>
        </w:tc>
        <w:tc>
          <w:tcPr>
            <w:tcW w:w="714" w:type="dxa"/>
            <w:shd w:val="clear" w:color="auto" w:fill="auto"/>
          </w:tcPr>
          <w:p w14:paraId="5602BEC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425EB203" w14:textId="677B4D96" w:rsidR="003C4E04" w:rsidRPr="0031771B" w:rsidRDefault="00D4464A"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lang w:val="ru-RU"/>
              </w:rPr>
              <w:t>4</w:t>
            </w:r>
          </w:p>
        </w:tc>
      </w:tr>
      <w:tr w:rsidR="00CA7C54" w:rsidRPr="00CA7C54" w14:paraId="72576793" w14:textId="77777777" w:rsidTr="001A41CD">
        <w:tc>
          <w:tcPr>
            <w:tcW w:w="9067" w:type="dxa"/>
            <w:gridSpan w:val="4"/>
            <w:shd w:val="clear" w:color="auto" w:fill="auto"/>
          </w:tcPr>
          <w:p w14:paraId="3C95142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ДОДАТОК А (обов’язковий)</w:t>
            </w:r>
          </w:p>
        </w:tc>
        <w:tc>
          <w:tcPr>
            <w:tcW w:w="714" w:type="dxa"/>
            <w:shd w:val="clear" w:color="auto" w:fill="auto"/>
          </w:tcPr>
          <w:p w14:paraId="3E342AB6"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329A5D49" w14:textId="77777777" w:rsidTr="001A41CD">
        <w:tc>
          <w:tcPr>
            <w:tcW w:w="562" w:type="dxa"/>
            <w:shd w:val="clear" w:color="auto" w:fill="auto"/>
          </w:tcPr>
          <w:p w14:paraId="1E2D5BFB"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4D2E5D1C"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Класифікація захисних спор</w:t>
            </w:r>
            <w:r w:rsidR="00370BCF" w:rsidRPr="00CA7C54">
              <w:rPr>
                <w:rFonts w:ascii="Arial" w:eastAsia="Arial" w:hAnsi="Arial" w:cs="Arial"/>
                <w:color w:val="000000" w:themeColor="text1"/>
                <w:sz w:val="21"/>
                <w:szCs w:val="21"/>
              </w:rPr>
              <w:t>уд та СПП……………………………………………………</w:t>
            </w:r>
            <w:r w:rsidR="003511B1" w:rsidRPr="00CA7C54">
              <w:rPr>
                <w:rFonts w:ascii="Arial" w:eastAsia="Arial" w:hAnsi="Arial" w:cs="Arial"/>
                <w:color w:val="000000" w:themeColor="text1"/>
                <w:sz w:val="21"/>
                <w:szCs w:val="21"/>
              </w:rPr>
              <w:t>…</w:t>
            </w:r>
          </w:p>
        </w:tc>
        <w:tc>
          <w:tcPr>
            <w:tcW w:w="714" w:type="dxa"/>
            <w:shd w:val="clear" w:color="auto" w:fill="auto"/>
          </w:tcPr>
          <w:p w14:paraId="06B6EC78" w14:textId="3BFD00A1" w:rsidR="003C4E04" w:rsidRPr="00CA7C54" w:rsidRDefault="00D4464A"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rPr>
              <w:t>7</w:t>
            </w:r>
          </w:p>
        </w:tc>
      </w:tr>
      <w:tr w:rsidR="00CA7C54" w:rsidRPr="00CA7C54" w14:paraId="2FD3BDA5" w14:textId="77777777" w:rsidTr="001A41CD">
        <w:tc>
          <w:tcPr>
            <w:tcW w:w="9067" w:type="dxa"/>
            <w:gridSpan w:val="4"/>
            <w:shd w:val="clear" w:color="auto" w:fill="auto"/>
          </w:tcPr>
          <w:p w14:paraId="66F97B0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ДОДАТОК Б (обов’язковий)</w:t>
            </w:r>
          </w:p>
        </w:tc>
        <w:tc>
          <w:tcPr>
            <w:tcW w:w="714" w:type="dxa"/>
            <w:shd w:val="clear" w:color="auto" w:fill="auto"/>
          </w:tcPr>
          <w:p w14:paraId="0BF0CC21"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1F613A1C" w14:textId="77777777" w:rsidTr="001A41CD">
        <w:tc>
          <w:tcPr>
            <w:tcW w:w="562" w:type="dxa"/>
            <w:shd w:val="clear" w:color="auto" w:fill="auto"/>
          </w:tcPr>
          <w:p w14:paraId="691F2A7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6BAE35E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Норми мінімальна площа на одну особу в основному приміщен</w:t>
            </w:r>
            <w:r w:rsidR="00C247A5" w:rsidRPr="00CA7C54">
              <w:rPr>
                <w:rFonts w:ascii="Arial" w:eastAsia="Arial" w:hAnsi="Arial" w:cs="Arial"/>
                <w:color w:val="000000" w:themeColor="text1"/>
                <w:sz w:val="21"/>
                <w:szCs w:val="21"/>
              </w:rPr>
              <w:t>ні для укриття……</w:t>
            </w:r>
            <w:r w:rsidR="003511B1" w:rsidRPr="00CA7C54">
              <w:rPr>
                <w:rFonts w:ascii="Arial" w:eastAsia="Arial" w:hAnsi="Arial" w:cs="Arial"/>
                <w:color w:val="000000" w:themeColor="text1"/>
                <w:sz w:val="21"/>
                <w:szCs w:val="21"/>
              </w:rPr>
              <w:t>..</w:t>
            </w:r>
            <w:r w:rsidR="007A4770" w:rsidRPr="00CA7C54">
              <w:rPr>
                <w:rFonts w:ascii="Arial" w:eastAsia="Arial" w:hAnsi="Arial" w:cs="Arial"/>
                <w:color w:val="000000" w:themeColor="text1"/>
                <w:sz w:val="21"/>
                <w:szCs w:val="21"/>
              </w:rPr>
              <w:t>.</w:t>
            </w:r>
          </w:p>
        </w:tc>
        <w:tc>
          <w:tcPr>
            <w:tcW w:w="714" w:type="dxa"/>
            <w:shd w:val="clear" w:color="auto" w:fill="auto"/>
          </w:tcPr>
          <w:p w14:paraId="15560096" w14:textId="54DF35FE" w:rsidR="003C4E04" w:rsidRPr="00CA7C54" w:rsidRDefault="00D4464A"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rPr>
              <w:t>9</w:t>
            </w:r>
          </w:p>
        </w:tc>
      </w:tr>
      <w:tr w:rsidR="00CA7C54" w:rsidRPr="00CA7C54" w14:paraId="78AFA25D" w14:textId="77777777" w:rsidTr="001A41CD">
        <w:tc>
          <w:tcPr>
            <w:tcW w:w="9067" w:type="dxa"/>
            <w:gridSpan w:val="4"/>
            <w:shd w:val="clear" w:color="auto" w:fill="auto"/>
          </w:tcPr>
          <w:p w14:paraId="6FFEFFD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ДОДАТОК В (довідковий)</w:t>
            </w:r>
          </w:p>
        </w:tc>
        <w:tc>
          <w:tcPr>
            <w:tcW w:w="714" w:type="dxa"/>
            <w:shd w:val="clear" w:color="auto" w:fill="auto"/>
          </w:tcPr>
          <w:p w14:paraId="24A8BEE2"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01319372" w14:textId="77777777" w:rsidTr="001A41CD">
        <w:tc>
          <w:tcPr>
            <w:tcW w:w="562" w:type="dxa"/>
            <w:shd w:val="clear" w:color="auto" w:fill="auto"/>
          </w:tcPr>
          <w:p w14:paraId="04F4C7D2"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3DA2647C"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Коефіцієнт лобового тис</w:t>
            </w:r>
            <w:r w:rsidR="00C247A5" w:rsidRPr="00CA7C54">
              <w:rPr>
                <w:rFonts w:ascii="Arial" w:eastAsia="Arial" w:hAnsi="Arial" w:cs="Arial"/>
                <w:color w:val="000000" w:themeColor="text1"/>
                <w:sz w:val="21"/>
                <w:szCs w:val="21"/>
              </w:rPr>
              <w:t>ку Сх……………………………………………………………</w:t>
            </w:r>
            <w:r w:rsidR="003511B1" w:rsidRPr="00CA7C54">
              <w:rPr>
                <w:rFonts w:ascii="Arial" w:eastAsia="Arial" w:hAnsi="Arial" w:cs="Arial"/>
                <w:color w:val="000000" w:themeColor="text1"/>
                <w:sz w:val="21"/>
                <w:szCs w:val="21"/>
              </w:rPr>
              <w:t>…</w:t>
            </w:r>
            <w:r w:rsidR="00C247A5" w:rsidRPr="00CA7C54">
              <w:rPr>
                <w:rFonts w:ascii="Arial" w:eastAsia="Arial" w:hAnsi="Arial" w:cs="Arial"/>
                <w:color w:val="000000" w:themeColor="text1"/>
                <w:sz w:val="21"/>
                <w:szCs w:val="21"/>
              </w:rPr>
              <w:t>…</w:t>
            </w:r>
          </w:p>
        </w:tc>
        <w:tc>
          <w:tcPr>
            <w:tcW w:w="714" w:type="dxa"/>
            <w:shd w:val="clear" w:color="auto" w:fill="auto"/>
          </w:tcPr>
          <w:p w14:paraId="19F5AE6F" w14:textId="40A48417"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92</w:t>
            </w:r>
          </w:p>
        </w:tc>
      </w:tr>
      <w:tr w:rsidR="00CA7C54" w:rsidRPr="00CA7C54" w14:paraId="37BC1EC0" w14:textId="77777777" w:rsidTr="001A41CD">
        <w:tc>
          <w:tcPr>
            <w:tcW w:w="9067" w:type="dxa"/>
            <w:gridSpan w:val="4"/>
            <w:shd w:val="clear" w:color="auto" w:fill="auto"/>
          </w:tcPr>
          <w:p w14:paraId="65F23BF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ДОДАТОК Г (обов’язковий)</w:t>
            </w:r>
          </w:p>
        </w:tc>
        <w:tc>
          <w:tcPr>
            <w:tcW w:w="714" w:type="dxa"/>
            <w:shd w:val="clear" w:color="auto" w:fill="auto"/>
          </w:tcPr>
          <w:p w14:paraId="18F2DAA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570485D6" w14:textId="77777777" w:rsidTr="001A41CD">
        <w:trPr>
          <w:trHeight w:val="303"/>
        </w:trPr>
        <w:tc>
          <w:tcPr>
            <w:tcW w:w="562" w:type="dxa"/>
            <w:shd w:val="clear" w:color="auto" w:fill="auto"/>
          </w:tcPr>
          <w:p w14:paraId="46F487E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2E0EDF85" w14:textId="77777777" w:rsidR="003C4E04" w:rsidRPr="00CA7C54" w:rsidRDefault="001E748C" w:rsidP="00014AB4">
            <w:pPr>
              <w:spacing w:before="0" w:line="288" w:lineRule="auto"/>
              <w:ind w:firstLine="0"/>
              <w:contextualSpacing/>
              <w:jc w:val="left"/>
              <w:rPr>
                <w:rFonts w:ascii="Arial" w:eastAsia="Arial" w:hAnsi="Arial" w:cs="Arial"/>
                <w:b/>
                <w:color w:val="000000" w:themeColor="text1"/>
                <w:sz w:val="21"/>
                <w:szCs w:val="21"/>
              </w:rPr>
            </w:pPr>
            <w:r w:rsidRPr="00CA7C54">
              <w:rPr>
                <w:rFonts w:ascii="Arial" w:eastAsia="Arial" w:hAnsi="Arial" w:cs="Arial"/>
                <w:color w:val="000000" w:themeColor="text1"/>
                <w:sz w:val="21"/>
                <w:szCs w:val="21"/>
              </w:rPr>
              <w:t>Методика розрахунку захисту від радіації</w:t>
            </w:r>
            <w:r w:rsidR="00C247A5" w:rsidRPr="00CA7C54">
              <w:rPr>
                <w:rFonts w:ascii="Arial" w:eastAsia="Arial" w:hAnsi="Arial" w:cs="Arial"/>
                <w:color w:val="000000" w:themeColor="text1"/>
                <w:sz w:val="21"/>
                <w:szCs w:val="21"/>
              </w:rPr>
              <w:t xml:space="preserve"> (обов’язковий) ………………………………</w:t>
            </w:r>
            <w:r w:rsidR="003511B1" w:rsidRPr="00CA7C54">
              <w:rPr>
                <w:rFonts w:ascii="Arial" w:eastAsia="Arial" w:hAnsi="Arial" w:cs="Arial"/>
                <w:color w:val="000000" w:themeColor="text1"/>
                <w:sz w:val="21"/>
                <w:szCs w:val="21"/>
              </w:rPr>
              <w:t>.</w:t>
            </w:r>
          </w:p>
        </w:tc>
        <w:tc>
          <w:tcPr>
            <w:tcW w:w="714" w:type="dxa"/>
            <w:shd w:val="clear" w:color="auto" w:fill="auto"/>
          </w:tcPr>
          <w:p w14:paraId="0BA1BE0C" w14:textId="0B91AABD"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9</w:t>
            </w:r>
            <w:r w:rsidR="00843600">
              <w:rPr>
                <w:rFonts w:ascii="Arial" w:eastAsia="Arial" w:hAnsi="Arial" w:cs="Arial"/>
                <w:color w:val="000000" w:themeColor="text1"/>
                <w:sz w:val="21"/>
                <w:szCs w:val="21"/>
              </w:rPr>
              <w:t>3</w:t>
            </w:r>
          </w:p>
        </w:tc>
      </w:tr>
      <w:tr w:rsidR="00CA7C54" w:rsidRPr="00CA7C54" w14:paraId="0C490420" w14:textId="77777777" w:rsidTr="001A41CD">
        <w:trPr>
          <w:trHeight w:val="237"/>
        </w:trPr>
        <w:tc>
          <w:tcPr>
            <w:tcW w:w="562" w:type="dxa"/>
            <w:shd w:val="clear" w:color="auto" w:fill="auto"/>
          </w:tcPr>
          <w:p w14:paraId="638F346A"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7DA9FE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Г.1</w:t>
            </w:r>
          </w:p>
        </w:tc>
        <w:tc>
          <w:tcPr>
            <w:tcW w:w="7796" w:type="dxa"/>
            <w:gridSpan w:val="2"/>
            <w:shd w:val="clear" w:color="auto" w:fill="auto"/>
          </w:tcPr>
          <w:p w14:paraId="693508C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Сховища та СПП із захисними властивос</w:t>
            </w:r>
            <w:r w:rsidR="00C247A5" w:rsidRPr="00CA7C54">
              <w:rPr>
                <w:rFonts w:ascii="Arial" w:eastAsia="Arial" w:hAnsi="Arial" w:cs="Arial"/>
                <w:color w:val="000000" w:themeColor="text1"/>
                <w:sz w:val="21"/>
                <w:szCs w:val="21"/>
              </w:rPr>
              <w:t>тями сховищ…………………………</w:t>
            </w:r>
            <w:r w:rsidR="003511B1" w:rsidRPr="00CA7C54">
              <w:rPr>
                <w:rFonts w:ascii="Arial" w:eastAsia="Arial" w:hAnsi="Arial" w:cs="Arial"/>
                <w:color w:val="000000" w:themeColor="text1"/>
                <w:sz w:val="21"/>
                <w:szCs w:val="21"/>
              </w:rPr>
              <w:t>..</w:t>
            </w:r>
          </w:p>
        </w:tc>
        <w:tc>
          <w:tcPr>
            <w:tcW w:w="714" w:type="dxa"/>
            <w:shd w:val="clear" w:color="auto" w:fill="auto"/>
          </w:tcPr>
          <w:p w14:paraId="329EAC69" w14:textId="07A67966"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9</w:t>
            </w:r>
            <w:r w:rsidR="00843600">
              <w:rPr>
                <w:rFonts w:ascii="Arial" w:eastAsia="Arial" w:hAnsi="Arial" w:cs="Arial"/>
                <w:color w:val="000000" w:themeColor="text1"/>
                <w:sz w:val="21"/>
                <w:szCs w:val="21"/>
              </w:rPr>
              <w:t>3</w:t>
            </w:r>
          </w:p>
        </w:tc>
      </w:tr>
      <w:tr w:rsidR="00CA7C54" w:rsidRPr="00CA7C54" w14:paraId="4998519C" w14:textId="77777777" w:rsidTr="001A41CD">
        <w:trPr>
          <w:trHeight w:val="327"/>
        </w:trPr>
        <w:tc>
          <w:tcPr>
            <w:tcW w:w="562" w:type="dxa"/>
            <w:shd w:val="clear" w:color="auto" w:fill="auto"/>
          </w:tcPr>
          <w:p w14:paraId="682FFA2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39C31F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Г.2</w:t>
            </w:r>
          </w:p>
        </w:tc>
        <w:tc>
          <w:tcPr>
            <w:tcW w:w="7796" w:type="dxa"/>
            <w:gridSpan w:val="2"/>
            <w:shd w:val="clear" w:color="auto" w:fill="auto"/>
          </w:tcPr>
          <w:p w14:paraId="6A35800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ПРУ та СПП із захисними вл</w:t>
            </w:r>
            <w:r w:rsidR="00C247A5" w:rsidRPr="00CA7C54">
              <w:rPr>
                <w:rFonts w:ascii="Arial" w:eastAsia="Arial" w:hAnsi="Arial" w:cs="Arial"/>
                <w:color w:val="000000" w:themeColor="text1"/>
                <w:sz w:val="21"/>
                <w:szCs w:val="21"/>
              </w:rPr>
              <w:t>астивостями ПРУ……………………………………</w:t>
            </w:r>
          </w:p>
        </w:tc>
        <w:tc>
          <w:tcPr>
            <w:tcW w:w="714" w:type="dxa"/>
            <w:shd w:val="clear" w:color="auto" w:fill="auto"/>
          </w:tcPr>
          <w:p w14:paraId="217CBE2C" w14:textId="4C47B9DF" w:rsidR="003C4E04" w:rsidRPr="00CA7C54" w:rsidRDefault="00D4464A"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9</w:t>
            </w:r>
            <w:r w:rsidR="00843600">
              <w:rPr>
                <w:rFonts w:ascii="Arial" w:eastAsia="Arial" w:hAnsi="Arial" w:cs="Arial"/>
                <w:color w:val="000000" w:themeColor="text1"/>
                <w:sz w:val="21"/>
                <w:szCs w:val="21"/>
              </w:rPr>
              <w:t>9</w:t>
            </w:r>
          </w:p>
        </w:tc>
      </w:tr>
      <w:tr w:rsidR="00CA7C54" w:rsidRPr="00CA7C54" w14:paraId="78A5A362" w14:textId="77777777" w:rsidTr="001A41CD">
        <w:trPr>
          <w:trHeight w:val="327"/>
        </w:trPr>
        <w:tc>
          <w:tcPr>
            <w:tcW w:w="9067" w:type="dxa"/>
            <w:gridSpan w:val="4"/>
            <w:shd w:val="clear" w:color="auto" w:fill="auto"/>
          </w:tcPr>
          <w:p w14:paraId="737FAD4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ДОДАТОК </w:t>
            </w:r>
            <w:r w:rsidR="0007750C" w:rsidRPr="00CA7C54">
              <w:rPr>
                <w:rFonts w:ascii="Arial" w:eastAsia="Arial" w:hAnsi="Arial" w:cs="Arial"/>
                <w:color w:val="000000" w:themeColor="text1"/>
                <w:sz w:val="21"/>
                <w:szCs w:val="21"/>
              </w:rPr>
              <w:t>Д</w:t>
            </w:r>
            <w:r w:rsidRPr="00CA7C54">
              <w:rPr>
                <w:rFonts w:ascii="Arial" w:eastAsia="Arial" w:hAnsi="Arial" w:cs="Arial"/>
                <w:color w:val="000000" w:themeColor="text1"/>
                <w:sz w:val="21"/>
                <w:szCs w:val="21"/>
              </w:rPr>
              <w:t xml:space="preserve"> (обов’язковий)</w:t>
            </w:r>
          </w:p>
        </w:tc>
        <w:tc>
          <w:tcPr>
            <w:tcW w:w="714" w:type="dxa"/>
            <w:shd w:val="clear" w:color="auto" w:fill="auto"/>
          </w:tcPr>
          <w:p w14:paraId="0427744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7EDF4B14" w14:textId="77777777" w:rsidTr="001A41CD">
        <w:trPr>
          <w:trHeight w:val="327"/>
        </w:trPr>
        <w:tc>
          <w:tcPr>
            <w:tcW w:w="562" w:type="dxa"/>
            <w:shd w:val="clear" w:color="auto" w:fill="auto"/>
          </w:tcPr>
          <w:p w14:paraId="0579D8A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2E78F71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Визначення тепловмісту (ентальпії) вну</w:t>
            </w:r>
            <w:r w:rsidR="00C247A5" w:rsidRPr="00CA7C54">
              <w:rPr>
                <w:rFonts w:ascii="Arial" w:eastAsia="Arial" w:hAnsi="Arial" w:cs="Arial"/>
                <w:color w:val="000000" w:themeColor="text1"/>
                <w:sz w:val="21"/>
                <w:szCs w:val="21"/>
              </w:rPr>
              <w:t>трішнього повітря ……………………………</w:t>
            </w:r>
            <w:r w:rsidR="003511B1" w:rsidRPr="00CA7C54">
              <w:rPr>
                <w:rFonts w:ascii="Arial" w:eastAsia="Arial" w:hAnsi="Arial" w:cs="Arial"/>
                <w:color w:val="000000" w:themeColor="text1"/>
                <w:sz w:val="21"/>
                <w:szCs w:val="21"/>
              </w:rPr>
              <w:t>…</w:t>
            </w:r>
          </w:p>
        </w:tc>
        <w:tc>
          <w:tcPr>
            <w:tcW w:w="714" w:type="dxa"/>
            <w:shd w:val="clear" w:color="auto" w:fill="auto"/>
          </w:tcPr>
          <w:p w14:paraId="71AC6D05" w14:textId="37023CFD"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D4464A" w:rsidRPr="00CA7C54">
              <w:rPr>
                <w:rFonts w:ascii="Arial" w:eastAsia="Arial" w:hAnsi="Arial" w:cs="Arial"/>
                <w:color w:val="000000" w:themeColor="text1"/>
                <w:sz w:val="21"/>
                <w:szCs w:val="21"/>
              </w:rPr>
              <w:t>0</w:t>
            </w:r>
            <w:r w:rsidR="00843600">
              <w:rPr>
                <w:rFonts w:ascii="Arial" w:eastAsia="Arial" w:hAnsi="Arial" w:cs="Arial"/>
                <w:color w:val="000000" w:themeColor="text1"/>
                <w:sz w:val="21"/>
                <w:szCs w:val="21"/>
              </w:rPr>
              <w:t>7</w:t>
            </w:r>
          </w:p>
        </w:tc>
      </w:tr>
      <w:tr w:rsidR="00CA7C54" w:rsidRPr="00CA7C54" w14:paraId="720BE4BE" w14:textId="77777777" w:rsidTr="001A41CD">
        <w:trPr>
          <w:trHeight w:val="327"/>
        </w:trPr>
        <w:tc>
          <w:tcPr>
            <w:tcW w:w="9067" w:type="dxa"/>
            <w:gridSpan w:val="4"/>
            <w:shd w:val="clear" w:color="auto" w:fill="auto"/>
          </w:tcPr>
          <w:p w14:paraId="57503E9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ДОДАТОК </w:t>
            </w:r>
            <w:r w:rsidR="0007750C" w:rsidRPr="00CA7C54">
              <w:rPr>
                <w:rFonts w:ascii="Arial" w:eastAsia="Arial" w:hAnsi="Arial" w:cs="Arial"/>
                <w:color w:val="000000" w:themeColor="text1"/>
                <w:sz w:val="21"/>
                <w:szCs w:val="21"/>
              </w:rPr>
              <w:t>Е</w:t>
            </w:r>
            <w:r w:rsidRPr="00CA7C54">
              <w:rPr>
                <w:rFonts w:ascii="Arial" w:eastAsia="Arial" w:hAnsi="Arial" w:cs="Arial"/>
                <w:color w:val="000000" w:themeColor="text1"/>
                <w:sz w:val="21"/>
                <w:szCs w:val="21"/>
              </w:rPr>
              <w:t xml:space="preserve"> (довідковий)</w:t>
            </w:r>
          </w:p>
        </w:tc>
        <w:tc>
          <w:tcPr>
            <w:tcW w:w="714" w:type="dxa"/>
            <w:shd w:val="clear" w:color="auto" w:fill="auto"/>
          </w:tcPr>
          <w:p w14:paraId="3C7F131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4F4CBF74" w14:textId="77777777" w:rsidTr="001A41CD">
        <w:trPr>
          <w:trHeight w:val="327"/>
        </w:trPr>
        <w:tc>
          <w:tcPr>
            <w:tcW w:w="562" w:type="dxa"/>
            <w:shd w:val="clear" w:color="auto" w:fill="auto"/>
          </w:tcPr>
          <w:p w14:paraId="4D533E3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0D8795B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Основні технічні характеристики типових противибухових пристроїв та електроручних вентиляторів </w:t>
            </w:r>
            <w:r w:rsidR="00C247A5"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r w:rsidR="00C247A5" w:rsidRPr="00CA7C54">
              <w:rPr>
                <w:rFonts w:ascii="Arial" w:eastAsia="Arial" w:hAnsi="Arial" w:cs="Arial"/>
                <w:color w:val="000000" w:themeColor="text1"/>
                <w:sz w:val="21"/>
                <w:szCs w:val="21"/>
              </w:rPr>
              <w:t>…</w:t>
            </w:r>
          </w:p>
        </w:tc>
        <w:tc>
          <w:tcPr>
            <w:tcW w:w="714" w:type="dxa"/>
            <w:shd w:val="clear" w:color="auto" w:fill="auto"/>
          </w:tcPr>
          <w:p w14:paraId="25862727"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2698CF12" w14:textId="21E6FB6C"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D4464A" w:rsidRPr="00CA7C54">
              <w:rPr>
                <w:rFonts w:ascii="Arial" w:eastAsia="Arial" w:hAnsi="Arial" w:cs="Arial"/>
                <w:color w:val="000000" w:themeColor="text1"/>
                <w:sz w:val="21"/>
                <w:szCs w:val="21"/>
              </w:rPr>
              <w:t>0</w:t>
            </w:r>
            <w:r w:rsidR="00843600">
              <w:rPr>
                <w:rFonts w:ascii="Arial" w:eastAsia="Arial" w:hAnsi="Arial" w:cs="Arial"/>
                <w:color w:val="000000" w:themeColor="text1"/>
                <w:sz w:val="21"/>
                <w:szCs w:val="21"/>
              </w:rPr>
              <w:t>9</w:t>
            </w:r>
          </w:p>
        </w:tc>
      </w:tr>
      <w:tr w:rsidR="00CA7C54" w:rsidRPr="00CA7C54" w14:paraId="247010B3" w14:textId="77777777" w:rsidTr="001A41CD">
        <w:trPr>
          <w:trHeight w:val="327"/>
        </w:trPr>
        <w:tc>
          <w:tcPr>
            <w:tcW w:w="9067" w:type="dxa"/>
            <w:gridSpan w:val="4"/>
            <w:shd w:val="clear" w:color="auto" w:fill="auto"/>
          </w:tcPr>
          <w:p w14:paraId="4E599DC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ДОДАТОК </w:t>
            </w:r>
            <w:r w:rsidR="0007750C" w:rsidRPr="00CA7C54">
              <w:rPr>
                <w:rFonts w:ascii="Arial" w:eastAsia="Arial" w:hAnsi="Arial" w:cs="Arial"/>
                <w:color w:val="000000" w:themeColor="text1"/>
                <w:sz w:val="21"/>
                <w:szCs w:val="21"/>
              </w:rPr>
              <w:t>Ж</w:t>
            </w:r>
            <w:r w:rsidRPr="00CA7C54">
              <w:rPr>
                <w:rFonts w:ascii="Arial" w:eastAsia="Arial" w:hAnsi="Arial" w:cs="Arial"/>
                <w:color w:val="000000" w:themeColor="text1"/>
                <w:sz w:val="21"/>
                <w:szCs w:val="21"/>
              </w:rPr>
              <w:t xml:space="preserve"> (обов’язковий)</w:t>
            </w:r>
          </w:p>
        </w:tc>
        <w:tc>
          <w:tcPr>
            <w:tcW w:w="714" w:type="dxa"/>
            <w:shd w:val="clear" w:color="auto" w:fill="auto"/>
          </w:tcPr>
          <w:p w14:paraId="5F06D6EC"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0EDD5C29" w14:textId="77777777" w:rsidTr="001A41CD">
        <w:trPr>
          <w:trHeight w:val="327"/>
        </w:trPr>
        <w:tc>
          <w:tcPr>
            <w:tcW w:w="562" w:type="dxa"/>
            <w:shd w:val="clear" w:color="auto" w:fill="auto"/>
          </w:tcPr>
          <w:p w14:paraId="7A3D6B41"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2148A0B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Методика розрахунку запасу стис</w:t>
            </w:r>
            <w:r w:rsidR="00C247A5" w:rsidRPr="00CA7C54">
              <w:rPr>
                <w:rFonts w:ascii="Arial" w:eastAsia="Arial" w:hAnsi="Arial" w:cs="Arial"/>
                <w:color w:val="000000" w:themeColor="text1"/>
                <w:sz w:val="21"/>
                <w:szCs w:val="21"/>
              </w:rPr>
              <w:t>нутого повітря………………………………………</w:t>
            </w:r>
            <w:r w:rsidR="003511B1" w:rsidRPr="00CA7C54">
              <w:rPr>
                <w:rFonts w:ascii="Arial" w:eastAsia="Arial" w:hAnsi="Arial" w:cs="Arial"/>
                <w:color w:val="000000" w:themeColor="text1"/>
                <w:sz w:val="21"/>
                <w:szCs w:val="21"/>
              </w:rPr>
              <w:t>….</w:t>
            </w:r>
          </w:p>
        </w:tc>
        <w:tc>
          <w:tcPr>
            <w:tcW w:w="714" w:type="dxa"/>
            <w:shd w:val="clear" w:color="auto" w:fill="auto"/>
          </w:tcPr>
          <w:p w14:paraId="7A4A48F2" w14:textId="5082FB4E"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43600">
              <w:rPr>
                <w:rFonts w:ascii="Arial" w:eastAsia="Arial" w:hAnsi="Arial" w:cs="Arial"/>
                <w:color w:val="000000" w:themeColor="text1"/>
                <w:sz w:val="21"/>
                <w:szCs w:val="21"/>
              </w:rPr>
              <w:t>11</w:t>
            </w:r>
          </w:p>
        </w:tc>
      </w:tr>
      <w:tr w:rsidR="00CA7C54" w:rsidRPr="00CA7C54" w14:paraId="7A523B75" w14:textId="77777777" w:rsidTr="001A41CD">
        <w:trPr>
          <w:trHeight w:val="283"/>
        </w:trPr>
        <w:tc>
          <w:tcPr>
            <w:tcW w:w="9781" w:type="dxa"/>
            <w:gridSpan w:val="5"/>
            <w:shd w:val="clear" w:color="auto" w:fill="auto"/>
          </w:tcPr>
          <w:p w14:paraId="5D254844" w14:textId="77777777" w:rsidR="000A5939" w:rsidRPr="00CA7C54" w:rsidRDefault="000A5939"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ДОДАТОК </w:t>
            </w:r>
            <w:r w:rsidR="00011FAC" w:rsidRPr="00CA7C54">
              <w:rPr>
                <w:rFonts w:ascii="Arial" w:eastAsia="Arial" w:hAnsi="Arial" w:cs="Arial"/>
                <w:color w:val="000000" w:themeColor="text1"/>
                <w:sz w:val="21"/>
                <w:szCs w:val="21"/>
              </w:rPr>
              <w:t>И</w:t>
            </w:r>
            <w:r w:rsidRPr="00CA7C54">
              <w:rPr>
                <w:rFonts w:ascii="Arial" w:eastAsia="Arial" w:hAnsi="Arial" w:cs="Arial"/>
                <w:color w:val="000000" w:themeColor="text1"/>
                <w:sz w:val="21"/>
                <w:szCs w:val="21"/>
              </w:rPr>
              <w:t xml:space="preserve"> (довідковий)</w:t>
            </w:r>
          </w:p>
        </w:tc>
      </w:tr>
      <w:tr w:rsidR="00CA7C54" w:rsidRPr="00CA7C54" w14:paraId="31B005FB" w14:textId="77777777" w:rsidTr="001A41CD">
        <w:trPr>
          <w:trHeight w:val="451"/>
        </w:trPr>
        <w:tc>
          <w:tcPr>
            <w:tcW w:w="562" w:type="dxa"/>
            <w:shd w:val="clear" w:color="auto" w:fill="auto"/>
          </w:tcPr>
          <w:p w14:paraId="3FBFE0C7" w14:textId="77777777" w:rsidR="000A5939" w:rsidRPr="00CA7C54" w:rsidRDefault="000A5939" w:rsidP="00014AB4">
            <w:pPr>
              <w:spacing w:before="0" w:line="288" w:lineRule="auto"/>
              <w:ind w:firstLine="0"/>
              <w:jc w:val="left"/>
              <w:rPr>
                <w:rFonts w:ascii="Arial" w:hAnsi="Arial" w:cs="Arial"/>
                <w:color w:val="000000" w:themeColor="text1"/>
                <w:sz w:val="21"/>
                <w:szCs w:val="21"/>
              </w:rPr>
            </w:pPr>
          </w:p>
        </w:tc>
        <w:tc>
          <w:tcPr>
            <w:tcW w:w="8505" w:type="dxa"/>
            <w:gridSpan w:val="3"/>
            <w:shd w:val="clear" w:color="auto" w:fill="auto"/>
          </w:tcPr>
          <w:p w14:paraId="3F1F1413" w14:textId="77777777" w:rsidR="000A5939" w:rsidRPr="00CA7C54" w:rsidRDefault="000A5939" w:rsidP="00014AB4">
            <w:pPr>
              <w:spacing w:before="0" w:line="288" w:lineRule="auto"/>
              <w:ind w:firstLine="0"/>
              <w:contextualSpacing/>
              <w:jc w:val="left"/>
              <w:rPr>
                <w:rFonts w:ascii="Arial" w:hAnsi="Arial" w:cs="Arial"/>
                <w:color w:val="000000" w:themeColor="text1"/>
                <w:sz w:val="21"/>
                <w:szCs w:val="21"/>
              </w:rPr>
            </w:pPr>
            <w:r w:rsidRPr="00CA7C54">
              <w:rPr>
                <w:rFonts w:ascii="Arial" w:eastAsia="Arial" w:hAnsi="Arial" w:cs="Arial"/>
                <w:color w:val="000000" w:themeColor="text1"/>
                <w:sz w:val="21"/>
                <w:szCs w:val="21"/>
              </w:rPr>
              <w:t>Бібліографія……………………………………………………………………………………..</w:t>
            </w:r>
          </w:p>
        </w:tc>
        <w:tc>
          <w:tcPr>
            <w:tcW w:w="714" w:type="dxa"/>
            <w:shd w:val="clear" w:color="auto" w:fill="auto"/>
          </w:tcPr>
          <w:p w14:paraId="2651F851" w14:textId="4A71190C" w:rsidR="000A5939" w:rsidRPr="00CA7C54" w:rsidRDefault="001C7CD6" w:rsidP="00014AB4">
            <w:pPr>
              <w:spacing w:before="0" w:line="288" w:lineRule="auto"/>
              <w:ind w:firstLine="0"/>
              <w:jc w:val="left"/>
              <w:rPr>
                <w:rFonts w:ascii="Arial" w:hAnsi="Arial" w:cs="Arial"/>
                <w:color w:val="000000" w:themeColor="text1"/>
                <w:sz w:val="21"/>
                <w:szCs w:val="21"/>
              </w:rPr>
            </w:pPr>
            <w:r w:rsidRPr="00CA7C54">
              <w:rPr>
                <w:rFonts w:ascii="Arial" w:hAnsi="Arial" w:cs="Arial"/>
                <w:color w:val="000000" w:themeColor="text1"/>
                <w:sz w:val="21"/>
                <w:szCs w:val="21"/>
              </w:rPr>
              <w:t>11</w:t>
            </w:r>
            <w:r w:rsidR="00843600">
              <w:rPr>
                <w:rFonts w:ascii="Arial" w:hAnsi="Arial" w:cs="Arial"/>
                <w:color w:val="000000" w:themeColor="text1"/>
                <w:sz w:val="21"/>
                <w:szCs w:val="21"/>
              </w:rPr>
              <w:t>3</w:t>
            </w:r>
          </w:p>
        </w:tc>
      </w:tr>
    </w:tbl>
    <w:p w14:paraId="48E23DC2" w14:textId="77777777" w:rsidR="007E47E7" w:rsidRPr="00CA7C54" w:rsidRDefault="007E47E7">
      <w:pPr>
        <w:ind w:firstLine="9214"/>
        <w:rPr>
          <w:color w:val="000000" w:themeColor="text1"/>
        </w:rPr>
        <w:sectPr w:rsidR="007E47E7" w:rsidRPr="00CA7C54" w:rsidSect="00490E26">
          <w:footerReference w:type="even" r:id="rId22"/>
          <w:footerReference w:type="first" r:id="rId23"/>
          <w:pgSz w:w="11906" w:h="16838" w:code="9"/>
          <w:pgMar w:top="851" w:right="1134" w:bottom="567" w:left="1134" w:header="709" w:footer="709" w:gutter="0"/>
          <w:pgNumType w:start="1"/>
          <w:cols w:space="720"/>
          <w:titlePg/>
          <w:docGrid w:linePitch="299"/>
        </w:sectPr>
      </w:pPr>
    </w:p>
    <w:p w14:paraId="2A681192" w14:textId="77777777" w:rsidR="00694E4D" w:rsidRPr="00CA7C54" w:rsidRDefault="00694E4D">
      <w:pPr>
        <w:ind w:firstLine="9214"/>
        <w:rPr>
          <w:color w:val="000000" w:themeColor="text1"/>
        </w:rPr>
      </w:pPr>
    </w:p>
    <w:p w14:paraId="7576DC90" w14:textId="77777777" w:rsidR="003C4E04" w:rsidRPr="00CA7C54" w:rsidRDefault="00694E4D" w:rsidP="00CF7A05">
      <w:pPr>
        <w:spacing w:before="0" w:line="288" w:lineRule="auto"/>
        <w:ind w:firstLine="0"/>
        <w:contextualSpacing/>
        <w:jc w:val="center"/>
        <w:rPr>
          <w:b/>
          <w:bCs/>
          <w:color w:val="000000" w:themeColor="text1"/>
        </w:rPr>
      </w:pPr>
      <w:bookmarkStart w:id="2" w:name="_heading=h.zgql8uqjq5ii" w:colFirst="0" w:colLast="0"/>
      <w:bookmarkEnd w:id="2"/>
      <w:r w:rsidRPr="00CA7C54">
        <w:rPr>
          <w:b/>
          <w:bCs/>
          <w:color w:val="000000" w:themeColor="text1"/>
        </w:rPr>
        <w:t>ВС</w:t>
      </w:r>
      <w:r w:rsidR="001E748C" w:rsidRPr="00CA7C54">
        <w:rPr>
          <w:b/>
          <w:bCs/>
          <w:color w:val="000000" w:themeColor="text1"/>
        </w:rPr>
        <w:t>ТУП</w:t>
      </w:r>
    </w:p>
    <w:p w14:paraId="6BF867F0"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 xml:space="preserve">Ці </w:t>
      </w:r>
      <w:r w:rsidR="009D5D19" w:rsidRPr="00CA7C54">
        <w:rPr>
          <w:color w:val="000000" w:themeColor="text1"/>
          <w:sz w:val="21"/>
          <w:szCs w:val="21"/>
        </w:rPr>
        <w:t>н</w:t>
      </w:r>
      <w:r w:rsidRPr="00CA7C54">
        <w:rPr>
          <w:color w:val="000000" w:themeColor="text1"/>
          <w:sz w:val="21"/>
          <w:szCs w:val="21"/>
        </w:rPr>
        <w:t>орми встановлюють основні положення щодо проєктування захисних споруд цивільного захисту  (далі – захисні споруди) та споруд подвійного призначення, призначених для укриття населення. Ці норми розроблено  відповідно до вимог Кодексу цивільного захисту України.</w:t>
      </w:r>
    </w:p>
    <w:p w14:paraId="33B8441F"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 xml:space="preserve">Положеннями цих </w:t>
      </w:r>
      <w:r w:rsidR="009D5D19" w:rsidRPr="00CA7C54">
        <w:rPr>
          <w:color w:val="000000" w:themeColor="text1"/>
          <w:sz w:val="21"/>
          <w:szCs w:val="21"/>
        </w:rPr>
        <w:t>н</w:t>
      </w:r>
      <w:r w:rsidRPr="00CA7C54">
        <w:rPr>
          <w:color w:val="000000" w:themeColor="text1"/>
          <w:sz w:val="21"/>
          <w:szCs w:val="21"/>
        </w:rPr>
        <w:t>орм передбачено, що захисні споруди та споруди подвійного призначення (далі –  СПП) про</w:t>
      </w:r>
      <w:r w:rsidR="007655FA" w:rsidRPr="00CA7C54">
        <w:rPr>
          <w:color w:val="000000" w:themeColor="text1"/>
          <w:sz w:val="21"/>
          <w:szCs w:val="21"/>
        </w:rPr>
        <w:t>є</w:t>
      </w:r>
      <w:r w:rsidRPr="00CA7C54">
        <w:rPr>
          <w:color w:val="000000" w:themeColor="text1"/>
          <w:sz w:val="21"/>
          <w:szCs w:val="21"/>
        </w:rPr>
        <w:t>ктуються та будуються таким чином, щоб протягом певного часу (до 48 годин) створити належні умови для перебування людей, що підлягають укриттю, та забезпечити їх захист шляхом виключення або зменшення прогнозованих впливів небезпечних чинників, які можуть виникнути як складова частина небезпечних явищ надзвичайної ситуації, воєнних (бойових) дій та терористичних актів.</w:t>
      </w:r>
    </w:p>
    <w:p w14:paraId="3F1A1C53"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СПП мають бути запро</w:t>
      </w:r>
      <w:r w:rsidR="00E67004" w:rsidRPr="00CA7C54">
        <w:rPr>
          <w:color w:val="000000" w:themeColor="text1"/>
          <w:sz w:val="21"/>
          <w:szCs w:val="21"/>
        </w:rPr>
        <w:t>є</w:t>
      </w:r>
      <w:r w:rsidRPr="00CA7C54">
        <w:rPr>
          <w:color w:val="000000" w:themeColor="text1"/>
          <w:sz w:val="21"/>
          <w:szCs w:val="21"/>
        </w:rPr>
        <w:t xml:space="preserve">ктовані таким чином, що б одночасно задовольняти встановлені вимоги відповідно до обох функціональних призначень та мати захисні властивості сховищ або протирадіаційних укриттів. При проєктуванні СПП поряд з положеннями цих </w:t>
      </w:r>
      <w:r w:rsidR="009D5D19" w:rsidRPr="00CA7C54">
        <w:rPr>
          <w:color w:val="000000" w:themeColor="text1"/>
          <w:sz w:val="21"/>
          <w:szCs w:val="21"/>
        </w:rPr>
        <w:t>н</w:t>
      </w:r>
      <w:r w:rsidRPr="00CA7C54">
        <w:rPr>
          <w:color w:val="000000" w:themeColor="text1"/>
          <w:sz w:val="21"/>
          <w:szCs w:val="21"/>
        </w:rPr>
        <w:t>орм слід також керуватись положеннями будівельних норм, що встановлюють вимоги до будівель або споруд з визначеною функцією (житлова, виробнича, суспільно-громадська тощо), що є основною для них.</w:t>
      </w:r>
    </w:p>
    <w:p w14:paraId="67BD656E"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Ступінь захисту характеризується захисними властивостями захисних споруд, що для небезпечних чинників застосування зброї масового та загального ураження передбачають послаблення радіаційного впливу та захисту від впливу прогнозованого вибуху шляхом забезпечення механічного опору та стійкості конструкцій від ураження уламками та дії рівномірно-розподілених навантажень:</w:t>
      </w:r>
    </w:p>
    <w:p w14:paraId="67E91F86"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зброї масового ураження – надмірний тиск вибухової хвилі, що положеннями норм приводяться до квазістатичного (еквівалентного) рівномірно-розподіленого тиску від 100 кПа до 500 кПа (залежно від класу або групи захисної споруди або споруди подвійного призначення);</w:t>
      </w:r>
    </w:p>
    <w:p w14:paraId="756B4D77"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для засобів звичайного ураження (засоби повітряного ураження, що включають ракети різних типів та баражуючі боєприпаси, боєприпаси реактивних систем залпового вогню та артилерійських снарядів) – надмірний тиск вибухової хвилі, що положеннями цих </w:t>
      </w:r>
      <w:r w:rsidR="006F1ED0" w:rsidRPr="00CA7C54">
        <w:rPr>
          <w:color w:val="000000" w:themeColor="text1"/>
          <w:sz w:val="21"/>
          <w:szCs w:val="21"/>
        </w:rPr>
        <w:t>н</w:t>
      </w:r>
      <w:r w:rsidRPr="00CA7C54">
        <w:rPr>
          <w:color w:val="000000" w:themeColor="text1"/>
          <w:sz w:val="21"/>
          <w:szCs w:val="21"/>
        </w:rPr>
        <w:t>орм приводяться до квазістатичного (еквівалентного) рівномірно-розподіленого навантаження 100 кПа.</w:t>
      </w:r>
    </w:p>
    <w:p w14:paraId="3087BCC0"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Ці </w:t>
      </w:r>
      <w:r w:rsidR="009D5D19" w:rsidRPr="00CA7C54">
        <w:rPr>
          <w:color w:val="000000" w:themeColor="text1"/>
          <w:sz w:val="21"/>
          <w:szCs w:val="21"/>
        </w:rPr>
        <w:t>н</w:t>
      </w:r>
      <w:r w:rsidRPr="00CA7C54">
        <w:rPr>
          <w:color w:val="000000" w:themeColor="text1"/>
          <w:sz w:val="21"/>
          <w:szCs w:val="21"/>
        </w:rPr>
        <w:t>орми не містять розрахункових випадків прямого влучання боєприпасів із вибухом на поверхні чи у безпосередній близькості до стін (покриття) захисних споруд (крім прямого влучання уламків), а також впливу фугасних, направлених вибухів, впливу кумулятивних зарядів, боєприпасів із відкладеним підземним вибухом.</w:t>
      </w:r>
    </w:p>
    <w:p w14:paraId="6260E897"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Для врахування непрогнозованого впливу найбільш небезпечних засобів звичайного ураження положеннями цих </w:t>
      </w:r>
      <w:r w:rsidR="006F1ED0" w:rsidRPr="00CA7C54">
        <w:rPr>
          <w:color w:val="000000" w:themeColor="text1"/>
          <w:sz w:val="21"/>
          <w:szCs w:val="21"/>
        </w:rPr>
        <w:t>н</w:t>
      </w:r>
      <w:r w:rsidRPr="00CA7C54">
        <w:rPr>
          <w:color w:val="000000" w:themeColor="text1"/>
          <w:sz w:val="21"/>
          <w:szCs w:val="21"/>
        </w:rPr>
        <w:t>орм встановлено вимоги щодо визначення мінімальних значень товщин огороджувальних конструкцій, виконаних із різних матеріалів, що приймається конструктивно з метою забезпечення їх механічного опору і уникнення появи ефекту сколювання на внутрішній поверхні стін.</w:t>
      </w:r>
    </w:p>
    <w:p w14:paraId="3AC7D6B3"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Захист від радіаційного впливу у захисних спорудах відповідно положень цих </w:t>
      </w:r>
      <w:r w:rsidR="009D5D19" w:rsidRPr="00CA7C54">
        <w:rPr>
          <w:color w:val="000000" w:themeColor="text1"/>
          <w:sz w:val="21"/>
          <w:szCs w:val="21"/>
        </w:rPr>
        <w:t>н</w:t>
      </w:r>
      <w:r w:rsidRPr="00CA7C54">
        <w:rPr>
          <w:color w:val="000000" w:themeColor="text1"/>
          <w:sz w:val="21"/>
          <w:szCs w:val="21"/>
        </w:rPr>
        <w:t>орм забезпечується шляхом встановлення вимог до об’ємно-планувальних та конструктивних рішень захисних споруд.</w:t>
      </w:r>
    </w:p>
    <w:p w14:paraId="1F8475CF"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Ці </w:t>
      </w:r>
      <w:r w:rsidR="009D5D19" w:rsidRPr="00CA7C54">
        <w:rPr>
          <w:color w:val="000000" w:themeColor="text1"/>
          <w:sz w:val="21"/>
          <w:szCs w:val="21"/>
        </w:rPr>
        <w:t>н</w:t>
      </w:r>
      <w:r w:rsidRPr="00CA7C54">
        <w:rPr>
          <w:color w:val="000000" w:themeColor="text1"/>
          <w:sz w:val="21"/>
          <w:szCs w:val="21"/>
        </w:rPr>
        <w:t xml:space="preserve">орми не виключають можливість використання уточнених або підвищених вимог до захисних споруд та СПП, при цьому зниження встановлених в цих </w:t>
      </w:r>
      <w:r w:rsidR="006F1ED0" w:rsidRPr="00CA7C54">
        <w:rPr>
          <w:color w:val="000000" w:themeColor="text1"/>
          <w:sz w:val="21"/>
          <w:szCs w:val="21"/>
        </w:rPr>
        <w:t>н</w:t>
      </w:r>
      <w:r w:rsidRPr="00CA7C54">
        <w:rPr>
          <w:color w:val="000000" w:themeColor="text1"/>
          <w:sz w:val="21"/>
          <w:szCs w:val="21"/>
        </w:rPr>
        <w:t>ормах вимог не допускається.</w:t>
      </w:r>
    </w:p>
    <w:p w14:paraId="686AA886" w14:textId="77777777" w:rsidR="00B476A0" w:rsidRDefault="001E748C" w:rsidP="00CF7A05">
      <w:pPr>
        <w:pBdr>
          <w:top w:val="nil"/>
          <w:left w:val="nil"/>
          <w:bottom w:val="nil"/>
          <w:right w:val="nil"/>
          <w:between w:val="nil"/>
        </w:pBdr>
        <w:spacing w:before="0" w:line="288" w:lineRule="auto"/>
        <w:ind w:firstLine="595"/>
        <w:contextualSpacing/>
        <w:rPr>
          <w:color w:val="000000" w:themeColor="text1"/>
          <w:sz w:val="21"/>
          <w:szCs w:val="21"/>
        </w:rPr>
      </w:pPr>
      <w:r w:rsidRPr="00CA7C54">
        <w:rPr>
          <w:color w:val="000000" w:themeColor="text1"/>
          <w:sz w:val="21"/>
          <w:szCs w:val="21"/>
        </w:rPr>
        <w:t xml:space="preserve">Ці </w:t>
      </w:r>
      <w:r w:rsidR="009D5D19" w:rsidRPr="00CA7C54">
        <w:rPr>
          <w:color w:val="000000" w:themeColor="text1"/>
          <w:sz w:val="21"/>
          <w:szCs w:val="21"/>
        </w:rPr>
        <w:t>н</w:t>
      </w:r>
      <w:r w:rsidRPr="00CA7C54">
        <w:rPr>
          <w:color w:val="000000" w:themeColor="text1"/>
          <w:sz w:val="21"/>
          <w:szCs w:val="21"/>
        </w:rPr>
        <w:t xml:space="preserve">орми містять положення, що носять обов’язковий, рекомендований та довідковий характер. Обов’язковість позначається словами “повинно“, “потрібно“, “слід“, “має“, “не можна“. Для рекомендованих вимог використані слова у такому контексті: – “як правило“ – вимога, яка означає рекомендоване рішення, а відступ від неї повинен бути обґрунтованим; – “рекомендується“ – вимога, яка означає рекомендоване рішення, та відхилення від якої не потребує додаткових умов; – “можна“ – вимога, яка описує одне з допустимих (альтернативних) технічних рішень; – “допускається“ – вимога, яка визначає, що запропоноване рішення </w:t>
      </w:r>
    </w:p>
    <w:p w14:paraId="6D6D2440" w14:textId="77777777" w:rsidR="00B476A0" w:rsidRDefault="00B476A0" w:rsidP="00CF7A05">
      <w:pPr>
        <w:pBdr>
          <w:top w:val="nil"/>
          <w:left w:val="nil"/>
          <w:bottom w:val="nil"/>
          <w:right w:val="nil"/>
          <w:between w:val="nil"/>
        </w:pBdr>
        <w:spacing w:before="0" w:line="288" w:lineRule="auto"/>
        <w:ind w:firstLine="595"/>
        <w:contextualSpacing/>
        <w:rPr>
          <w:color w:val="000000" w:themeColor="text1"/>
          <w:sz w:val="21"/>
          <w:szCs w:val="21"/>
        </w:rPr>
      </w:pPr>
    </w:p>
    <w:p w14:paraId="37A84571" w14:textId="5ED0056E" w:rsidR="003C4E04" w:rsidRPr="00CA7C54" w:rsidRDefault="001E748C" w:rsidP="00B476A0">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застосовують як виняток, наприклад, унаслідок обмеженої можливості застосування інших рішень. Будівельні норми також містять довідкову інформацію, що пояснює їх положення і не є обов’язковою для виконання.</w:t>
      </w:r>
    </w:p>
    <w:p w14:paraId="4D7CBF37"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 xml:space="preserve">Посилання на нормативні документи (національні стандарти), які стосуються вимог щодо виготовлення містобудівної, проєктної, науково-проєктної та робочої документації, методів проєктування, процесів виконання будівельних робіт, методів випробувань, конструктивних та інженерних систем, в цих </w:t>
      </w:r>
      <w:r w:rsidR="006F1ED0" w:rsidRPr="00CA7C54">
        <w:rPr>
          <w:color w:val="000000" w:themeColor="text1"/>
          <w:sz w:val="21"/>
          <w:szCs w:val="21"/>
        </w:rPr>
        <w:t>н</w:t>
      </w:r>
      <w:r w:rsidRPr="00CA7C54">
        <w:rPr>
          <w:color w:val="000000" w:themeColor="text1"/>
          <w:sz w:val="21"/>
          <w:szCs w:val="21"/>
        </w:rPr>
        <w:t>ормах наведено з метою їх застосування відповідно ЗУ “Про будівельні норми“.</w:t>
      </w:r>
    </w:p>
    <w:p w14:paraId="45C07F8A"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 xml:space="preserve">Посилання на інші нормативні документи (національні стандарти) наведено з метою добровільного їх застосування для підтвердження виконання вимог цих </w:t>
      </w:r>
      <w:r w:rsidR="009D5D19" w:rsidRPr="00CA7C54">
        <w:rPr>
          <w:color w:val="000000" w:themeColor="text1"/>
          <w:sz w:val="21"/>
          <w:szCs w:val="21"/>
        </w:rPr>
        <w:t>н</w:t>
      </w:r>
      <w:r w:rsidRPr="00CA7C54">
        <w:rPr>
          <w:color w:val="000000" w:themeColor="text1"/>
          <w:sz w:val="21"/>
          <w:szCs w:val="21"/>
        </w:rPr>
        <w:t>орм відповідно до ЗУ “Про будівельні норми“ та ЗУ “Про стандартизацію“.</w:t>
      </w:r>
    </w:p>
    <w:p w14:paraId="04E9B3D1" w14:textId="77777777" w:rsidR="009D5D19" w:rsidRPr="00CA7C54" w:rsidRDefault="001E748C" w:rsidP="00CF7A05">
      <w:pPr>
        <w:pBdr>
          <w:top w:val="nil"/>
          <w:left w:val="nil"/>
          <w:bottom w:val="nil"/>
          <w:right w:val="nil"/>
          <w:between w:val="nil"/>
        </w:pBdr>
        <w:spacing w:before="0" w:line="288" w:lineRule="auto"/>
        <w:ind w:firstLine="595"/>
        <w:contextualSpacing/>
        <w:rPr>
          <w:color w:val="000000" w:themeColor="text1"/>
          <w:sz w:val="21"/>
          <w:szCs w:val="21"/>
        </w:rPr>
      </w:pPr>
      <w:r w:rsidRPr="00CA7C54">
        <w:rPr>
          <w:color w:val="000000" w:themeColor="text1"/>
          <w:sz w:val="21"/>
          <w:szCs w:val="21"/>
        </w:rPr>
        <w:t xml:space="preserve">Додаток “Бібліографія“ містить список бібліографічних описів документів, на які є посилання в тексті цих </w:t>
      </w:r>
      <w:r w:rsidR="009D5D19" w:rsidRPr="00CA7C54">
        <w:rPr>
          <w:color w:val="000000" w:themeColor="text1"/>
          <w:sz w:val="21"/>
          <w:szCs w:val="21"/>
        </w:rPr>
        <w:t>н</w:t>
      </w:r>
      <w:r w:rsidRPr="00CA7C54">
        <w:rPr>
          <w:color w:val="000000" w:themeColor="text1"/>
          <w:sz w:val="21"/>
          <w:szCs w:val="21"/>
        </w:rPr>
        <w:t>орм, а також  документи, використані під час їх розроблення.</w:t>
      </w:r>
    </w:p>
    <w:p w14:paraId="14A414DF" w14:textId="77777777" w:rsidR="00694E4D" w:rsidRPr="00CA7C54" w:rsidRDefault="00694E4D" w:rsidP="00CF7A05">
      <w:pPr>
        <w:pBdr>
          <w:top w:val="nil"/>
          <w:left w:val="nil"/>
          <w:bottom w:val="nil"/>
          <w:right w:val="nil"/>
          <w:between w:val="nil"/>
        </w:pBdr>
        <w:spacing w:before="0" w:line="288" w:lineRule="auto"/>
        <w:ind w:firstLine="595"/>
        <w:contextualSpacing/>
        <w:rPr>
          <w:color w:val="000000" w:themeColor="text1"/>
          <w:sz w:val="21"/>
          <w:szCs w:val="21"/>
        </w:rPr>
      </w:pPr>
      <w:r w:rsidRPr="00CA7C54">
        <w:rPr>
          <w:color w:val="000000" w:themeColor="text1"/>
          <w:sz w:val="21"/>
          <w:szCs w:val="21"/>
        </w:rPr>
        <w:br w:type="page"/>
      </w:r>
    </w:p>
    <w:p w14:paraId="75C16E79" w14:textId="77777777" w:rsidR="003C4E04" w:rsidRPr="00CA7C54" w:rsidRDefault="003C4E04"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sectPr w:rsidR="003C4E04" w:rsidRPr="00CA7C54" w:rsidSect="007E47E7">
          <w:headerReference w:type="even" r:id="rId24"/>
          <w:footerReference w:type="even" r:id="rId25"/>
          <w:headerReference w:type="first" r:id="rId26"/>
          <w:footerReference w:type="first" r:id="rId27"/>
          <w:pgSz w:w="11906" w:h="16838" w:code="9"/>
          <w:pgMar w:top="851" w:right="1134" w:bottom="851" w:left="1134" w:header="709" w:footer="709" w:gutter="0"/>
          <w:pgNumType w:start="1"/>
          <w:cols w:space="720"/>
          <w:titlePg/>
          <w:docGrid w:linePitch="299"/>
        </w:sectPr>
      </w:pPr>
    </w:p>
    <w:p w14:paraId="18B81265" w14:textId="77777777" w:rsidR="00CE5FA4" w:rsidRPr="00CE5FA4" w:rsidRDefault="00CE5FA4" w:rsidP="00CE5FA4">
      <w:pPr>
        <w:widowControl w:val="0"/>
        <w:pBdr>
          <w:bottom w:val="thinThickSmallGap" w:sz="24" w:space="1" w:color="auto"/>
        </w:pBdr>
        <w:shd w:val="clear" w:color="auto" w:fill="FFFFFF"/>
        <w:autoSpaceDE w:val="0"/>
        <w:autoSpaceDN w:val="0"/>
        <w:adjustRightInd w:val="0"/>
        <w:spacing w:line="360" w:lineRule="auto"/>
        <w:jc w:val="center"/>
        <w:rPr>
          <w:rFonts w:eastAsia="Times New Roman"/>
          <w:b/>
          <w:color w:val="000000"/>
          <w:sz w:val="25"/>
          <w:szCs w:val="25"/>
          <w:lang w:eastAsia="ru-RU"/>
        </w:rPr>
      </w:pPr>
      <w:r w:rsidRPr="00CE5FA4">
        <w:rPr>
          <w:rFonts w:eastAsia="Times New Roman"/>
          <w:b/>
          <w:color w:val="000000"/>
          <w:sz w:val="25"/>
          <w:szCs w:val="25"/>
          <w:lang w:eastAsia="ru-RU"/>
        </w:rPr>
        <w:lastRenderedPageBreak/>
        <w:t>ДЕРЖАВНІ БУДІВЕЛЬНІ НОРМИ УКРАЇНИ</w:t>
      </w:r>
    </w:p>
    <w:p w14:paraId="68A658AC" w14:textId="77777777" w:rsidR="003C4E04" w:rsidRPr="00CE5FA4" w:rsidRDefault="001E748C" w:rsidP="00CF7A05">
      <w:pPr>
        <w:widowControl w:val="0"/>
        <w:spacing w:before="0" w:line="288" w:lineRule="auto"/>
        <w:ind w:firstLine="0"/>
        <w:contextualSpacing/>
        <w:jc w:val="center"/>
        <w:rPr>
          <w:rFonts w:eastAsia="Calibri"/>
          <w:color w:val="000000" w:themeColor="text1"/>
          <w:sz w:val="23"/>
          <w:szCs w:val="23"/>
        </w:rPr>
      </w:pPr>
      <w:r w:rsidRPr="00CE5FA4">
        <w:rPr>
          <w:rFonts w:eastAsia="Calibri"/>
          <w:b/>
          <w:color w:val="000000" w:themeColor="text1"/>
          <w:sz w:val="23"/>
          <w:szCs w:val="23"/>
        </w:rPr>
        <w:t>ЗАХИСНІ СПОРУДИ ЦИВІЛЬНОГО ЗАХИСТУ</w:t>
      </w:r>
    </w:p>
    <w:p w14:paraId="50A4B03A" w14:textId="77777777" w:rsidR="003C4E04" w:rsidRPr="00CE5FA4" w:rsidRDefault="001E748C" w:rsidP="00CF7A05">
      <w:pPr>
        <w:widowControl w:val="0"/>
        <w:spacing w:before="0" w:line="288" w:lineRule="auto"/>
        <w:ind w:firstLine="0"/>
        <w:contextualSpacing/>
        <w:jc w:val="center"/>
        <w:rPr>
          <w:rFonts w:eastAsia="Calibri"/>
          <w:b/>
          <w:color w:val="000000" w:themeColor="text1"/>
          <w:sz w:val="23"/>
          <w:szCs w:val="23"/>
          <w:highlight w:val="yellow"/>
        </w:rPr>
      </w:pPr>
      <w:r w:rsidRPr="00CE5FA4">
        <w:rPr>
          <w:rFonts w:eastAsia="Calibri"/>
          <w:b/>
          <w:smallCaps/>
          <w:color w:val="000000" w:themeColor="text1"/>
          <w:sz w:val="23"/>
          <w:szCs w:val="23"/>
        </w:rPr>
        <w:t>PROTECTIVE SHELTERS</w:t>
      </w:r>
    </w:p>
    <w:p w14:paraId="59097091" w14:textId="77777777" w:rsidR="003C4E04" w:rsidRPr="00CA7C54" w:rsidRDefault="001E748C" w:rsidP="00F26A06">
      <w:pPr>
        <w:widowControl w:val="0"/>
        <w:spacing w:before="0" w:line="288" w:lineRule="auto"/>
        <w:ind w:left="284" w:hanging="284"/>
        <w:contextualSpacing/>
        <w:jc w:val="center"/>
        <w:rPr>
          <w:rFonts w:eastAsia="Calibri"/>
          <w:color w:val="000000" w:themeColor="text1"/>
          <w:sz w:val="21"/>
          <w:szCs w:val="21"/>
        </w:rPr>
      </w:pPr>
      <w:r w:rsidRPr="00CA7C54">
        <w:rPr>
          <w:rFonts w:eastAsia="Calibri"/>
          <w:color w:val="000000" w:themeColor="text1"/>
          <w:sz w:val="21"/>
          <w:szCs w:val="21"/>
        </w:rPr>
        <w:t>_____________________________________________________________________</w:t>
      </w:r>
      <w:r w:rsidR="0049165E">
        <w:rPr>
          <w:rFonts w:eastAsia="Calibri"/>
          <w:color w:val="000000" w:themeColor="text1"/>
          <w:sz w:val="21"/>
          <w:szCs w:val="21"/>
        </w:rPr>
        <w:t>__</w:t>
      </w:r>
      <w:r w:rsidR="00CE5FA4">
        <w:rPr>
          <w:rFonts w:eastAsia="Calibri"/>
          <w:color w:val="000000" w:themeColor="text1"/>
          <w:sz w:val="21"/>
          <w:szCs w:val="21"/>
        </w:rPr>
        <w:t>___________</w:t>
      </w:r>
    </w:p>
    <w:p w14:paraId="5A306029" w14:textId="3B526F63" w:rsidR="003C4E04" w:rsidRPr="00CA7C54" w:rsidRDefault="001E748C" w:rsidP="00CF7A05">
      <w:pPr>
        <w:widowControl w:val="0"/>
        <w:spacing w:before="0" w:line="288" w:lineRule="auto"/>
        <w:ind w:left="284" w:hanging="284"/>
        <w:contextualSpacing/>
        <w:jc w:val="right"/>
        <w:rPr>
          <w:color w:val="000000" w:themeColor="text1"/>
          <w:sz w:val="21"/>
          <w:szCs w:val="21"/>
        </w:rPr>
      </w:pPr>
      <w:r w:rsidRPr="00CE5FA4">
        <w:rPr>
          <w:b/>
          <w:bCs/>
          <w:color w:val="000000" w:themeColor="text1"/>
          <w:sz w:val="21"/>
          <w:szCs w:val="21"/>
        </w:rPr>
        <w:t>Чинні від</w:t>
      </w:r>
      <w:r w:rsidR="000A2161">
        <w:rPr>
          <w:b/>
          <w:bCs/>
          <w:color w:val="000000" w:themeColor="text1"/>
          <w:sz w:val="21"/>
          <w:szCs w:val="21"/>
        </w:rPr>
        <w:t xml:space="preserve"> </w:t>
      </w:r>
      <w:r w:rsidRPr="00CA7C54">
        <w:rPr>
          <w:b/>
          <w:color w:val="000000" w:themeColor="text1"/>
          <w:sz w:val="21"/>
          <w:szCs w:val="21"/>
          <w:u w:val="single"/>
        </w:rPr>
        <w:t>202</w:t>
      </w:r>
      <w:r w:rsidR="00CF7A05" w:rsidRPr="00CA7C54">
        <w:rPr>
          <w:b/>
          <w:color w:val="000000" w:themeColor="text1"/>
          <w:sz w:val="21"/>
          <w:szCs w:val="21"/>
          <w:u w:val="single"/>
        </w:rPr>
        <w:t>3</w:t>
      </w:r>
      <w:r w:rsidRPr="00CA7C54">
        <w:rPr>
          <w:b/>
          <w:color w:val="000000" w:themeColor="text1"/>
          <w:sz w:val="21"/>
          <w:szCs w:val="21"/>
          <w:u w:val="single"/>
        </w:rPr>
        <w:t>-</w:t>
      </w:r>
      <w:r w:rsidR="003873F3" w:rsidRPr="00CA7C54">
        <w:rPr>
          <w:b/>
          <w:color w:val="000000" w:themeColor="text1"/>
          <w:sz w:val="21"/>
          <w:szCs w:val="21"/>
          <w:u w:val="single"/>
        </w:rPr>
        <w:t>11</w:t>
      </w:r>
      <w:r w:rsidRPr="00CA7C54">
        <w:rPr>
          <w:b/>
          <w:color w:val="000000" w:themeColor="text1"/>
          <w:sz w:val="21"/>
          <w:szCs w:val="21"/>
          <w:u w:val="single"/>
        </w:rPr>
        <w:t>-</w:t>
      </w:r>
      <w:r w:rsidR="00CF7A05" w:rsidRPr="00CA7C54">
        <w:rPr>
          <w:b/>
          <w:color w:val="000000" w:themeColor="text1"/>
          <w:sz w:val="21"/>
          <w:szCs w:val="21"/>
          <w:u w:val="single"/>
        </w:rPr>
        <w:t>01</w:t>
      </w:r>
    </w:p>
    <w:p w14:paraId="0CE5FDE8" w14:textId="77777777" w:rsidR="003C4E04" w:rsidRPr="00CA7C54" w:rsidRDefault="003C4E04" w:rsidP="00CF7A05">
      <w:pPr>
        <w:widowControl w:val="0"/>
        <w:tabs>
          <w:tab w:val="left" w:pos="677"/>
        </w:tabs>
        <w:spacing w:before="0" w:line="288" w:lineRule="auto"/>
        <w:ind w:firstLine="709"/>
        <w:contextualSpacing/>
        <w:rPr>
          <w:rFonts w:eastAsia="Times New Roman"/>
          <w:b/>
          <w:color w:val="000000" w:themeColor="text1"/>
          <w:sz w:val="21"/>
          <w:szCs w:val="21"/>
        </w:rPr>
      </w:pPr>
    </w:p>
    <w:p w14:paraId="6E4A6E2B" w14:textId="77777777" w:rsidR="003C4E04" w:rsidRPr="00CA7C54" w:rsidRDefault="001E748C" w:rsidP="00E35BD6">
      <w:pPr>
        <w:pStyle w:val="2"/>
        <w:spacing w:before="0" w:after="60" w:line="288" w:lineRule="auto"/>
        <w:contextualSpacing/>
        <w:rPr>
          <w:rFonts w:ascii="Arial" w:hAnsi="Arial"/>
          <w:color w:val="000000" w:themeColor="text1"/>
          <w:sz w:val="21"/>
          <w:szCs w:val="21"/>
        </w:rPr>
      </w:pPr>
      <w:bookmarkStart w:id="3" w:name="_heading=h.2s8eyo1" w:colFirst="0" w:colLast="0"/>
      <w:bookmarkEnd w:id="3"/>
      <w:r w:rsidRPr="00CA7C54">
        <w:rPr>
          <w:rFonts w:ascii="Arial" w:hAnsi="Arial"/>
          <w:color w:val="000000" w:themeColor="text1"/>
          <w:sz w:val="22"/>
          <w:szCs w:val="22"/>
        </w:rPr>
        <w:t>1СФЕРА ЗАСТОСУВАННЯ</w:t>
      </w:r>
    </w:p>
    <w:p w14:paraId="38714D00"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1.1</w:t>
      </w:r>
      <w:r w:rsidRPr="00CA7C54">
        <w:rPr>
          <w:color w:val="000000" w:themeColor="text1"/>
          <w:sz w:val="21"/>
          <w:szCs w:val="21"/>
        </w:rPr>
        <w:t xml:space="preserve"> Ці </w:t>
      </w:r>
      <w:r w:rsidR="009D5D19" w:rsidRPr="00CA7C54">
        <w:rPr>
          <w:color w:val="000000" w:themeColor="text1"/>
          <w:sz w:val="21"/>
          <w:szCs w:val="21"/>
        </w:rPr>
        <w:t>н</w:t>
      </w:r>
      <w:r w:rsidRPr="00CA7C54">
        <w:rPr>
          <w:color w:val="000000" w:themeColor="text1"/>
          <w:sz w:val="21"/>
          <w:szCs w:val="21"/>
        </w:rPr>
        <w:t>орми встановлюють вимоги до про</w:t>
      </w:r>
      <w:r w:rsidR="00E67004" w:rsidRPr="00CA7C54">
        <w:rPr>
          <w:color w:val="000000" w:themeColor="text1"/>
          <w:sz w:val="21"/>
          <w:szCs w:val="21"/>
        </w:rPr>
        <w:t>є</w:t>
      </w:r>
      <w:r w:rsidRPr="00CA7C54">
        <w:rPr>
          <w:color w:val="000000" w:themeColor="text1"/>
          <w:sz w:val="21"/>
          <w:szCs w:val="21"/>
        </w:rPr>
        <w:t>ктування та будівництва захисних споруд цивільного захисту (сховищ, протирадіаційних укриттів) та споруд подвійного призначення із захисними властивостями сховищ або протирадіаційних укриттів.</w:t>
      </w:r>
    </w:p>
    <w:p w14:paraId="6DA3C9B2"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1.2</w:t>
      </w:r>
      <w:r w:rsidRPr="00CA7C54">
        <w:rPr>
          <w:color w:val="000000" w:themeColor="text1"/>
          <w:sz w:val="21"/>
          <w:szCs w:val="21"/>
        </w:rPr>
        <w:t xml:space="preserve"> Ці </w:t>
      </w:r>
      <w:r w:rsidR="009D5D19" w:rsidRPr="00CA7C54">
        <w:rPr>
          <w:color w:val="000000" w:themeColor="text1"/>
          <w:sz w:val="21"/>
          <w:szCs w:val="21"/>
        </w:rPr>
        <w:t>н</w:t>
      </w:r>
      <w:r w:rsidRPr="00CA7C54">
        <w:rPr>
          <w:color w:val="000000" w:themeColor="text1"/>
          <w:sz w:val="21"/>
          <w:szCs w:val="21"/>
        </w:rPr>
        <w:t>орми слід застосовувати при новому будівництві та реконструкції захисних споруд цивільного захисту (сховищ, протирадіаційних укриттів) та споруд подвійного призначення із захисними властивостями сховищ або протирадіаційних укриттів.</w:t>
      </w:r>
    </w:p>
    <w:p w14:paraId="3F7DA38E" w14:textId="77777777" w:rsidR="003C4E04" w:rsidRPr="00B271AD" w:rsidRDefault="001E748C" w:rsidP="00CF7A05">
      <w:pPr>
        <w:pBdr>
          <w:top w:val="nil"/>
          <w:left w:val="nil"/>
          <w:bottom w:val="nil"/>
          <w:right w:val="nil"/>
          <w:between w:val="nil"/>
        </w:pBdr>
        <w:spacing w:before="0" w:line="288" w:lineRule="auto"/>
        <w:ind w:firstLine="566"/>
        <w:contextualSpacing/>
        <w:rPr>
          <w:rFonts w:eastAsia="Times New Roman"/>
          <w:sz w:val="21"/>
          <w:szCs w:val="21"/>
        </w:rPr>
      </w:pPr>
      <w:r w:rsidRPr="00CA7C54">
        <w:rPr>
          <w:b/>
          <w:color w:val="000000" w:themeColor="text1"/>
          <w:sz w:val="21"/>
          <w:szCs w:val="21"/>
        </w:rPr>
        <w:t>1.3</w:t>
      </w:r>
      <w:r w:rsidRPr="00CA7C54">
        <w:rPr>
          <w:color w:val="000000" w:themeColor="text1"/>
          <w:sz w:val="21"/>
          <w:szCs w:val="21"/>
        </w:rPr>
        <w:t xml:space="preserve"> При проєктуванні споруд подвійного призначення із захисними властивостями сховищ або протирадіаційних укриттів разом з положеннями цих </w:t>
      </w:r>
      <w:r w:rsidR="009D5D19" w:rsidRPr="00CA7C54">
        <w:rPr>
          <w:color w:val="000000" w:themeColor="text1"/>
          <w:sz w:val="21"/>
          <w:szCs w:val="21"/>
        </w:rPr>
        <w:t>н</w:t>
      </w:r>
      <w:r w:rsidRPr="00CA7C54">
        <w:rPr>
          <w:color w:val="000000" w:themeColor="text1"/>
          <w:sz w:val="21"/>
          <w:szCs w:val="21"/>
        </w:rPr>
        <w:t xml:space="preserve">орм слід  керуватися положеннями будівельних норм, якими встановлено вимоги до  об'єктів відповідно їх основного функціонального </w:t>
      </w:r>
      <w:r w:rsidRPr="00B271AD">
        <w:rPr>
          <w:sz w:val="21"/>
          <w:szCs w:val="21"/>
        </w:rPr>
        <w:t>призначення.</w:t>
      </w:r>
    </w:p>
    <w:p w14:paraId="51F85C05" w14:textId="77777777" w:rsidR="003C4E04" w:rsidRPr="00B271AD" w:rsidRDefault="001E748C" w:rsidP="00CF7A05">
      <w:pPr>
        <w:pBdr>
          <w:top w:val="nil"/>
          <w:left w:val="nil"/>
          <w:bottom w:val="nil"/>
          <w:right w:val="nil"/>
          <w:between w:val="nil"/>
        </w:pBdr>
        <w:spacing w:before="0" w:line="288" w:lineRule="auto"/>
        <w:ind w:firstLine="566"/>
        <w:contextualSpacing/>
        <w:rPr>
          <w:sz w:val="21"/>
          <w:szCs w:val="21"/>
        </w:rPr>
      </w:pPr>
      <w:r w:rsidRPr="00B271AD">
        <w:rPr>
          <w:b/>
          <w:sz w:val="21"/>
          <w:szCs w:val="21"/>
        </w:rPr>
        <w:t>1.4</w:t>
      </w:r>
      <w:r w:rsidRPr="00B271AD">
        <w:rPr>
          <w:sz w:val="21"/>
          <w:szCs w:val="21"/>
        </w:rPr>
        <w:t xml:space="preserve"> Вимоги цих </w:t>
      </w:r>
      <w:r w:rsidR="009D5D19" w:rsidRPr="00B271AD">
        <w:rPr>
          <w:sz w:val="21"/>
          <w:szCs w:val="21"/>
        </w:rPr>
        <w:t>н</w:t>
      </w:r>
      <w:r w:rsidRPr="00B271AD">
        <w:rPr>
          <w:sz w:val="21"/>
          <w:szCs w:val="21"/>
        </w:rPr>
        <w:t xml:space="preserve">орм можуть повністю або частково використовуватися для: </w:t>
      </w:r>
    </w:p>
    <w:p w14:paraId="3FEF1910" w14:textId="77777777" w:rsidR="003C4E04" w:rsidRPr="00B271AD" w:rsidRDefault="001E748C" w:rsidP="00CF7A05">
      <w:pPr>
        <w:pBdr>
          <w:top w:val="nil"/>
          <w:left w:val="nil"/>
          <w:bottom w:val="nil"/>
          <w:right w:val="nil"/>
          <w:between w:val="nil"/>
        </w:pBdr>
        <w:spacing w:before="0" w:line="288" w:lineRule="auto"/>
        <w:ind w:firstLine="566"/>
        <w:contextualSpacing/>
        <w:rPr>
          <w:sz w:val="21"/>
          <w:szCs w:val="21"/>
        </w:rPr>
      </w:pPr>
      <w:r w:rsidRPr="00B271AD">
        <w:rPr>
          <w:sz w:val="21"/>
          <w:szCs w:val="21"/>
        </w:rPr>
        <w:t>проєктування капітального ремонту захисних споруд, СПП (сховищ, протирадіаційних укриттів), інженерних систем та конструкцій з метою відновлення їх експлуатаційних показників;</w:t>
      </w:r>
    </w:p>
    <w:p w14:paraId="52A14E35" w14:textId="77777777" w:rsidR="003C4E04" w:rsidRPr="00B271AD" w:rsidRDefault="001E748C" w:rsidP="00BE6C17">
      <w:pPr>
        <w:pBdr>
          <w:top w:val="nil"/>
          <w:left w:val="nil"/>
          <w:bottom w:val="nil"/>
          <w:right w:val="nil"/>
          <w:between w:val="nil"/>
        </w:pBdr>
        <w:spacing w:before="0" w:line="288" w:lineRule="auto"/>
        <w:contextualSpacing/>
        <w:rPr>
          <w:sz w:val="21"/>
          <w:szCs w:val="21"/>
        </w:rPr>
      </w:pPr>
      <w:r w:rsidRPr="00B271AD">
        <w:rPr>
          <w:sz w:val="21"/>
          <w:szCs w:val="21"/>
        </w:rPr>
        <w:t>проєктування захисних споруд цивільного захисту (сховища, протирадіаційні укриття), які входять до складу запасних пунктів управління міністерств, інших центральних органів виконавчої влади, Ради міністрів Автономної Республіки Крим, обласних, Київської та Севастопольської міських держадміністрацій, з урахуванням особливості їх функціонального призначення (відповідно завдання на проєктування).</w:t>
      </w:r>
    </w:p>
    <w:p w14:paraId="11422777" w14:textId="5F6A449B" w:rsidR="00490E26" w:rsidRPr="00B271AD" w:rsidRDefault="00490E26" w:rsidP="00BE6C17">
      <w:pPr>
        <w:pBdr>
          <w:top w:val="nil"/>
          <w:left w:val="nil"/>
          <w:bottom w:val="nil"/>
          <w:right w:val="nil"/>
          <w:between w:val="nil"/>
        </w:pBdr>
        <w:spacing w:before="0" w:line="288" w:lineRule="auto"/>
        <w:contextualSpacing/>
        <w:rPr>
          <w:rFonts w:eastAsia="Microsoft Sans Serif"/>
          <w:sz w:val="21"/>
          <w:szCs w:val="21"/>
        </w:rPr>
      </w:pPr>
      <w:r w:rsidRPr="00B271AD">
        <w:rPr>
          <w:rFonts w:eastAsia="Microsoft Sans Serif"/>
          <w:sz w:val="21"/>
          <w:szCs w:val="21"/>
        </w:rPr>
        <w:t>Під час проєктування капітального ремонту вимоги цих норм у частині</w:t>
      </w:r>
      <w:r w:rsidR="00686653">
        <w:rPr>
          <w:rFonts w:eastAsia="Microsoft Sans Serif"/>
          <w:sz w:val="21"/>
          <w:szCs w:val="21"/>
        </w:rPr>
        <w:t xml:space="preserve"> </w:t>
      </w:r>
      <w:r w:rsidRPr="00B271AD">
        <w:rPr>
          <w:rFonts w:eastAsia="Microsoft Sans Serif"/>
          <w:sz w:val="21"/>
          <w:szCs w:val="21"/>
        </w:rPr>
        <w:t>інклюзивності, а затехнічної</w:t>
      </w:r>
      <w:r w:rsidR="00686653">
        <w:rPr>
          <w:rFonts w:eastAsia="Microsoft Sans Serif"/>
          <w:sz w:val="21"/>
          <w:szCs w:val="21"/>
        </w:rPr>
        <w:t xml:space="preserve"> </w:t>
      </w:r>
      <w:r w:rsidRPr="00B271AD">
        <w:rPr>
          <w:rFonts w:eastAsia="Microsoft Sans Serif"/>
          <w:sz w:val="21"/>
          <w:szCs w:val="21"/>
        </w:rPr>
        <w:t>неможливості</w:t>
      </w:r>
      <w:r w:rsidR="00686653">
        <w:rPr>
          <w:rFonts w:eastAsia="Microsoft Sans Serif"/>
          <w:sz w:val="21"/>
          <w:szCs w:val="21"/>
        </w:rPr>
        <w:t xml:space="preserve"> </w:t>
      </w:r>
      <w:r w:rsidRPr="00B271AD">
        <w:rPr>
          <w:rFonts w:eastAsia="Microsoft Sans Serif"/>
          <w:sz w:val="21"/>
          <w:szCs w:val="21"/>
        </w:rPr>
        <w:t>їх</w:t>
      </w:r>
      <w:r w:rsidR="00686653">
        <w:rPr>
          <w:rFonts w:eastAsia="Microsoft Sans Serif"/>
          <w:sz w:val="21"/>
          <w:szCs w:val="21"/>
        </w:rPr>
        <w:t xml:space="preserve"> </w:t>
      </w:r>
      <w:r w:rsidRPr="00B271AD">
        <w:rPr>
          <w:rFonts w:eastAsia="Microsoft Sans Serif"/>
          <w:sz w:val="21"/>
          <w:szCs w:val="21"/>
        </w:rPr>
        <w:t>виконання</w:t>
      </w:r>
      <w:r w:rsidR="00B476A0">
        <w:rPr>
          <w:rFonts w:eastAsia="Microsoft Sans Serif"/>
          <w:sz w:val="21"/>
          <w:szCs w:val="21"/>
        </w:rPr>
        <w:t xml:space="preserve"> </w:t>
      </w:r>
      <w:r w:rsidRPr="00B271AD">
        <w:rPr>
          <w:rFonts w:eastAsia="Microsoft Sans Serif"/>
          <w:w w:val="130"/>
          <w:sz w:val="21"/>
          <w:szCs w:val="21"/>
        </w:rPr>
        <w:t>–</w:t>
      </w:r>
      <w:r w:rsidR="00B476A0">
        <w:rPr>
          <w:rFonts w:eastAsia="Microsoft Sans Serif"/>
          <w:w w:val="130"/>
          <w:sz w:val="21"/>
          <w:szCs w:val="21"/>
        </w:rPr>
        <w:t xml:space="preserve"> </w:t>
      </w:r>
      <w:r w:rsidRPr="00B271AD">
        <w:rPr>
          <w:rFonts w:eastAsia="Microsoft Sans Serif"/>
          <w:sz w:val="21"/>
          <w:szCs w:val="21"/>
        </w:rPr>
        <w:t>участині</w:t>
      </w:r>
      <w:r w:rsidR="00686653">
        <w:rPr>
          <w:rFonts w:eastAsia="Microsoft Sans Serif"/>
          <w:sz w:val="21"/>
          <w:szCs w:val="21"/>
        </w:rPr>
        <w:t xml:space="preserve"> </w:t>
      </w:r>
      <w:r w:rsidRPr="00B271AD">
        <w:rPr>
          <w:rFonts w:eastAsia="Microsoft Sans Serif"/>
          <w:sz w:val="21"/>
          <w:szCs w:val="21"/>
        </w:rPr>
        <w:t>заходів</w:t>
      </w:r>
      <w:r w:rsidR="00686653">
        <w:rPr>
          <w:rFonts w:eastAsia="Microsoft Sans Serif"/>
          <w:sz w:val="21"/>
          <w:szCs w:val="21"/>
        </w:rPr>
        <w:t xml:space="preserve"> </w:t>
      </w:r>
      <w:r w:rsidRPr="00B271AD">
        <w:rPr>
          <w:rFonts w:eastAsia="Microsoft Sans Serif"/>
          <w:sz w:val="21"/>
          <w:szCs w:val="21"/>
        </w:rPr>
        <w:t>щодо</w:t>
      </w:r>
      <w:r w:rsidR="00686653">
        <w:rPr>
          <w:rFonts w:eastAsia="Microsoft Sans Serif"/>
          <w:sz w:val="21"/>
          <w:szCs w:val="21"/>
        </w:rPr>
        <w:t xml:space="preserve"> </w:t>
      </w:r>
      <w:r w:rsidRPr="00B271AD">
        <w:rPr>
          <w:rFonts w:eastAsia="Microsoft Sans Serif"/>
          <w:sz w:val="21"/>
          <w:szCs w:val="21"/>
        </w:rPr>
        <w:t>розумного</w:t>
      </w:r>
      <w:r w:rsidR="00686653">
        <w:rPr>
          <w:rFonts w:eastAsia="Microsoft Sans Serif"/>
          <w:sz w:val="21"/>
          <w:szCs w:val="21"/>
        </w:rPr>
        <w:t xml:space="preserve"> </w:t>
      </w:r>
      <w:r w:rsidRPr="00B271AD">
        <w:rPr>
          <w:rFonts w:eastAsia="Microsoft Sans Serif"/>
          <w:sz w:val="21"/>
          <w:szCs w:val="21"/>
        </w:rPr>
        <w:t>пристосування,є</w:t>
      </w:r>
      <w:r w:rsidR="00686653">
        <w:rPr>
          <w:rFonts w:eastAsia="Microsoft Sans Serif"/>
          <w:sz w:val="21"/>
          <w:szCs w:val="21"/>
        </w:rPr>
        <w:t xml:space="preserve"> </w:t>
      </w:r>
      <w:r w:rsidRPr="00B271AD">
        <w:rPr>
          <w:rFonts w:eastAsia="Microsoft Sans Serif"/>
          <w:sz w:val="21"/>
          <w:szCs w:val="21"/>
        </w:rPr>
        <w:t>обов'язковими.</w:t>
      </w:r>
    </w:p>
    <w:p w14:paraId="31F0BC66" w14:textId="77777777" w:rsidR="00490E26" w:rsidRPr="007D72FD" w:rsidRDefault="00490E26" w:rsidP="00BE6C17">
      <w:pPr>
        <w:pBdr>
          <w:top w:val="nil"/>
          <w:left w:val="nil"/>
          <w:bottom w:val="nil"/>
          <w:right w:val="nil"/>
          <w:between w:val="nil"/>
        </w:pBdr>
        <w:spacing w:before="0" w:line="288" w:lineRule="auto"/>
        <w:contextualSpacing/>
        <w:rPr>
          <w:b/>
          <w:bCs/>
          <w:i/>
          <w:iCs/>
          <w:color w:val="00B050"/>
          <w:sz w:val="21"/>
          <w:szCs w:val="21"/>
        </w:rPr>
      </w:pPr>
      <w:r w:rsidRPr="007D72FD">
        <w:rPr>
          <w:rFonts w:eastAsia="Microsoft Sans Serif"/>
          <w:b/>
          <w:bCs/>
          <w:i/>
          <w:iCs/>
          <w:color w:val="00B050"/>
          <w:sz w:val="21"/>
          <w:szCs w:val="21"/>
        </w:rPr>
        <w:t>(Пункт 1.4 змінено, Зміна № 1)</w:t>
      </w:r>
    </w:p>
    <w:p w14:paraId="7B78696C" w14:textId="77777777" w:rsidR="003C4E04" w:rsidRPr="00CA7C54" w:rsidRDefault="001E748C" w:rsidP="00BE6C17">
      <w:pPr>
        <w:pBdr>
          <w:top w:val="nil"/>
          <w:left w:val="nil"/>
          <w:bottom w:val="nil"/>
          <w:right w:val="nil"/>
          <w:between w:val="nil"/>
        </w:pBdr>
        <w:spacing w:before="0" w:line="288" w:lineRule="auto"/>
        <w:contextualSpacing/>
        <w:rPr>
          <w:color w:val="000000" w:themeColor="text1"/>
          <w:sz w:val="21"/>
          <w:szCs w:val="21"/>
        </w:rPr>
      </w:pPr>
      <w:r w:rsidRPr="00B271AD">
        <w:rPr>
          <w:b/>
          <w:sz w:val="21"/>
          <w:szCs w:val="21"/>
        </w:rPr>
        <w:t>1.5</w:t>
      </w:r>
      <w:r w:rsidRPr="00B271AD">
        <w:rPr>
          <w:sz w:val="21"/>
          <w:szCs w:val="21"/>
        </w:rPr>
        <w:t xml:space="preserve"> Вимоги цих </w:t>
      </w:r>
      <w:r w:rsidR="00B20BEE" w:rsidRPr="00B271AD">
        <w:rPr>
          <w:sz w:val="21"/>
          <w:szCs w:val="21"/>
        </w:rPr>
        <w:t>н</w:t>
      </w:r>
      <w:r w:rsidRPr="00B271AD">
        <w:rPr>
          <w:sz w:val="21"/>
          <w:szCs w:val="21"/>
        </w:rPr>
        <w:t xml:space="preserve">орм не поширюються </w:t>
      </w:r>
      <w:r w:rsidRPr="00CA7C54">
        <w:rPr>
          <w:color w:val="000000" w:themeColor="text1"/>
          <w:sz w:val="21"/>
          <w:szCs w:val="21"/>
        </w:rPr>
        <w:t>на:</w:t>
      </w:r>
    </w:p>
    <w:p w14:paraId="5571424E" w14:textId="77777777" w:rsidR="003C4E04" w:rsidRPr="00CA7C54" w:rsidRDefault="001E748C" w:rsidP="00E35BD6">
      <w:pPr>
        <w:pBdr>
          <w:top w:val="nil"/>
          <w:left w:val="nil"/>
          <w:bottom w:val="nil"/>
          <w:right w:val="nil"/>
          <w:between w:val="nil"/>
        </w:pBdr>
        <w:spacing w:before="0" w:after="60" w:line="288" w:lineRule="auto"/>
        <w:contextualSpacing/>
        <w:rPr>
          <w:color w:val="000000" w:themeColor="text1"/>
          <w:sz w:val="21"/>
          <w:szCs w:val="21"/>
        </w:rPr>
      </w:pPr>
      <w:r w:rsidRPr="00CA7C54">
        <w:rPr>
          <w:color w:val="000000" w:themeColor="text1"/>
          <w:sz w:val="21"/>
          <w:szCs w:val="21"/>
        </w:rPr>
        <w:t>споруди, призначені для укриття особового складу військових підрозділів Збройних Сил, Національної гвардії, інших утворених відповідно до законів військових формувань, персоналу установ виконання покарань, слідчих ізоляторів, воєнізованих формувань Державної кримінально-виконавчої служби, засуджених та осіб, узятих під варту, які утримуються в установах виконання покарань та слідчих ізоляторах Державної кримінально-виконавчої служби.</w:t>
      </w:r>
    </w:p>
    <w:p w14:paraId="75097DBA" w14:textId="77777777" w:rsidR="003C4E04" w:rsidRPr="00CA7C54" w:rsidRDefault="001E748C" w:rsidP="00E35BD6">
      <w:pPr>
        <w:pStyle w:val="2"/>
        <w:spacing w:before="0" w:after="60" w:line="288" w:lineRule="auto"/>
        <w:contextualSpacing/>
        <w:rPr>
          <w:rFonts w:ascii="Arial" w:hAnsi="Arial"/>
          <w:color w:val="000000" w:themeColor="text1"/>
          <w:sz w:val="22"/>
          <w:szCs w:val="22"/>
        </w:rPr>
      </w:pPr>
      <w:r w:rsidRPr="00CA7C54">
        <w:rPr>
          <w:rFonts w:ascii="Arial" w:hAnsi="Arial"/>
          <w:color w:val="000000" w:themeColor="text1"/>
          <w:sz w:val="22"/>
          <w:szCs w:val="22"/>
        </w:rPr>
        <w:t>2 НОРМАТИВНІ ПОСИЛАННЯ</w:t>
      </w:r>
    </w:p>
    <w:p w14:paraId="08294F25"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У цих </w:t>
      </w:r>
      <w:r w:rsidR="00E67004" w:rsidRPr="00CA7C54">
        <w:rPr>
          <w:color w:val="000000" w:themeColor="text1"/>
          <w:sz w:val="21"/>
          <w:szCs w:val="21"/>
        </w:rPr>
        <w:t>н</w:t>
      </w:r>
      <w:r w:rsidRPr="00CA7C54">
        <w:rPr>
          <w:color w:val="000000" w:themeColor="text1"/>
          <w:sz w:val="21"/>
          <w:szCs w:val="21"/>
        </w:rPr>
        <w:t>ормах є посилання на такі нормативні акти та  документи:</w:t>
      </w:r>
    </w:p>
    <w:p w14:paraId="33CDFA9C" w14:textId="1A9F4028" w:rsidR="003C4E04" w:rsidRPr="00CA7C54" w:rsidRDefault="00CE589F" w:rsidP="00CF7A05">
      <w:pPr>
        <w:pBdr>
          <w:top w:val="nil"/>
          <w:left w:val="nil"/>
          <w:bottom w:val="nil"/>
          <w:right w:val="nil"/>
          <w:between w:val="nil"/>
        </w:pBdr>
        <w:spacing w:before="0" w:line="288" w:lineRule="auto"/>
        <w:ind w:firstLine="566"/>
        <w:contextualSpacing/>
        <w:rPr>
          <w:color w:val="000000" w:themeColor="text1"/>
          <w:sz w:val="21"/>
          <w:szCs w:val="21"/>
        </w:rPr>
      </w:pPr>
      <w:hyperlink r:id="rId28" w:history="1">
        <w:r w:rsidR="001E748C" w:rsidRPr="00CE589F">
          <w:rPr>
            <w:rStyle w:val="ac"/>
            <w:rFonts w:cs="Arial"/>
            <w:sz w:val="21"/>
            <w:szCs w:val="21"/>
          </w:rPr>
          <w:t>ДБН А.2.2.-3:2014</w:t>
        </w:r>
      </w:hyperlink>
      <w:r w:rsidR="001E748C" w:rsidRPr="00CA7C54">
        <w:rPr>
          <w:color w:val="000000" w:themeColor="text1"/>
          <w:sz w:val="21"/>
          <w:szCs w:val="21"/>
        </w:rPr>
        <w:t xml:space="preserve"> Склад та зміст проектної документації на будівництво </w:t>
      </w:r>
    </w:p>
    <w:p w14:paraId="0014070C" w14:textId="56BC2400" w:rsidR="003C4E04" w:rsidRPr="00CA7C54" w:rsidRDefault="00CE589F"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29" w:history="1">
        <w:r w:rsidR="001E748C" w:rsidRPr="00CE589F">
          <w:rPr>
            <w:rStyle w:val="ac"/>
            <w:rFonts w:cs="Arial"/>
            <w:sz w:val="21"/>
            <w:szCs w:val="21"/>
          </w:rPr>
          <w:t>ДБН Б.1.1-5:2007</w:t>
        </w:r>
      </w:hyperlink>
      <w:r w:rsidR="001E748C" w:rsidRPr="00CA7C54">
        <w:rPr>
          <w:color w:val="000000" w:themeColor="text1"/>
          <w:sz w:val="21"/>
          <w:szCs w:val="21"/>
        </w:rPr>
        <w:t xml:space="preserve"> Склад, зміст, порядок розроблення, погодження та затвердження розділу інженерно-технічних заходів цивільного захисту (цивільного захисту) у містобудівній документації. Частина </w:t>
      </w:r>
      <w:r w:rsidR="00D5191D">
        <w:rPr>
          <w:color w:val="000000" w:themeColor="text1"/>
          <w:sz w:val="21"/>
          <w:szCs w:val="21"/>
        </w:rPr>
        <w:t>1.</w:t>
      </w:r>
      <w:r w:rsidR="001E748C" w:rsidRPr="00CA7C54">
        <w:rPr>
          <w:color w:val="000000" w:themeColor="text1"/>
          <w:sz w:val="21"/>
          <w:szCs w:val="21"/>
        </w:rPr>
        <w:t xml:space="preserve"> (на особливий період) та </w:t>
      </w:r>
      <w:r w:rsidR="00D5191D">
        <w:rPr>
          <w:color w:val="000000" w:themeColor="text1"/>
          <w:sz w:val="21"/>
          <w:szCs w:val="21"/>
        </w:rPr>
        <w:t>Ч</w:t>
      </w:r>
      <w:r w:rsidR="001E748C" w:rsidRPr="00CA7C54">
        <w:rPr>
          <w:color w:val="000000" w:themeColor="text1"/>
          <w:sz w:val="21"/>
          <w:szCs w:val="21"/>
        </w:rPr>
        <w:t xml:space="preserve">астина </w:t>
      </w:r>
      <w:r w:rsidR="00D5191D">
        <w:rPr>
          <w:color w:val="000000" w:themeColor="text1"/>
          <w:sz w:val="21"/>
          <w:szCs w:val="21"/>
        </w:rPr>
        <w:t>2.</w:t>
      </w:r>
      <w:r w:rsidR="001E748C" w:rsidRPr="00CA7C54">
        <w:rPr>
          <w:color w:val="000000" w:themeColor="text1"/>
          <w:sz w:val="21"/>
          <w:szCs w:val="21"/>
        </w:rPr>
        <w:t xml:space="preserve"> (на мирний час)</w:t>
      </w:r>
    </w:p>
    <w:p w14:paraId="1B5EF8B4" w14:textId="47226839" w:rsidR="003C4E04" w:rsidRPr="00CA7C54" w:rsidRDefault="00CE589F"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0" w:history="1">
        <w:r w:rsidR="001E748C" w:rsidRPr="00CE589F">
          <w:rPr>
            <w:rStyle w:val="ac"/>
            <w:rFonts w:cs="Arial"/>
            <w:sz w:val="21"/>
            <w:szCs w:val="21"/>
          </w:rPr>
          <w:t>ДБН Б.2.2-6:2013</w:t>
        </w:r>
      </w:hyperlink>
      <w:r w:rsidR="001E748C" w:rsidRPr="00CA7C54">
        <w:rPr>
          <w:color w:val="000000" w:themeColor="text1"/>
          <w:sz w:val="21"/>
          <w:szCs w:val="21"/>
        </w:rPr>
        <w:t xml:space="preserve"> Склад та зміст схеми санітарного очищення населеного пункту</w:t>
      </w:r>
    </w:p>
    <w:p w14:paraId="2577E4B7" w14:textId="20C2117E" w:rsidR="003C4E04" w:rsidRPr="00CA7C54" w:rsidRDefault="00CE589F"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1" w:history="1">
        <w:r w:rsidR="001E748C" w:rsidRPr="00CE589F">
          <w:rPr>
            <w:rStyle w:val="ac"/>
            <w:rFonts w:cs="Arial"/>
            <w:sz w:val="21"/>
            <w:szCs w:val="21"/>
          </w:rPr>
          <w:t>ДБН Б.2.2-12:2019</w:t>
        </w:r>
      </w:hyperlink>
      <w:r w:rsidR="001E748C" w:rsidRPr="00CA7C54">
        <w:rPr>
          <w:color w:val="000000" w:themeColor="text1"/>
          <w:sz w:val="21"/>
          <w:szCs w:val="21"/>
        </w:rPr>
        <w:t xml:space="preserve"> Планування та забудова територій</w:t>
      </w:r>
    </w:p>
    <w:p w14:paraId="038E00FF" w14:textId="48B63EEE"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2" w:history="1">
        <w:r w:rsidR="001E748C" w:rsidRPr="00171C16">
          <w:rPr>
            <w:rStyle w:val="ac"/>
            <w:rFonts w:cs="Arial"/>
            <w:sz w:val="21"/>
            <w:szCs w:val="21"/>
          </w:rPr>
          <w:t>ДБН В.1.1-7:2016</w:t>
        </w:r>
      </w:hyperlink>
      <w:r w:rsidR="001E748C" w:rsidRPr="00CA7C54">
        <w:rPr>
          <w:color w:val="000000" w:themeColor="text1"/>
          <w:sz w:val="21"/>
          <w:szCs w:val="21"/>
        </w:rPr>
        <w:t xml:space="preserve"> Пожежна безпека об'єктів будівництва. Загальні вимоги</w:t>
      </w:r>
    </w:p>
    <w:p w14:paraId="79C8F92B" w14:textId="3040A6E1"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3" w:history="1">
        <w:r w:rsidR="001E748C" w:rsidRPr="00171C16">
          <w:rPr>
            <w:rStyle w:val="ac"/>
            <w:rFonts w:cs="Arial"/>
            <w:sz w:val="21"/>
            <w:szCs w:val="21"/>
          </w:rPr>
          <w:t>ДБН В.1.1-31:2013</w:t>
        </w:r>
      </w:hyperlink>
      <w:r w:rsidR="001E748C" w:rsidRPr="00CA7C54">
        <w:rPr>
          <w:color w:val="000000" w:themeColor="text1"/>
          <w:sz w:val="21"/>
          <w:szCs w:val="21"/>
        </w:rPr>
        <w:t xml:space="preserve"> Захист територій, будинків і споруд від шуму</w:t>
      </w:r>
    </w:p>
    <w:p w14:paraId="2E0BF237" w14:textId="058355F3" w:rsidR="00AE4E68" w:rsidRDefault="00171C16" w:rsidP="00AE4E68">
      <w:pPr>
        <w:pBdr>
          <w:top w:val="nil"/>
          <w:left w:val="nil"/>
          <w:bottom w:val="nil"/>
          <w:right w:val="nil"/>
          <w:between w:val="nil"/>
        </w:pBdr>
        <w:spacing w:before="0" w:line="288" w:lineRule="auto"/>
        <w:ind w:firstLine="566"/>
        <w:contextualSpacing/>
        <w:rPr>
          <w:color w:val="000000" w:themeColor="text1"/>
          <w:sz w:val="21"/>
          <w:szCs w:val="21"/>
        </w:rPr>
      </w:pPr>
      <w:hyperlink r:id="rId34" w:history="1">
        <w:r w:rsidR="001E748C" w:rsidRPr="00171C16">
          <w:rPr>
            <w:rStyle w:val="ac"/>
            <w:rFonts w:cs="Arial"/>
            <w:sz w:val="21"/>
            <w:szCs w:val="21"/>
          </w:rPr>
          <w:t>ДБН В.1.2-2:2006</w:t>
        </w:r>
      </w:hyperlink>
      <w:r w:rsidR="001E748C" w:rsidRPr="00CA7C54">
        <w:rPr>
          <w:color w:val="000000" w:themeColor="text1"/>
          <w:sz w:val="21"/>
          <w:szCs w:val="21"/>
        </w:rPr>
        <w:t xml:space="preserve"> Навантаження і впливи. Норми </w:t>
      </w:r>
      <w:r w:rsidR="00AE4E68">
        <w:rPr>
          <w:color w:val="000000" w:themeColor="text1"/>
          <w:sz w:val="21"/>
          <w:szCs w:val="21"/>
        </w:rPr>
        <w:t>проектування</w:t>
      </w:r>
    </w:p>
    <w:p w14:paraId="1B57EABF" w14:textId="485DC4AE" w:rsidR="00E35BD6" w:rsidRDefault="00171C16" w:rsidP="00E35BD6">
      <w:pPr>
        <w:pBdr>
          <w:top w:val="nil"/>
          <w:left w:val="nil"/>
          <w:bottom w:val="nil"/>
          <w:right w:val="nil"/>
          <w:between w:val="nil"/>
        </w:pBdr>
        <w:spacing w:before="0" w:line="288" w:lineRule="auto"/>
        <w:ind w:firstLine="566"/>
        <w:contextualSpacing/>
        <w:rPr>
          <w:color w:val="000000" w:themeColor="text1"/>
          <w:sz w:val="21"/>
          <w:szCs w:val="21"/>
        </w:rPr>
      </w:pPr>
      <w:hyperlink r:id="rId35" w:history="1">
        <w:r w:rsidR="00E35BD6" w:rsidRPr="00171C16">
          <w:rPr>
            <w:rStyle w:val="ac"/>
            <w:rFonts w:cs="Arial"/>
            <w:sz w:val="21"/>
            <w:szCs w:val="21"/>
          </w:rPr>
          <w:t>ДБН В.1.2-4:2019</w:t>
        </w:r>
      </w:hyperlink>
      <w:r w:rsidR="00E35BD6" w:rsidRPr="00CA7C54">
        <w:rPr>
          <w:color w:val="000000" w:themeColor="text1"/>
          <w:sz w:val="21"/>
          <w:szCs w:val="21"/>
        </w:rPr>
        <w:t xml:space="preserve"> Інженерно-технічні заходи цивільного захисту</w:t>
      </w:r>
    </w:p>
    <w:p w14:paraId="16D54ECC" w14:textId="77777777" w:rsidR="00531D7C" w:rsidRDefault="00531D7C" w:rsidP="00D852C7">
      <w:pPr>
        <w:pBdr>
          <w:top w:val="nil"/>
          <w:left w:val="nil"/>
          <w:bottom w:val="nil"/>
          <w:right w:val="nil"/>
          <w:between w:val="nil"/>
        </w:pBdr>
        <w:spacing w:before="0" w:line="288" w:lineRule="auto"/>
        <w:ind w:firstLine="0"/>
        <w:contextualSpacing/>
        <w:rPr>
          <w:color w:val="000000" w:themeColor="text1"/>
          <w:sz w:val="21"/>
          <w:szCs w:val="21"/>
        </w:rPr>
      </w:pPr>
      <w:bookmarkStart w:id="4" w:name="_Hlk149315596"/>
      <w:r>
        <w:rPr>
          <w:color w:val="000000" w:themeColor="text1"/>
          <w:sz w:val="21"/>
          <w:szCs w:val="21"/>
        </w:rPr>
        <w:t>_____________________________________________________________________________</w:t>
      </w:r>
      <w:r w:rsidR="00E35BD6">
        <w:rPr>
          <w:color w:val="000000" w:themeColor="text1"/>
          <w:sz w:val="21"/>
          <w:szCs w:val="21"/>
        </w:rPr>
        <w:t>____</w:t>
      </w:r>
    </w:p>
    <w:p w14:paraId="103C9E70" w14:textId="77777777" w:rsidR="00531D7C" w:rsidRPr="00275377" w:rsidRDefault="00531D7C" w:rsidP="00531D7C">
      <w:pPr>
        <w:pBdr>
          <w:top w:val="nil"/>
          <w:left w:val="nil"/>
          <w:bottom w:val="nil"/>
          <w:right w:val="nil"/>
          <w:between w:val="nil"/>
        </w:pBdr>
        <w:spacing w:before="0" w:line="288" w:lineRule="auto"/>
        <w:ind w:firstLine="566"/>
        <w:contextualSpacing/>
        <w:rPr>
          <w:color w:val="000000" w:themeColor="text1"/>
          <w:sz w:val="20"/>
          <w:szCs w:val="20"/>
        </w:rPr>
      </w:pPr>
      <w:r>
        <w:rPr>
          <w:color w:val="000000" w:themeColor="text1"/>
          <w:sz w:val="20"/>
          <w:szCs w:val="20"/>
        </w:rPr>
        <w:t>Видання офіційне</w:t>
      </w:r>
    </w:p>
    <w:bookmarkEnd w:id="4"/>
    <w:p w14:paraId="0096D641" w14:textId="3733FFE9"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lastRenderedPageBreak/>
        <w:fldChar w:fldCharType="begin"/>
      </w:r>
      <w:r>
        <w:rPr>
          <w:color w:val="000000" w:themeColor="text1"/>
          <w:sz w:val="21"/>
          <w:szCs w:val="21"/>
        </w:rPr>
        <w:instrText>HYPERLINK "https://e-construction.gov.ua/laws_detail/3074174554558432858?doc_type=2"</w:instrText>
      </w:r>
      <w:r>
        <w:rPr>
          <w:color w:val="000000" w:themeColor="text1"/>
          <w:sz w:val="21"/>
          <w:szCs w:val="21"/>
        </w:rPr>
      </w:r>
      <w:r>
        <w:rPr>
          <w:color w:val="000000" w:themeColor="text1"/>
          <w:sz w:val="21"/>
          <w:szCs w:val="21"/>
        </w:rPr>
        <w:fldChar w:fldCharType="separate"/>
      </w:r>
      <w:r w:rsidR="001E748C" w:rsidRPr="00171C16">
        <w:rPr>
          <w:rStyle w:val="ac"/>
          <w:rFonts w:cs="Arial"/>
          <w:sz w:val="21"/>
          <w:szCs w:val="21"/>
        </w:rPr>
        <w:t>ДБН В.1.2-8:2021</w:t>
      </w:r>
      <w:r>
        <w:rPr>
          <w:color w:val="000000" w:themeColor="text1"/>
          <w:sz w:val="21"/>
          <w:szCs w:val="21"/>
        </w:rPr>
        <w:fldChar w:fldCharType="end"/>
      </w:r>
      <w:r w:rsidR="001E748C" w:rsidRPr="00CA7C54">
        <w:rPr>
          <w:color w:val="000000" w:themeColor="text1"/>
          <w:sz w:val="21"/>
          <w:szCs w:val="21"/>
        </w:rPr>
        <w:t xml:space="preserve"> Основні вимоги до будівель і споруд. Гігієна, здоров'я та захист довкілля</w:t>
      </w:r>
    </w:p>
    <w:p w14:paraId="35A62B7E" w14:textId="26636A46"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6" w:history="1">
        <w:r w:rsidR="001E748C" w:rsidRPr="00171C16">
          <w:rPr>
            <w:rStyle w:val="ac"/>
            <w:rFonts w:cs="Arial"/>
            <w:sz w:val="21"/>
            <w:szCs w:val="21"/>
          </w:rPr>
          <w:t>ДБН В.1.2-14:2018</w:t>
        </w:r>
      </w:hyperlink>
      <w:r w:rsidR="001E748C" w:rsidRPr="00CA7C54">
        <w:rPr>
          <w:color w:val="000000" w:themeColor="text1"/>
          <w:sz w:val="21"/>
          <w:szCs w:val="21"/>
        </w:rPr>
        <w:t xml:space="preserve"> Загальні принципи забезпечення надійності та конструктивної безпеки будівель і споруд</w:t>
      </w:r>
    </w:p>
    <w:p w14:paraId="42DF5D3C" w14:textId="4541D335"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7" w:history="1">
        <w:r w:rsidR="001E748C" w:rsidRPr="00171C16">
          <w:rPr>
            <w:rStyle w:val="ac"/>
            <w:rFonts w:cs="Arial"/>
            <w:sz w:val="21"/>
            <w:szCs w:val="21"/>
          </w:rPr>
          <w:t>ДБН В.2.1-10:2018</w:t>
        </w:r>
      </w:hyperlink>
      <w:r w:rsidR="001E748C" w:rsidRPr="00CA7C54">
        <w:rPr>
          <w:color w:val="000000" w:themeColor="text1"/>
          <w:sz w:val="21"/>
          <w:szCs w:val="21"/>
        </w:rPr>
        <w:t xml:space="preserve"> Основи і фундаменти будівель та споруд. Основні положення</w:t>
      </w:r>
    </w:p>
    <w:p w14:paraId="0E08B1A6" w14:textId="70FBA5C9" w:rsidR="003C4E04" w:rsidRPr="00CA7C54" w:rsidRDefault="00171C16" w:rsidP="00CF7A05">
      <w:pPr>
        <w:pBdr>
          <w:top w:val="nil"/>
          <w:left w:val="nil"/>
          <w:bottom w:val="nil"/>
          <w:right w:val="nil"/>
          <w:between w:val="nil"/>
        </w:pBdr>
        <w:spacing w:before="0" w:line="288" w:lineRule="auto"/>
        <w:ind w:firstLine="566"/>
        <w:contextualSpacing/>
        <w:rPr>
          <w:color w:val="000000" w:themeColor="text1"/>
          <w:sz w:val="21"/>
          <w:szCs w:val="21"/>
        </w:rPr>
      </w:pPr>
      <w:hyperlink r:id="rId38" w:history="1">
        <w:r w:rsidR="001E748C" w:rsidRPr="00171C16">
          <w:rPr>
            <w:rStyle w:val="ac"/>
            <w:rFonts w:cs="Arial"/>
            <w:sz w:val="21"/>
            <w:szCs w:val="21"/>
          </w:rPr>
          <w:t>ДБН В.2.2-3:2018</w:t>
        </w:r>
      </w:hyperlink>
      <w:r w:rsidR="001E748C" w:rsidRPr="00CA7C54">
        <w:rPr>
          <w:color w:val="000000" w:themeColor="text1"/>
          <w:sz w:val="21"/>
          <w:szCs w:val="21"/>
        </w:rPr>
        <w:t xml:space="preserve"> Будинки і споруди</w:t>
      </w:r>
      <w:r w:rsidR="001E748C" w:rsidRPr="00CA7C54">
        <w:rPr>
          <w:rFonts w:eastAsia="Times New Roman"/>
          <w:color w:val="000000" w:themeColor="text1"/>
          <w:sz w:val="21"/>
          <w:szCs w:val="21"/>
        </w:rPr>
        <w:t xml:space="preserve">. </w:t>
      </w:r>
      <w:r w:rsidR="001E748C" w:rsidRPr="00CA7C54">
        <w:rPr>
          <w:color w:val="000000" w:themeColor="text1"/>
          <w:sz w:val="21"/>
          <w:szCs w:val="21"/>
        </w:rPr>
        <w:t>Заклади освіти</w:t>
      </w:r>
    </w:p>
    <w:p w14:paraId="7E93E187" w14:textId="7DEF56C7" w:rsidR="003C4E04" w:rsidRPr="00CA7C54" w:rsidRDefault="00171C16" w:rsidP="00CF7A05">
      <w:pPr>
        <w:pBdr>
          <w:top w:val="nil"/>
          <w:left w:val="nil"/>
          <w:bottom w:val="nil"/>
          <w:right w:val="nil"/>
          <w:between w:val="nil"/>
        </w:pBdr>
        <w:spacing w:before="0" w:line="288" w:lineRule="auto"/>
        <w:ind w:firstLine="566"/>
        <w:contextualSpacing/>
        <w:rPr>
          <w:color w:val="000000" w:themeColor="text1"/>
          <w:sz w:val="21"/>
          <w:szCs w:val="21"/>
        </w:rPr>
      </w:pPr>
      <w:hyperlink r:id="rId39" w:history="1">
        <w:r w:rsidR="001E748C" w:rsidRPr="00171C16">
          <w:rPr>
            <w:rStyle w:val="ac"/>
            <w:rFonts w:cs="Arial"/>
            <w:sz w:val="21"/>
            <w:szCs w:val="21"/>
          </w:rPr>
          <w:t>ДБН В.2.2-4:2018</w:t>
        </w:r>
      </w:hyperlink>
      <w:r w:rsidR="001E748C" w:rsidRPr="00CA7C54">
        <w:rPr>
          <w:color w:val="000000" w:themeColor="text1"/>
          <w:sz w:val="21"/>
          <w:szCs w:val="21"/>
        </w:rPr>
        <w:t xml:space="preserve"> Будинки і споруди</w:t>
      </w:r>
      <w:r w:rsidR="001E748C" w:rsidRPr="00CA7C54">
        <w:rPr>
          <w:rFonts w:eastAsia="Times New Roman"/>
          <w:color w:val="000000" w:themeColor="text1"/>
          <w:sz w:val="21"/>
          <w:szCs w:val="21"/>
        </w:rPr>
        <w:t xml:space="preserve">. </w:t>
      </w:r>
      <w:r w:rsidR="001E748C" w:rsidRPr="00CA7C54">
        <w:rPr>
          <w:color w:val="000000" w:themeColor="text1"/>
          <w:sz w:val="21"/>
          <w:szCs w:val="21"/>
        </w:rPr>
        <w:t>Заклади дошкільної освіти</w:t>
      </w:r>
    </w:p>
    <w:p w14:paraId="0A3FE90A" w14:textId="315B8F22"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0" w:history="1">
        <w:r w:rsidR="001E748C" w:rsidRPr="00171C16">
          <w:rPr>
            <w:rStyle w:val="ac"/>
            <w:rFonts w:cs="Arial"/>
            <w:sz w:val="21"/>
            <w:szCs w:val="21"/>
          </w:rPr>
          <w:t>ДБН В.2.2-9:2018</w:t>
        </w:r>
      </w:hyperlink>
      <w:r w:rsidR="001E748C" w:rsidRPr="00CA7C54">
        <w:rPr>
          <w:color w:val="000000" w:themeColor="text1"/>
          <w:sz w:val="21"/>
          <w:szCs w:val="21"/>
        </w:rPr>
        <w:t xml:space="preserve"> Громадські будинки та споруди. Основні положення</w:t>
      </w:r>
    </w:p>
    <w:p w14:paraId="50DBD4D0" w14:textId="0F31151E"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1" w:history="1">
        <w:r w:rsidR="001E748C" w:rsidRPr="00171C16">
          <w:rPr>
            <w:rStyle w:val="ac"/>
            <w:rFonts w:cs="Arial"/>
            <w:sz w:val="21"/>
            <w:szCs w:val="21"/>
          </w:rPr>
          <w:t>ДБН В.2.2-10:2022</w:t>
        </w:r>
      </w:hyperlink>
      <w:r w:rsidR="001E748C" w:rsidRPr="00CA7C54">
        <w:rPr>
          <w:color w:val="000000" w:themeColor="text1"/>
          <w:sz w:val="21"/>
          <w:szCs w:val="21"/>
        </w:rPr>
        <w:t xml:space="preserve"> Заклади охорони здоров'я. Основні положення</w:t>
      </w:r>
    </w:p>
    <w:p w14:paraId="1C800189" w14:textId="0D33ECEC"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2" w:history="1">
        <w:r w:rsidR="001E748C" w:rsidRPr="00F36172">
          <w:rPr>
            <w:rStyle w:val="ac"/>
            <w:rFonts w:cs="Arial"/>
            <w:sz w:val="21"/>
            <w:szCs w:val="21"/>
          </w:rPr>
          <w:t>ДБН В.2.2-40:2018</w:t>
        </w:r>
      </w:hyperlink>
      <w:r w:rsidR="001E748C" w:rsidRPr="00171C16">
        <w:rPr>
          <w:color w:val="000000" w:themeColor="text1"/>
          <w:sz w:val="21"/>
          <w:szCs w:val="21"/>
        </w:rPr>
        <w:t xml:space="preserve"> Інклюзивн</w:t>
      </w:r>
      <w:r w:rsidR="001E748C" w:rsidRPr="00CA7C54">
        <w:rPr>
          <w:color w:val="000000" w:themeColor="text1"/>
          <w:sz w:val="21"/>
          <w:szCs w:val="21"/>
        </w:rPr>
        <w:t>ість будівель і споруд. Основні положення</w:t>
      </w:r>
    </w:p>
    <w:p w14:paraId="75C7B3AB" w14:textId="4A6BE439"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3" w:history="1">
        <w:r w:rsidR="001E748C" w:rsidRPr="00F36172">
          <w:rPr>
            <w:rStyle w:val="ac"/>
            <w:rFonts w:cs="Arial"/>
            <w:sz w:val="21"/>
            <w:szCs w:val="21"/>
          </w:rPr>
          <w:t>ДБН В.2.5-23:2010 </w:t>
        </w:r>
      </w:hyperlink>
      <w:r w:rsidR="001E748C" w:rsidRPr="00CA7C54">
        <w:rPr>
          <w:color w:val="000000" w:themeColor="text1"/>
          <w:sz w:val="21"/>
          <w:szCs w:val="21"/>
        </w:rPr>
        <w:t xml:space="preserve"> </w:t>
      </w:r>
      <w:r w:rsidR="00AE4E68">
        <w:rPr>
          <w:color w:val="000000" w:themeColor="text1"/>
          <w:sz w:val="21"/>
          <w:szCs w:val="21"/>
        </w:rPr>
        <w:t>Проекту</w:t>
      </w:r>
      <w:r w:rsidR="001E748C" w:rsidRPr="00CA7C54">
        <w:rPr>
          <w:color w:val="000000" w:themeColor="text1"/>
          <w:sz w:val="21"/>
          <w:szCs w:val="21"/>
        </w:rPr>
        <w:t>вання електрообладнання об`єктів цивільного призначення</w:t>
      </w:r>
    </w:p>
    <w:p w14:paraId="09448B3B" w14:textId="47E3A3AA"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4" w:history="1">
        <w:r w:rsidR="001E748C" w:rsidRPr="00F36172">
          <w:rPr>
            <w:rStyle w:val="ac"/>
            <w:rFonts w:cs="Arial"/>
            <w:sz w:val="21"/>
            <w:szCs w:val="21"/>
          </w:rPr>
          <w:t>ДБН В.2.5-28:2018</w:t>
        </w:r>
      </w:hyperlink>
      <w:r w:rsidR="001E748C" w:rsidRPr="00CA7C54">
        <w:rPr>
          <w:color w:val="000000" w:themeColor="text1"/>
          <w:sz w:val="21"/>
          <w:szCs w:val="21"/>
        </w:rPr>
        <w:t xml:space="preserve"> Природне і штучне освітлення</w:t>
      </w:r>
    </w:p>
    <w:p w14:paraId="259DFD53" w14:textId="36027349"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5" w:history="1">
        <w:r w:rsidR="001E748C" w:rsidRPr="00F36172">
          <w:rPr>
            <w:rStyle w:val="ac"/>
            <w:rFonts w:cs="Arial"/>
            <w:sz w:val="21"/>
            <w:szCs w:val="21"/>
          </w:rPr>
          <w:t>ДБН В.2.5-39:2008</w:t>
        </w:r>
      </w:hyperlink>
      <w:r w:rsidR="001E748C" w:rsidRPr="00CA7C54">
        <w:rPr>
          <w:color w:val="000000" w:themeColor="text1"/>
          <w:sz w:val="21"/>
          <w:szCs w:val="21"/>
        </w:rPr>
        <w:t xml:space="preserve"> Зовнішні мережі та споруди. Теплові мережі</w:t>
      </w:r>
    </w:p>
    <w:p w14:paraId="390C170B" w14:textId="27453DF0"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6" w:history="1">
        <w:r w:rsidR="001E748C" w:rsidRPr="00F36172">
          <w:rPr>
            <w:rStyle w:val="ac"/>
            <w:rFonts w:cs="Arial"/>
            <w:sz w:val="21"/>
            <w:szCs w:val="21"/>
          </w:rPr>
          <w:t>ДБН В.2.5-56:2014</w:t>
        </w:r>
      </w:hyperlink>
      <w:r w:rsidR="001E748C" w:rsidRPr="00CA7C54">
        <w:rPr>
          <w:color w:val="000000" w:themeColor="text1"/>
          <w:sz w:val="21"/>
          <w:szCs w:val="21"/>
        </w:rPr>
        <w:t xml:space="preserve"> Системи протипожежного захисту</w:t>
      </w:r>
    </w:p>
    <w:p w14:paraId="1FDCDC30" w14:textId="00C7A841" w:rsidR="00B20BEE" w:rsidRPr="00CA7C54" w:rsidRDefault="00F36172" w:rsidP="00CF7A05">
      <w:pPr>
        <w:pBdr>
          <w:top w:val="nil"/>
          <w:left w:val="nil"/>
          <w:bottom w:val="nil"/>
          <w:right w:val="nil"/>
          <w:between w:val="nil"/>
        </w:pBdr>
        <w:spacing w:before="0" w:line="288" w:lineRule="auto"/>
        <w:ind w:firstLine="566"/>
        <w:contextualSpacing/>
        <w:rPr>
          <w:color w:val="000000" w:themeColor="text1"/>
          <w:sz w:val="21"/>
          <w:szCs w:val="21"/>
        </w:rPr>
      </w:pPr>
      <w:hyperlink r:id="rId47" w:history="1">
        <w:r w:rsidR="001E748C" w:rsidRPr="00F36172">
          <w:rPr>
            <w:rStyle w:val="ac"/>
            <w:rFonts w:cs="Arial"/>
            <w:sz w:val="21"/>
            <w:szCs w:val="21"/>
          </w:rPr>
          <w:t>ДБН В.2.5-64</w:t>
        </w:r>
        <w:r w:rsidR="00D77D0D" w:rsidRPr="00F36172">
          <w:rPr>
            <w:rStyle w:val="ac"/>
            <w:rFonts w:eastAsia="Times New Roman" w:cs="Arial"/>
            <w:sz w:val="21"/>
            <w:szCs w:val="21"/>
          </w:rPr>
          <w:t>:</w:t>
        </w:r>
        <w:r w:rsidR="001E748C" w:rsidRPr="00F36172">
          <w:rPr>
            <w:rStyle w:val="ac"/>
            <w:rFonts w:eastAsia="Times New Roman" w:cs="Arial"/>
            <w:sz w:val="21"/>
            <w:szCs w:val="21"/>
          </w:rPr>
          <w:t>2012</w:t>
        </w:r>
      </w:hyperlink>
      <w:r w:rsidR="001E748C" w:rsidRPr="00F36172">
        <w:rPr>
          <w:color w:val="000000" w:themeColor="text1"/>
          <w:sz w:val="21"/>
          <w:szCs w:val="21"/>
        </w:rPr>
        <w:t xml:space="preserve"> Внутрішній в</w:t>
      </w:r>
      <w:r w:rsidR="001E748C" w:rsidRPr="00CA7C54">
        <w:rPr>
          <w:color w:val="000000" w:themeColor="text1"/>
          <w:sz w:val="21"/>
          <w:szCs w:val="21"/>
        </w:rPr>
        <w:t xml:space="preserve">одопровід та каналізація. Частина І. </w:t>
      </w:r>
      <w:r w:rsidR="00D77D0D">
        <w:rPr>
          <w:color w:val="000000" w:themeColor="text1"/>
          <w:sz w:val="21"/>
          <w:szCs w:val="21"/>
        </w:rPr>
        <w:t>Проекту</w:t>
      </w:r>
      <w:r w:rsidR="001E748C" w:rsidRPr="00CA7C54">
        <w:rPr>
          <w:color w:val="000000" w:themeColor="text1"/>
          <w:sz w:val="21"/>
          <w:szCs w:val="21"/>
        </w:rPr>
        <w:t xml:space="preserve">вання. </w:t>
      </w:r>
    </w:p>
    <w:p w14:paraId="76F7D315" w14:textId="77777777" w:rsidR="003C4E04" w:rsidRPr="00CA7C54" w:rsidRDefault="001E748C" w:rsidP="00B20BEE">
      <w:pPr>
        <w:pBdr>
          <w:top w:val="nil"/>
          <w:left w:val="nil"/>
          <w:bottom w:val="nil"/>
          <w:right w:val="nil"/>
          <w:between w:val="nil"/>
        </w:pBdr>
        <w:spacing w:before="0" w:line="288" w:lineRule="auto"/>
        <w:ind w:firstLine="0"/>
        <w:contextualSpacing/>
        <w:rPr>
          <w:color w:val="000000" w:themeColor="text1"/>
          <w:sz w:val="21"/>
          <w:szCs w:val="21"/>
        </w:rPr>
      </w:pPr>
      <w:r w:rsidRPr="00CA7C54">
        <w:rPr>
          <w:color w:val="000000" w:themeColor="text1"/>
          <w:sz w:val="21"/>
          <w:szCs w:val="21"/>
        </w:rPr>
        <w:t>Частина ІІ. Будівництво</w:t>
      </w:r>
    </w:p>
    <w:p w14:paraId="1C69CEEF" w14:textId="1CECEC8E"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8" w:history="1">
        <w:r w:rsidR="001E748C" w:rsidRPr="00F36172">
          <w:rPr>
            <w:rStyle w:val="ac"/>
            <w:rFonts w:cs="Arial"/>
            <w:sz w:val="21"/>
            <w:szCs w:val="21"/>
          </w:rPr>
          <w:t>ДБН В.2.5-67</w:t>
        </w:r>
        <w:r w:rsidR="001E748C" w:rsidRPr="00F36172">
          <w:rPr>
            <w:rStyle w:val="ac"/>
            <w:rFonts w:eastAsia="Times New Roman" w:cs="Arial"/>
            <w:sz w:val="21"/>
            <w:szCs w:val="21"/>
          </w:rPr>
          <w:t>:2013</w:t>
        </w:r>
      </w:hyperlink>
      <w:r w:rsidR="001E748C" w:rsidRPr="00F36172">
        <w:rPr>
          <w:color w:val="000000" w:themeColor="text1"/>
          <w:sz w:val="21"/>
          <w:szCs w:val="21"/>
        </w:rPr>
        <w:t xml:space="preserve"> Опалення, в</w:t>
      </w:r>
      <w:r w:rsidR="001E748C" w:rsidRPr="00CA7C54">
        <w:rPr>
          <w:color w:val="000000" w:themeColor="text1"/>
          <w:sz w:val="21"/>
          <w:szCs w:val="21"/>
        </w:rPr>
        <w:t>ентиляція та кондиціонування</w:t>
      </w:r>
    </w:p>
    <w:p w14:paraId="22345582" w14:textId="4AC5C317"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9" w:history="1">
        <w:r w:rsidR="001E748C" w:rsidRPr="00736D55">
          <w:rPr>
            <w:rStyle w:val="ac"/>
            <w:rFonts w:cs="Arial"/>
            <w:sz w:val="21"/>
            <w:szCs w:val="21"/>
          </w:rPr>
          <w:t>ДБН В.2.5-74:2013</w:t>
        </w:r>
      </w:hyperlink>
      <w:r w:rsidR="001E748C" w:rsidRPr="00CA7C54">
        <w:rPr>
          <w:color w:val="000000" w:themeColor="text1"/>
          <w:sz w:val="21"/>
          <w:szCs w:val="21"/>
        </w:rPr>
        <w:t xml:space="preserve"> Водопостачання. Зовнішні мережі та споруди. Основні положення </w:t>
      </w:r>
      <w:r w:rsidR="00D77D0D">
        <w:rPr>
          <w:color w:val="000000" w:themeColor="text1"/>
          <w:sz w:val="21"/>
          <w:szCs w:val="21"/>
        </w:rPr>
        <w:t>проекту</w:t>
      </w:r>
      <w:r w:rsidR="001E748C" w:rsidRPr="00CA7C54">
        <w:rPr>
          <w:color w:val="000000" w:themeColor="text1"/>
          <w:sz w:val="21"/>
          <w:szCs w:val="21"/>
        </w:rPr>
        <w:t>вання</w:t>
      </w:r>
    </w:p>
    <w:p w14:paraId="4CC115EC" w14:textId="1F63B549"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0" w:history="1">
        <w:r w:rsidR="001E748C" w:rsidRPr="00736D55">
          <w:rPr>
            <w:rStyle w:val="ac"/>
            <w:rFonts w:cs="Arial"/>
            <w:sz w:val="21"/>
            <w:szCs w:val="21"/>
          </w:rPr>
          <w:t>ДБН В.2.5-75:2013</w:t>
        </w:r>
      </w:hyperlink>
      <w:r w:rsidR="001E748C" w:rsidRPr="00CA7C54">
        <w:rPr>
          <w:color w:val="000000" w:themeColor="text1"/>
          <w:sz w:val="21"/>
          <w:szCs w:val="21"/>
        </w:rPr>
        <w:t xml:space="preserve"> Каналізація. Зовнішні мережі та споруди. Основні положення </w:t>
      </w:r>
      <w:r w:rsidR="00D77D0D">
        <w:rPr>
          <w:color w:val="000000" w:themeColor="text1"/>
          <w:sz w:val="21"/>
          <w:szCs w:val="21"/>
        </w:rPr>
        <w:t>проекту</w:t>
      </w:r>
      <w:r w:rsidR="001E748C" w:rsidRPr="00CA7C54">
        <w:rPr>
          <w:color w:val="000000" w:themeColor="text1"/>
          <w:sz w:val="21"/>
          <w:szCs w:val="21"/>
        </w:rPr>
        <w:t>вання</w:t>
      </w:r>
    </w:p>
    <w:p w14:paraId="2672D355" w14:textId="3B799E1B"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1" w:history="1">
        <w:r w:rsidR="001E748C" w:rsidRPr="00736D55">
          <w:rPr>
            <w:rStyle w:val="ac"/>
            <w:rFonts w:cs="Arial"/>
            <w:sz w:val="21"/>
            <w:szCs w:val="21"/>
          </w:rPr>
          <w:t>ДБН В.2.6-31:2021</w:t>
        </w:r>
      </w:hyperlink>
      <w:r w:rsidR="001E748C" w:rsidRPr="00CA7C54">
        <w:rPr>
          <w:color w:val="000000" w:themeColor="text1"/>
          <w:sz w:val="21"/>
          <w:szCs w:val="21"/>
        </w:rPr>
        <w:t xml:space="preserve"> Теплова ізоляція та енергоефективність будівель</w:t>
      </w:r>
    </w:p>
    <w:p w14:paraId="1E221A21" w14:textId="2F658DDD"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2" w:history="1">
        <w:r w:rsidR="001E748C" w:rsidRPr="00736D55">
          <w:rPr>
            <w:rStyle w:val="ac"/>
            <w:rFonts w:cs="Arial"/>
            <w:sz w:val="21"/>
            <w:szCs w:val="21"/>
          </w:rPr>
          <w:t>ДБН В.2.6-98:2009</w:t>
        </w:r>
      </w:hyperlink>
      <w:r w:rsidR="001E748C" w:rsidRPr="00CA7C54">
        <w:rPr>
          <w:color w:val="000000" w:themeColor="text1"/>
          <w:sz w:val="21"/>
          <w:szCs w:val="21"/>
        </w:rPr>
        <w:t xml:space="preserve"> Бетонні та залізобетонні конструкції. Основні положення</w:t>
      </w:r>
    </w:p>
    <w:p w14:paraId="1D512AF3" w14:textId="7FE346DE"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3" w:history="1">
        <w:r w:rsidR="001E748C" w:rsidRPr="00736D55">
          <w:rPr>
            <w:rStyle w:val="ac"/>
            <w:rFonts w:cs="Arial"/>
            <w:sz w:val="21"/>
            <w:szCs w:val="21"/>
          </w:rPr>
          <w:t>ДБН В.2.6-162:2010</w:t>
        </w:r>
      </w:hyperlink>
      <w:r w:rsidR="001E748C" w:rsidRPr="00CA7C54">
        <w:rPr>
          <w:color w:val="000000" w:themeColor="text1"/>
          <w:sz w:val="21"/>
          <w:szCs w:val="21"/>
        </w:rPr>
        <w:t xml:space="preserve"> Кам’яні та армокам’яні конструкції. Основні положення</w:t>
      </w:r>
    </w:p>
    <w:p w14:paraId="4DE96047"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ГБН В.2.3-37641918-558:2016. Габіонні конструкції. Проєктування та будівництво</w:t>
      </w:r>
    </w:p>
    <w:p w14:paraId="0D1F5FE2"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ГБН В.2.2-34620942-002:2015. Лінійно-кабельні споруди телекомунікацій. </w:t>
      </w:r>
      <w:r w:rsidR="007E23A8">
        <w:rPr>
          <w:color w:val="000000" w:themeColor="text1"/>
          <w:sz w:val="21"/>
          <w:szCs w:val="21"/>
        </w:rPr>
        <w:t>П</w:t>
      </w:r>
      <w:r w:rsidR="00D77D0D">
        <w:rPr>
          <w:color w:val="000000" w:themeColor="text1"/>
          <w:sz w:val="21"/>
          <w:szCs w:val="21"/>
        </w:rPr>
        <w:t>роекту</w:t>
      </w:r>
      <w:r w:rsidRPr="00CA7C54">
        <w:rPr>
          <w:color w:val="000000" w:themeColor="text1"/>
          <w:sz w:val="21"/>
          <w:szCs w:val="21"/>
        </w:rPr>
        <w:t>вання</w:t>
      </w:r>
    </w:p>
    <w:p w14:paraId="07AE1DA6"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ГБН В.2.3-37641918-544:2014 Автомобільні дороги. Застосування геосинтетичних матеріалів у дорожніх конструкціях. Основні вимоги</w:t>
      </w:r>
    </w:p>
    <w:p w14:paraId="3DB413CA" w14:textId="57D440E0"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4" w:history="1">
        <w:r w:rsidR="001E748C" w:rsidRPr="00736D55">
          <w:rPr>
            <w:rStyle w:val="ac"/>
            <w:rFonts w:cs="Arial"/>
            <w:sz w:val="21"/>
            <w:szCs w:val="21"/>
          </w:rPr>
          <w:t>ДСТУ-Н Б В.1.1-27:2010</w:t>
        </w:r>
      </w:hyperlink>
      <w:r w:rsidR="001E748C" w:rsidRPr="00CA7C54">
        <w:rPr>
          <w:color w:val="000000" w:themeColor="text1"/>
          <w:sz w:val="21"/>
          <w:szCs w:val="21"/>
        </w:rPr>
        <w:t xml:space="preserve"> Будівельна кліматологія</w:t>
      </w:r>
    </w:p>
    <w:p w14:paraId="406805D9" w14:textId="00761D7C"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5" w:history="1">
        <w:r w:rsidR="001E748C" w:rsidRPr="00736D55">
          <w:rPr>
            <w:rStyle w:val="ac"/>
            <w:rFonts w:cs="Arial"/>
            <w:sz w:val="21"/>
            <w:szCs w:val="21"/>
          </w:rPr>
          <w:t>ДСТУ-Н Б В.1.1-32:2013</w:t>
        </w:r>
      </w:hyperlink>
      <w:r w:rsidR="001E748C" w:rsidRPr="00CA7C54">
        <w:rPr>
          <w:color w:val="000000" w:themeColor="text1"/>
          <w:sz w:val="21"/>
          <w:szCs w:val="21"/>
        </w:rPr>
        <w:t xml:space="preserve"> Настанова з </w:t>
      </w:r>
      <w:r w:rsidR="0019616C">
        <w:rPr>
          <w:color w:val="000000" w:themeColor="text1"/>
          <w:sz w:val="21"/>
          <w:szCs w:val="21"/>
        </w:rPr>
        <w:t>проекту</w:t>
      </w:r>
      <w:r w:rsidR="001E748C" w:rsidRPr="00CA7C54">
        <w:rPr>
          <w:color w:val="000000" w:themeColor="text1"/>
          <w:sz w:val="21"/>
          <w:szCs w:val="21"/>
        </w:rPr>
        <w:t xml:space="preserve">вання захисту від шуму в приміщеннях засобами звукопоглинання та </w:t>
      </w:r>
      <w:r w:rsidR="00D77D0D">
        <w:rPr>
          <w:color w:val="000000" w:themeColor="text1"/>
          <w:sz w:val="21"/>
          <w:szCs w:val="21"/>
        </w:rPr>
        <w:t>проект</w:t>
      </w:r>
      <w:r w:rsidR="001E748C" w:rsidRPr="00CA7C54">
        <w:rPr>
          <w:color w:val="000000" w:themeColor="text1"/>
          <w:sz w:val="21"/>
          <w:szCs w:val="21"/>
        </w:rPr>
        <w:t>ування</w:t>
      </w:r>
    </w:p>
    <w:p w14:paraId="71B52B06" w14:textId="7E4E143C"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6" w:history="1">
        <w:r w:rsidR="001E748C" w:rsidRPr="00736D55">
          <w:rPr>
            <w:rStyle w:val="ac"/>
            <w:rFonts w:cs="Arial"/>
            <w:sz w:val="21"/>
            <w:szCs w:val="21"/>
          </w:rPr>
          <w:t>ДСТУ-Н Б В.1.1-33:2013</w:t>
        </w:r>
      </w:hyperlink>
      <w:r w:rsidR="001E748C" w:rsidRPr="00CA7C54">
        <w:rPr>
          <w:color w:val="000000" w:themeColor="text1"/>
          <w:sz w:val="21"/>
          <w:szCs w:val="21"/>
        </w:rPr>
        <w:t xml:space="preserve"> Настанова з розрахунку та </w:t>
      </w:r>
      <w:r w:rsidR="00D77D0D">
        <w:rPr>
          <w:color w:val="000000" w:themeColor="text1"/>
          <w:sz w:val="21"/>
          <w:szCs w:val="21"/>
        </w:rPr>
        <w:t>проектування</w:t>
      </w:r>
      <w:r w:rsidR="001E748C" w:rsidRPr="00CA7C54">
        <w:rPr>
          <w:color w:val="000000" w:themeColor="text1"/>
          <w:sz w:val="21"/>
          <w:szCs w:val="21"/>
        </w:rPr>
        <w:t xml:space="preserve"> захисту від шуму сельбищних територій</w:t>
      </w:r>
    </w:p>
    <w:p w14:paraId="4E40732D" w14:textId="019A7225"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7" w:history="1">
        <w:r w:rsidR="001E748C" w:rsidRPr="00736D55">
          <w:rPr>
            <w:rStyle w:val="ac"/>
            <w:rFonts w:cs="Arial"/>
            <w:sz w:val="21"/>
            <w:szCs w:val="21"/>
          </w:rPr>
          <w:t>ДСТУ-Н Б В.1.1-34:2013</w:t>
        </w:r>
      </w:hyperlink>
      <w:r w:rsidR="001E748C" w:rsidRPr="00CA7C54">
        <w:rPr>
          <w:color w:val="000000" w:themeColor="text1"/>
          <w:sz w:val="21"/>
          <w:szCs w:val="21"/>
        </w:rPr>
        <w:t xml:space="preserve"> Настанова з розрахунку та </w:t>
      </w:r>
      <w:r w:rsidR="00D77D0D">
        <w:rPr>
          <w:color w:val="000000" w:themeColor="text1"/>
          <w:sz w:val="21"/>
          <w:szCs w:val="21"/>
        </w:rPr>
        <w:t>проекту</w:t>
      </w:r>
      <w:r w:rsidR="001E748C" w:rsidRPr="00CA7C54">
        <w:rPr>
          <w:color w:val="000000" w:themeColor="text1"/>
          <w:sz w:val="21"/>
          <w:szCs w:val="21"/>
        </w:rPr>
        <w:t>вання звукоізоляції огороджувальних конструкцій житлових і громадських будинків</w:t>
      </w:r>
    </w:p>
    <w:p w14:paraId="198F51B4" w14:textId="01C06821"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8" w:history="1">
        <w:r w:rsidR="001E748C" w:rsidRPr="00736D55">
          <w:rPr>
            <w:rStyle w:val="ac"/>
            <w:rFonts w:cs="Arial"/>
            <w:sz w:val="21"/>
            <w:szCs w:val="21"/>
          </w:rPr>
          <w:t>ДСТУ-Н Б В.1.1-35:2013</w:t>
        </w:r>
      </w:hyperlink>
      <w:r w:rsidR="001E748C" w:rsidRPr="00CA7C54">
        <w:rPr>
          <w:color w:val="000000" w:themeColor="text1"/>
          <w:sz w:val="21"/>
          <w:szCs w:val="21"/>
        </w:rPr>
        <w:t xml:space="preserve"> Настанова з розрахунку шуму в приміщеннях і на територіях</w:t>
      </w:r>
    </w:p>
    <w:p w14:paraId="2A3E1D64" w14:textId="458057E9"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9" w:history="1">
        <w:r w:rsidR="001E748C" w:rsidRPr="00736D55">
          <w:rPr>
            <w:rStyle w:val="ac"/>
            <w:rFonts w:cs="Arial"/>
            <w:sz w:val="21"/>
            <w:szCs w:val="21"/>
          </w:rPr>
          <w:t>ДСТУ Б В.1.1-36:2016</w:t>
        </w:r>
      </w:hyperlink>
      <w:r w:rsidR="001E748C" w:rsidRPr="00CA7C54">
        <w:rPr>
          <w:color w:val="000000" w:themeColor="text1"/>
          <w:sz w:val="21"/>
          <w:szCs w:val="21"/>
        </w:rPr>
        <w:t xml:space="preserve"> Визначення категорій приміщень, будинків, установок за вибухопожежною та пожежною небезпекою</w:t>
      </w:r>
    </w:p>
    <w:p w14:paraId="2BFA453E" w14:textId="6CCA2FA6"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0" w:history="1">
        <w:r w:rsidR="001E748C" w:rsidRPr="00736D55">
          <w:rPr>
            <w:rStyle w:val="ac"/>
            <w:rFonts w:cs="Arial"/>
            <w:sz w:val="21"/>
            <w:szCs w:val="21"/>
          </w:rPr>
          <w:t>ДСТУ Б В.2.5-82:2016</w:t>
        </w:r>
      </w:hyperlink>
      <w:r w:rsidR="001E748C" w:rsidRPr="00CA7C54">
        <w:rPr>
          <w:color w:val="000000" w:themeColor="text1"/>
          <w:sz w:val="21"/>
          <w:szCs w:val="21"/>
        </w:rPr>
        <w:t xml:space="preserve"> Електробезпека в будівлях і спорудах. Вимоги до захисних заходів від ураження електричним струмом</w:t>
      </w:r>
    </w:p>
    <w:p w14:paraId="3B3F330A" w14:textId="1F229473"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1" w:history="1">
        <w:r w:rsidR="001E748C" w:rsidRPr="00736D55">
          <w:rPr>
            <w:rStyle w:val="ac"/>
            <w:rFonts w:cs="Arial"/>
            <w:sz w:val="21"/>
            <w:szCs w:val="21"/>
          </w:rPr>
          <w:t>ДСТУ Б В.2.6-156:2010</w:t>
        </w:r>
      </w:hyperlink>
      <w:r w:rsidR="001E748C" w:rsidRPr="00CA7C54">
        <w:rPr>
          <w:color w:val="000000" w:themeColor="text1"/>
          <w:sz w:val="21"/>
          <w:szCs w:val="21"/>
        </w:rPr>
        <w:t xml:space="preserve"> Бетонні та залізобетонні конструкції з важкого бетону. Правила </w:t>
      </w:r>
      <w:r w:rsidR="0019616C">
        <w:rPr>
          <w:color w:val="000000" w:themeColor="text1"/>
          <w:sz w:val="21"/>
          <w:szCs w:val="21"/>
        </w:rPr>
        <w:t>п</w:t>
      </w:r>
      <w:r w:rsidR="00D77D0D">
        <w:rPr>
          <w:color w:val="000000" w:themeColor="text1"/>
          <w:sz w:val="21"/>
          <w:szCs w:val="21"/>
        </w:rPr>
        <w:t>роекту</w:t>
      </w:r>
      <w:r w:rsidR="001E748C" w:rsidRPr="00CA7C54">
        <w:rPr>
          <w:color w:val="000000" w:themeColor="text1"/>
          <w:sz w:val="21"/>
          <w:szCs w:val="21"/>
        </w:rPr>
        <w:t>вання</w:t>
      </w:r>
    </w:p>
    <w:p w14:paraId="0295E678" w14:textId="0EAFBCA3"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2" w:history="1">
        <w:r w:rsidR="001E748C" w:rsidRPr="00736D55">
          <w:rPr>
            <w:rStyle w:val="ac"/>
            <w:rFonts w:cs="Arial"/>
            <w:sz w:val="21"/>
            <w:szCs w:val="21"/>
          </w:rPr>
          <w:t>ДСТУ-Н Б В.2.6-218:2016</w:t>
        </w:r>
      </w:hyperlink>
      <w:r w:rsidR="001E748C" w:rsidRPr="00CA7C54">
        <w:rPr>
          <w:color w:val="000000" w:themeColor="text1"/>
          <w:sz w:val="21"/>
          <w:szCs w:val="21"/>
        </w:rPr>
        <w:t xml:space="preserve"> Настанова з </w:t>
      </w:r>
      <w:r w:rsidR="00D77D0D">
        <w:rPr>
          <w:color w:val="000000" w:themeColor="text1"/>
          <w:sz w:val="21"/>
          <w:szCs w:val="21"/>
        </w:rPr>
        <w:t>проекту</w:t>
      </w:r>
      <w:r w:rsidR="001E748C" w:rsidRPr="00CA7C54">
        <w:rPr>
          <w:color w:val="000000" w:themeColor="text1"/>
          <w:sz w:val="21"/>
          <w:szCs w:val="21"/>
        </w:rPr>
        <w:t>вання та виготовлення конструкцій з дисперсноармованого бетону</w:t>
      </w:r>
    </w:p>
    <w:p w14:paraId="4BB74948" w14:textId="51F4C2D4"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3" w:history="1">
        <w:r w:rsidR="001E748C" w:rsidRPr="003F42CB">
          <w:rPr>
            <w:rStyle w:val="ac"/>
            <w:rFonts w:cs="Arial"/>
            <w:sz w:val="21"/>
            <w:szCs w:val="21"/>
          </w:rPr>
          <w:t>ДСТУ 7525:2014</w:t>
        </w:r>
      </w:hyperlink>
      <w:r w:rsidR="001E748C" w:rsidRPr="00CA7C54">
        <w:rPr>
          <w:color w:val="000000" w:themeColor="text1"/>
          <w:sz w:val="21"/>
          <w:szCs w:val="21"/>
        </w:rPr>
        <w:t xml:space="preserve"> Вода питна. Вимоги та методи контролювання якості</w:t>
      </w:r>
    </w:p>
    <w:p w14:paraId="51833822" w14:textId="12C77A88"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4" w:history="1">
        <w:r w:rsidR="001E748C" w:rsidRPr="003F42CB">
          <w:rPr>
            <w:rStyle w:val="ac"/>
            <w:rFonts w:cs="Arial"/>
            <w:sz w:val="21"/>
            <w:szCs w:val="21"/>
          </w:rPr>
          <w:t>ДСТУ 8773:2018</w:t>
        </w:r>
      </w:hyperlink>
      <w:r w:rsidR="001E748C" w:rsidRPr="00CA7C54">
        <w:rPr>
          <w:color w:val="000000" w:themeColor="text1"/>
          <w:sz w:val="21"/>
          <w:szCs w:val="21"/>
        </w:rPr>
        <w:t xml:space="preserve"> Склад та зміст розділу інженерно-технічних заходів цивільного захисту у складі проектної документації на будівництво об’єктів. Основні положення</w:t>
      </w:r>
    </w:p>
    <w:p w14:paraId="320D4D30" w14:textId="626FE912" w:rsidR="003C4E04" w:rsidRPr="00CA7C54" w:rsidRDefault="003F42CB" w:rsidP="00CF7A05">
      <w:pPr>
        <w:pBdr>
          <w:top w:val="nil"/>
          <w:left w:val="nil"/>
          <w:bottom w:val="nil"/>
          <w:right w:val="nil"/>
          <w:between w:val="nil"/>
        </w:pBdr>
        <w:spacing w:before="0" w:line="288" w:lineRule="auto"/>
        <w:contextualSpacing/>
        <w:rPr>
          <w:rFonts w:eastAsia="Times New Roman"/>
          <w:color w:val="000000" w:themeColor="text1"/>
          <w:sz w:val="21"/>
          <w:szCs w:val="21"/>
        </w:rPr>
      </w:pPr>
      <w:hyperlink r:id="rId65" w:history="1">
        <w:r w:rsidR="001E748C" w:rsidRPr="003F42CB">
          <w:rPr>
            <w:rStyle w:val="ac"/>
            <w:rFonts w:cs="Arial"/>
            <w:sz w:val="21"/>
            <w:szCs w:val="21"/>
          </w:rPr>
          <w:t>ДСТУ 8829:2019</w:t>
        </w:r>
        <w:r w:rsidR="001E748C" w:rsidRPr="003F42CB">
          <w:rPr>
            <w:rStyle w:val="ac"/>
            <w:rFonts w:eastAsia="Times New Roman" w:cs="Arial"/>
            <w:sz w:val="21"/>
            <w:szCs w:val="21"/>
          </w:rPr>
          <w:t> </w:t>
        </w:r>
      </w:hyperlink>
      <w:r w:rsidR="001E748C" w:rsidRPr="00CA7C54">
        <w:rPr>
          <w:color w:val="000000" w:themeColor="text1"/>
          <w:sz w:val="21"/>
          <w:szCs w:val="21"/>
        </w:rPr>
        <w:t>Пожежовибухонебезпечність речовин і матеріалів. Номенклатура показників і методи їхнього визначення. Класифікація</w:t>
      </w:r>
    </w:p>
    <w:p w14:paraId="4357064D" w14:textId="3C1FACB3"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6" w:history="1">
        <w:r w:rsidR="001E748C" w:rsidRPr="003F42CB">
          <w:rPr>
            <w:rStyle w:val="ac"/>
            <w:rFonts w:cs="Arial"/>
            <w:sz w:val="21"/>
            <w:szCs w:val="21"/>
          </w:rPr>
          <w:t>ДСТУ 8855:2019</w:t>
        </w:r>
      </w:hyperlink>
      <w:r w:rsidR="001E748C" w:rsidRPr="00CA7C54">
        <w:rPr>
          <w:color w:val="000000" w:themeColor="text1"/>
          <w:sz w:val="21"/>
          <w:szCs w:val="21"/>
        </w:rPr>
        <w:t xml:space="preserve"> Будівлі та споруди. Визначення класу наслідків (відповідальності)</w:t>
      </w:r>
    </w:p>
    <w:p w14:paraId="7C9985F8" w14:textId="2AF2E4C5"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7" w:history="1">
        <w:r w:rsidR="001E748C" w:rsidRPr="003F42CB">
          <w:rPr>
            <w:rStyle w:val="ac"/>
            <w:rFonts w:cs="Arial"/>
            <w:sz w:val="21"/>
            <w:szCs w:val="21"/>
          </w:rPr>
          <w:t>ДСТУ 9077:2021</w:t>
        </w:r>
      </w:hyperlink>
      <w:r w:rsidR="001E748C" w:rsidRPr="00CA7C54">
        <w:rPr>
          <w:color w:val="000000" w:themeColor="text1"/>
          <w:sz w:val="21"/>
          <w:szCs w:val="21"/>
        </w:rPr>
        <w:t xml:space="preserve"> Засоби очищення повітря захисних споруд цивільного захисту. Загальні технічні вимоги</w:t>
      </w:r>
    </w:p>
    <w:p w14:paraId="28B57EAB" w14:textId="031DD392"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8" w:history="1">
        <w:r w:rsidR="001E748C" w:rsidRPr="003F42CB">
          <w:rPr>
            <w:rStyle w:val="ac"/>
            <w:rFonts w:cs="Arial"/>
            <w:sz w:val="21"/>
            <w:szCs w:val="21"/>
          </w:rPr>
          <w:t>ДСТУ ISO 85</w:t>
        </w:r>
        <w:r w:rsidR="001E748C" w:rsidRPr="003F42CB">
          <w:rPr>
            <w:rStyle w:val="ac"/>
            <w:rFonts w:cs="Arial"/>
            <w:sz w:val="21"/>
            <w:szCs w:val="21"/>
          </w:rPr>
          <w:t>2</w:t>
        </w:r>
        <w:r w:rsidR="001E748C" w:rsidRPr="003F42CB">
          <w:rPr>
            <w:rStyle w:val="ac"/>
            <w:rFonts w:cs="Arial"/>
            <w:sz w:val="21"/>
            <w:szCs w:val="21"/>
          </w:rPr>
          <w:t>8-1:2018</w:t>
        </w:r>
      </w:hyperlink>
      <w:r w:rsidR="001E748C" w:rsidRPr="00CA7C54">
        <w:rPr>
          <w:color w:val="000000" w:themeColor="text1"/>
          <w:sz w:val="21"/>
          <w:szCs w:val="21"/>
        </w:rPr>
        <w:t xml:space="preserve"> Генераторні установки змінного струму з приводом від поршневих двигунів внутрішнього згоряння. Частина 1. Застосування, номінальні та робочі характеристики (ISO 8528-1:2018, IDT)</w:t>
      </w:r>
    </w:p>
    <w:p w14:paraId="55C93E76" w14:textId="3614328E" w:rsidR="003C4E04" w:rsidRPr="00CA7C54" w:rsidRDefault="003F42CB" w:rsidP="00CF7A05">
      <w:pPr>
        <w:pBdr>
          <w:top w:val="nil"/>
          <w:left w:val="nil"/>
          <w:bottom w:val="nil"/>
          <w:right w:val="nil"/>
          <w:between w:val="nil"/>
        </w:pBdr>
        <w:spacing w:before="0" w:line="288" w:lineRule="auto"/>
        <w:ind w:firstLine="566"/>
        <w:contextualSpacing/>
        <w:rPr>
          <w:color w:val="000000" w:themeColor="text1"/>
          <w:spacing w:val="-4"/>
          <w:sz w:val="21"/>
          <w:szCs w:val="21"/>
        </w:rPr>
      </w:pPr>
      <w:hyperlink r:id="rId69" w:history="1">
        <w:r w:rsidR="001E748C" w:rsidRPr="003F42CB">
          <w:rPr>
            <w:rStyle w:val="ac"/>
            <w:rFonts w:cs="Arial"/>
            <w:spacing w:val="-4"/>
            <w:sz w:val="21"/>
            <w:szCs w:val="21"/>
          </w:rPr>
          <w:t>ДСТУ ISO 85</w:t>
        </w:r>
        <w:r w:rsidR="001E748C" w:rsidRPr="003F42CB">
          <w:rPr>
            <w:rStyle w:val="ac"/>
            <w:rFonts w:cs="Arial"/>
            <w:spacing w:val="-4"/>
            <w:sz w:val="21"/>
            <w:szCs w:val="21"/>
          </w:rPr>
          <w:t>2</w:t>
        </w:r>
        <w:r w:rsidR="001E748C" w:rsidRPr="003F42CB">
          <w:rPr>
            <w:rStyle w:val="ac"/>
            <w:rFonts w:cs="Arial"/>
            <w:spacing w:val="-4"/>
            <w:sz w:val="21"/>
            <w:szCs w:val="21"/>
          </w:rPr>
          <w:t>8-4:2005</w:t>
        </w:r>
      </w:hyperlink>
      <w:r w:rsidR="001E748C" w:rsidRPr="00CA7C54">
        <w:rPr>
          <w:color w:val="000000" w:themeColor="text1"/>
          <w:spacing w:val="-4"/>
          <w:sz w:val="21"/>
          <w:szCs w:val="21"/>
        </w:rPr>
        <w:t xml:space="preserve"> Установки генераторні змінного струму з приводом від поршневих двигунів внутрішнього згоряння. Частина 4. Контрольно-розподільчі пристрої (ІSO 8528-4:1993, ІDT)</w:t>
      </w:r>
    </w:p>
    <w:p w14:paraId="246E14A1" w14:textId="2917D858" w:rsidR="004A1B36" w:rsidRPr="00CA7C54" w:rsidRDefault="003F42CB" w:rsidP="004A1B36">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70" w:history="1">
        <w:r w:rsidR="004A1B36" w:rsidRPr="003F42CB">
          <w:rPr>
            <w:rStyle w:val="ac"/>
            <w:rFonts w:cs="Arial"/>
            <w:sz w:val="21"/>
            <w:szCs w:val="21"/>
          </w:rPr>
          <w:t>ДСТУ EN 81-22:2022</w:t>
        </w:r>
      </w:hyperlink>
      <w:r w:rsidR="004A1B36" w:rsidRPr="00CA7C54">
        <w:rPr>
          <w:color w:val="000000" w:themeColor="text1"/>
          <w:sz w:val="21"/>
          <w:szCs w:val="21"/>
        </w:rPr>
        <w:t xml:space="preserve"> (EN 81-22:2021. IDT)  Правила безпеки для конструкції та встановлення ліфтів. Ліфти для перевезення людей і вантажів. Частина 22. Пасажирські та вантажопасажирські ліфти з похилою траєкторією руху </w:t>
      </w:r>
    </w:p>
    <w:p w14:paraId="2E1A1D36" w14:textId="427F653D" w:rsidR="003C4E04" w:rsidRPr="00CA7C54" w:rsidRDefault="003F42CB" w:rsidP="004A1B36">
      <w:pPr>
        <w:pBdr>
          <w:top w:val="nil"/>
          <w:left w:val="nil"/>
          <w:bottom w:val="nil"/>
          <w:right w:val="nil"/>
          <w:between w:val="nil"/>
        </w:pBdr>
        <w:spacing w:before="0" w:line="288" w:lineRule="auto"/>
        <w:ind w:firstLine="566"/>
        <w:contextualSpacing/>
        <w:jc w:val="left"/>
        <w:rPr>
          <w:rFonts w:eastAsia="Times New Roman"/>
          <w:color w:val="000000" w:themeColor="text1"/>
          <w:sz w:val="21"/>
          <w:szCs w:val="21"/>
          <w:highlight w:val="white"/>
        </w:rPr>
      </w:pPr>
      <w:hyperlink r:id="rId71" w:history="1">
        <w:r w:rsidR="001E748C" w:rsidRPr="003F42CB">
          <w:rPr>
            <w:rStyle w:val="ac"/>
            <w:rFonts w:cs="Arial"/>
            <w:sz w:val="21"/>
            <w:szCs w:val="21"/>
          </w:rPr>
          <w:t>ДСТУ EN 81-40:2022</w:t>
        </w:r>
      </w:hyperlink>
      <w:r w:rsidR="001E748C" w:rsidRPr="00CA7C54">
        <w:rPr>
          <w:color w:val="000000" w:themeColor="text1"/>
          <w:sz w:val="21"/>
          <w:szCs w:val="21"/>
        </w:rPr>
        <w:t xml:space="preserve"> Безпечність конструкції та експлуатування ліфтів. Ліфти для транс</w:t>
      </w:r>
      <w:r w:rsidR="001E748C" w:rsidRPr="00CA7C54">
        <w:rPr>
          <w:color w:val="000000" w:themeColor="text1"/>
          <w:sz w:val="21"/>
          <w:szCs w:val="21"/>
          <w:highlight w:val="white"/>
        </w:rPr>
        <w:t>портування осіб та вантажів. Частина 40. Сходові підіймачі та похилі підіймальні платформи для осіб з обмеженою рухливістю (EN 81-40:2020, IDT)</w:t>
      </w:r>
    </w:p>
    <w:p w14:paraId="3ADF675A" w14:textId="1856E2DE"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hyperlink r:id="rId72" w:history="1">
        <w:r w:rsidR="001E748C" w:rsidRPr="003F42CB">
          <w:rPr>
            <w:rStyle w:val="ac"/>
            <w:rFonts w:cs="Arial"/>
            <w:sz w:val="21"/>
            <w:szCs w:val="21"/>
            <w:highlight w:val="white"/>
          </w:rPr>
          <w:t>ДСТУ EN 81-41:2016</w:t>
        </w:r>
      </w:hyperlink>
      <w:r w:rsidR="001E748C" w:rsidRPr="00CA7C54">
        <w:rPr>
          <w:color w:val="000000" w:themeColor="text1"/>
          <w:sz w:val="21"/>
          <w:szCs w:val="21"/>
          <w:highlight w:val="white"/>
        </w:rPr>
        <w:t xml:space="preserve"> Норми безпеки до конструкцій та експлуатації ліфтів. Спеціальні ліфти для перевезення людей та вантажів. Частина 41. Вертикальні підіймальні платформи, що використовуються особами з обмеженою рухливістю (EN 81-41:2010, IDT)</w:t>
      </w:r>
    </w:p>
    <w:p w14:paraId="278CAD28" w14:textId="35C55F92" w:rsidR="003C4E04" w:rsidRPr="00CA7C54" w:rsidRDefault="003F42CB" w:rsidP="00CF7A05">
      <w:pPr>
        <w:pBdr>
          <w:top w:val="nil"/>
          <w:left w:val="nil"/>
          <w:bottom w:val="nil"/>
          <w:right w:val="nil"/>
          <w:between w:val="nil"/>
        </w:pBdr>
        <w:spacing w:before="0" w:line="288" w:lineRule="auto"/>
        <w:ind w:firstLine="566"/>
        <w:contextualSpacing/>
        <w:rPr>
          <w:color w:val="000000" w:themeColor="text1"/>
          <w:sz w:val="21"/>
          <w:szCs w:val="21"/>
        </w:rPr>
      </w:pPr>
      <w:hyperlink r:id="rId73" w:history="1">
        <w:r w:rsidR="001E748C" w:rsidRPr="003F42CB">
          <w:rPr>
            <w:rStyle w:val="ac"/>
            <w:rFonts w:cs="Arial"/>
            <w:sz w:val="21"/>
            <w:szCs w:val="21"/>
            <w:highlight w:val="white"/>
          </w:rPr>
          <w:t>ДСТУ EN 81-70:2019</w:t>
        </w:r>
      </w:hyperlink>
      <w:r w:rsidR="001E748C" w:rsidRPr="00CA7C54">
        <w:rPr>
          <w:color w:val="000000" w:themeColor="text1"/>
          <w:sz w:val="21"/>
          <w:szCs w:val="21"/>
          <w:highlight w:val="white"/>
        </w:rPr>
        <w:t xml:space="preserve"> Норми безпеки до конструкції та експлуатації ліфтів. Специфічне використання пасажирських і вантажно-пасажирс</w:t>
      </w:r>
      <w:r w:rsidR="001E748C" w:rsidRPr="00CA7C54">
        <w:rPr>
          <w:color w:val="000000" w:themeColor="text1"/>
          <w:sz w:val="21"/>
          <w:szCs w:val="21"/>
        </w:rPr>
        <w:t>ьких ліфтів. Частина 70. Зручність доступу до ліфтів пасажирів, зокрема осіб з обмеженими фізичними можливостями (EN 81-70:2003, IDT)</w:t>
      </w:r>
    </w:p>
    <w:p w14:paraId="5ADB999E" w14:textId="3C577EA6" w:rsidR="003C4E04" w:rsidRPr="00CA7C54" w:rsidRDefault="003F42CB" w:rsidP="00CF7A05">
      <w:pPr>
        <w:pBdr>
          <w:top w:val="nil"/>
          <w:left w:val="nil"/>
          <w:bottom w:val="nil"/>
          <w:right w:val="nil"/>
          <w:between w:val="nil"/>
        </w:pBdr>
        <w:spacing w:before="0" w:line="288" w:lineRule="auto"/>
        <w:ind w:firstLine="570"/>
        <w:contextualSpacing/>
        <w:rPr>
          <w:color w:val="000000" w:themeColor="text1"/>
          <w:sz w:val="21"/>
          <w:szCs w:val="21"/>
        </w:rPr>
      </w:pPr>
      <w:hyperlink r:id="rId74" w:history="1">
        <w:r w:rsidR="001E748C" w:rsidRPr="003F42CB">
          <w:rPr>
            <w:rStyle w:val="ac"/>
            <w:rFonts w:cs="Arial"/>
            <w:sz w:val="21"/>
            <w:szCs w:val="21"/>
          </w:rPr>
          <w:t>ДСТУ EN 81-70:2022</w:t>
        </w:r>
      </w:hyperlink>
      <w:r w:rsidR="001E748C" w:rsidRPr="00CA7C54">
        <w:rPr>
          <w:color w:val="000000" w:themeColor="text1"/>
          <w:sz w:val="21"/>
          <w:szCs w:val="21"/>
        </w:rPr>
        <w:t xml:space="preserve"> (EN 81-70:2021, IDT)  Правила безпеки для конструкції та монтажу ліфтів. Особливі застосування для пасажирських і вантажопасажирських ліфтів. Частина 70. Доступ до ліфтів для осіб, включаючи осіб з обмеженими можливостями</w:t>
      </w:r>
    </w:p>
    <w:p w14:paraId="35A1242E" w14:textId="3D305CAB" w:rsidR="003C4E04" w:rsidRPr="00CA7C54" w:rsidRDefault="003F42CB"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75" w:history="1">
        <w:r w:rsidR="001E748C" w:rsidRPr="003F42CB">
          <w:rPr>
            <w:rStyle w:val="ac"/>
            <w:rFonts w:cs="Arial"/>
            <w:sz w:val="21"/>
            <w:szCs w:val="21"/>
          </w:rPr>
          <w:t>ДСТУ EN 81-71:2022</w:t>
        </w:r>
      </w:hyperlink>
      <w:r w:rsidR="001E748C" w:rsidRPr="00CA7C54">
        <w:rPr>
          <w:color w:val="000000" w:themeColor="text1"/>
          <w:sz w:val="21"/>
          <w:szCs w:val="21"/>
        </w:rPr>
        <w:t xml:space="preserve"> (EN 81-71:2022. IDT) Правила безпеки для конструкції та монтажу ліфтів. Особливе застосування до пасажирських ліфтів і вантажних пасажирських ліфтів.</w:t>
      </w:r>
      <w:r w:rsidR="001E748C" w:rsidRPr="00CA7C54">
        <w:rPr>
          <w:color w:val="000000" w:themeColor="text1"/>
          <w:sz w:val="21"/>
          <w:szCs w:val="21"/>
        </w:rPr>
        <w:br/>
        <w:t>Частина 71. Вандалонепроникні ліфти</w:t>
      </w:r>
    </w:p>
    <w:p w14:paraId="01F5D421" w14:textId="688860EF"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76" w:history="1">
        <w:r w:rsidR="001E748C" w:rsidRPr="003F42CB">
          <w:rPr>
            <w:rStyle w:val="ac"/>
            <w:rFonts w:cs="Arial"/>
            <w:sz w:val="21"/>
            <w:szCs w:val="21"/>
          </w:rPr>
          <w:t>ДСТУ CEN/TS 81-76:2022</w:t>
        </w:r>
      </w:hyperlink>
      <w:r w:rsidR="001E748C" w:rsidRPr="00CA7C54">
        <w:rPr>
          <w:color w:val="000000" w:themeColor="text1"/>
          <w:sz w:val="21"/>
          <w:szCs w:val="21"/>
        </w:rPr>
        <w:t xml:space="preserve"> (CEN/TS 81-76:2011. IDT)  Правила безпеки для конструкції та монтажу ліфтів. Особливі застосування для пасажирських і вантажопасажпрських ліфтів. Частина 76. Евакуація осіб з обмеженими можливостями за допомогою ліфтів</w:t>
      </w:r>
    </w:p>
    <w:p w14:paraId="4ED79A2E" w14:textId="67D96A6C" w:rsidR="003C4E04" w:rsidRPr="00CA7C54" w:rsidRDefault="003F42CB" w:rsidP="00CF7A05">
      <w:pPr>
        <w:pBdr>
          <w:top w:val="nil"/>
          <w:left w:val="nil"/>
          <w:bottom w:val="nil"/>
          <w:right w:val="nil"/>
          <w:between w:val="nil"/>
        </w:pBdr>
        <w:spacing w:before="0" w:line="288" w:lineRule="auto"/>
        <w:ind w:firstLine="566"/>
        <w:contextualSpacing/>
        <w:rPr>
          <w:color w:val="000000" w:themeColor="text1"/>
          <w:sz w:val="21"/>
          <w:szCs w:val="21"/>
        </w:rPr>
      </w:pPr>
      <w:hyperlink r:id="rId77" w:history="1">
        <w:r w:rsidR="001E748C" w:rsidRPr="003F42CB">
          <w:rPr>
            <w:rStyle w:val="ac"/>
            <w:rFonts w:cs="Arial"/>
            <w:spacing w:val="-4"/>
            <w:sz w:val="21"/>
            <w:szCs w:val="21"/>
          </w:rPr>
          <w:t>ДСТУ EN 12158-1:2022</w:t>
        </w:r>
      </w:hyperlink>
      <w:r w:rsidR="001E748C" w:rsidRPr="00CA7C54">
        <w:rPr>
          <w:color w:val="000000" w:themeColor="text1"/>
          <w:spacing w:val="-4"/>
          <w:sz w:val="21"/>
          <w:szCs w:val="21"/>
        </w:rPr>
        <w:t xml:space="preserve"> (EN 12158-1:2021, IDT)  Підйомники будівельні для вантажів. Частина 1</w:t>
      </w:r>
      <w:r w:rsidR="00376FE3" w:rsidRPr="00CA7C54">
        <w:rPr>
          <w:color w:val="000000" w:themeColor="text1"/>
          <w:spacing w:val="-4"/>
          <w:sz w:val="21"/>
          <w:szCs w:val="21"/>
        </w:rPr>
        <w:t>.</w:t>
      </w:r>
      <w:r w:rsidR="001E748C" w:rsidRPr="00CA7C54">
        <w:rPr>
          <w:color w:val="000000" w:themeColor="text1"/>
          <w:spacing w:val="-4"/>
          <w:sz w:val="21"/>
          <w:szCs w:val="21"/>
        </w:rPr>
        <w:t xml:space="preserve"> Підйомн</w:t>
      </w:r>
      <w:r w:rsidR="001E748C" w:rsidRPr="00CA7C54">
        <w:rPr>
          <w:color w:val="000000" w:themeColor="text1"/>
          <w:sz w:val="21"/>
          <w:szCs w:val="21"/>
        </w:rPr>
        <w:t>ики з доступними платформами</w:t>
      </w:r>
    </w:p>
    <w:p w14:paraId="4042A64A" w14:textId="31A6011F"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78" w:history="1">
        <w:r w:rsidR="001E748C" w:rsidRPr="003F42CB">
          <w:rPr>
            <w:rStyle w:val="ac"/>
            <w:rFonts w:cs="Arial"/>
            <w:sz w:val="21"/>
            <w:szCs w:val="21"/>
          </w:rPr>
          <w:t>ДСТУ EN 1838:2019</w:t>
        </w:r>
      </w:hyperlink>
      <w:r w:rsidR="001E748C" w:rsidRPr="00CA7C54">
        <w:rPr>
          <w:color w:val="000000" w:themeColor="text1"/>
          <w:sz w:val="21"/>
          <w:szCs w:val="21"/>
        </w:rPr>
        <w:t xml:space="preserve"> Світлотехніка. Освітлення аварійне (EN 1838:2013, IDT)</w:t>
      </w:r>
    </w:p>
    <w:p w14:paraId="57F22B9D" w14:textId="605C32D2" w:rsidR="003C4E04" w:rsidRPr="00CA7C54" w:rsidRDefault="000A2161"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79" w:history="1">
        <w:r w:rsidR="001E748C" w:rsidRPr="000A2161">
          <w:rPr>
            <w:rStyle w:val="ac"/>
            <w:rFonts w:cs="Arial"/>
            <w:sz w:val="21"/>
            <w:szCs w:val="21"/>
          </w:rPr>
          <w:t>ДСТУ EN 12101-2:2012</w:t>
        </w:r>
      </w:hyperlink>
      <w:r w:rsidR="001E748C" w:rsidRPr="00CA7C54">
        <w:rPr>
          <w:color w:val="000000" w:themeColor="text1"/>
          <w:sz w:val="21"/>
          <w:szCs w:val="21"/>
        </w:rPr>
        <w:t xml:space="preserve"> Системи димо- та тепловидалення. Частина 2. Технічні вимоги до вентиляційних пристроїв систем природного димо- та тепловидалення (EN 12101-2:2003, IDT)</w:t>
      </w:r>
    </w:p>
    <w:p w14:paraId="008011DC" w14:textId="2FAC00A9"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0" w:history="1">
        <w:r w:rsidR="001E748C" w:rsidRPr="000A2161">
          <w:rPr>
            <w:rStyle w:val="ac"/>
            <w:rFonts w:cs="Arial"/>
            <w:sz w:val="21"/>
            <w:szCs w:val="21"/>
          </w:rPr>
          <w:t>ДСТУ EN 12464-1:2016</w:t>
        </w:r>
      </w:hyperlink>
      <w:r w:rsidR="001E748C" w:rsidRPr="00CA7C54">
        <w:rPr>
          <w:color w:val="000000" w:themeColor="text1"/>
          <w:sz w:val="21"/>
          <w:szCs w:val="21"/>
        </w:rPr>
        <w:t xml:space="preserve"> Світло та освітлення. Освітлення робочих місць. Частина 1. Внутрішні робочі місця (EN 12464-1:2011, IDT)</w:t>
      </w:r>
    </w:p>
    <w:p w14:paraId="4C39E702" w14:textId="511195D6"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1" w:history="1">
        <w:r w:rsidR="001E748C" w:rsidRPr="000A2161">
          <w:rPr>
            <w:rStyle w:val="ac"/>
            <w:rFonts w:cs="Arial"/>
            <w:sz w:val="21"/>
            <w:szCs w:val="21"/>
          </w:rPr>
          <w:t>ДСТУ EN 13501-6:2019</w:t>
        </w:r>
      </w:hyperlink>
      <w:r w:rsidR="001E748C" w:rsidRPr="00CA7C54">
        <w:rPr>
          <w:color w:val="000000" w:themeColor="text1"/>
          <w:sz w:val="21"/>
          <w:szCs w:val="21"/>
        </w:rPr>
        <w:t xml:space="preserve"> Пожежна класифікація будівельних виробів і будівельних конструкцій. Частина 6. Класифікація за результатами випробування щодо реакції на вогонь кабелів силових, контрольних та зв’язку (EN 13501-6:2018, IDT)</w:t>
      </w:r>
    </w:p>
    <w:p w14:paraId="64601982" w14:textId="1EB88437"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2" w:history="1">
        <w:r w:rsidR="001E748C" w:rsidRPr="000A2161">
          <w:rPr>
            <w:rStyle w:val="ac"/>
            <w:rFonts w:cs="Arial"/>
            <w:sz w:val="21"/>
            <w:szCs w:val="21"/>
          </w:rPr>
          <w:t>ДСТУ EN 50172:2019</w:t>
        </w:r>
      </w:hyperlink>
      <w:r w:rsidR="001E748C" w:rsidRPr="00CA7C54">
        <w:rPr>
          <w:color w:val="000000" w:themeColor="text1"/>
          <w:sz w:val="21"/>
          <w:szCs w:val="21"/>
        </w:rPr>
        <w:t xml:space="preserve"> Системи евакуаційного освітлення (EN 50172:2004, IDT)</w:t>
      </w:r>
    </w:p>
    <w:p w14:paraId="55BF771A" w14:textId="0206DE3B"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3" w:history="1">
        <w:r w:rsidR="001E748C" w:rsidRPr="000A2161">
          <w:rPr>
            <w:rStyle w:val="ac"/>
            <w:rFonts w:cs="Arial"/>
            <w:spacing w:val="-4"/>
            <w:sz w:val="21"/>
            <w:szCs w:val="21"/>
          </w:rPr>
          <w:t>ДСТУ EN 61643-11:2015</w:t>
        </w:r>
      </w:hyperlink>
      <w:r w:rsidR="001E748C" w:rsidRPr="00CA7C54">
        <w:rPr>
          <w:color w:val="000000" w:themeColor="text1"/>
          <w:spacing w:val="-4"/>
          <w:sz w:val="21"/>
          <w:szCs w:val="21"/>
        </w:rPr>
        <w:t xml:space="preserve"> Пристрої захисту від імпульсних перенапруг низьковольтні. </w:t>
      </w:r>
      <w:r>
        <w:rPr>
          <w:color w:val="000000" w:themeColor="text1"/>
          <w:spacing w:val="-4"/>
          <w:sz w:val="21"/>
          <w:szCs w:val="21"/>
        </w:rPr>
        <w:t xml:space="preserve">                 </w:t>
      </w:r>
      <w:r w:rsidR="001E748C" w:rsidRPr="00CA7C54">
        <w:rPr>
          <w:color w:val="000000" w:themeColor="text1"/>
          <w:spacing w:val="-4"/>
          <w:sz w:val="21"/>
          <w:szCs w:val="21"/>
        </w:rPr>
        <w:t>Частина 11. Прис</w:t>
      </w:r>
      <w:r w:rsidR="001E748C" w:rsidRPr="00CA7C54">
        <w:rPr>
          <w:color w:val="000000" w:themeColor="text1"/>
          <w:sz w:val="21"/>
          <w:szCs w:val="21"/>
        </w:rPr>
        <w:t>трої захисту від імпульсних перенапруг, підключені до низьковольтних електромереж. Вимоги та методи випробування (EN 61643-11:2012/A11:2018, IDT)</w:t>
      </w:r>
    </w:p>
    <w:p w14:paraId="2D490959" w14:textId="214A8A8D"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4" w:history="1">
        <w:r w:rsidR="001E748C" w:rsidRPr="000A2161">
          <w:rPr>
            <w:rStyle w:val="ac"/>
            <w:rFonts w:cs="Arial"/>
            <w:sz w:val="21"/>
            <w:szCs w:val="21"/>
          </w:rPr>
          <w:t>ДСТУ CLC/TS 61643-12:2015</w:t>
        </w:r>
      </w:hyperlink>
      <w:r w:rsidR="001E748C" w:rsidRPr="00CA7C54">
        <w:rPr>
          <w:color w:val="000000" w:themeColor="text1"/>
          <w:sz w:val="21"/>
          <w:szCs w:val="21"/>
        </w:rPr>
        <w:t xml:space="preserve"> Пристрої захисту від імпульсних перенапруг низьковольтні. Частина 12. Пристрої захисту від імпульсних перенапруг, підключені до низьковольтних розподільчих систем. Принципи вибору та застосування (CLC/TS 61643-12:2009, IDT);</w:t>
      </w:r>
    </w:p>
    <w:p w14:paraId="65F85A32" w14:textId="20075A11"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5" w:history="1">
        <w:r w:rsidR="001E748C" w:rsidRPr="000A2161">
          <w:rPr>
            <w:rStyle w:val="ac"/>
            <w:rFonts w:cs="Arial"/>
            <w:sz w:val="21"/>
            <w:szCs w:val="21"/>
          </w:rPr>
          <w:t>ДСТУ EN 62305-4:2012</w:t>
        </w:r>
      </w:hyperlink>
      <w:r w:rsidR="001E748C" w:rsidRPr="00CA7C54">
        <w:rPr>
          <w:color w:val="000000" w:themeColor="text1"/>
          <w:sz w:val="21"/>
          <w:szCs w:val="21"/>
        </w:rPr>
        <w:t xml:space="preserve"> Захист від блискавки. Частина 4. Електричні та електронні системи, розташовані в будинках і спорудах (EN 62305-4:2011, IDT)</w:t>
      </w:r>
    </w:p>
    <w:p w14:paraId="03A91938" w14:textId="74510F3D"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6" w:history="1">
        <w:r w:rsidR="001E748C" w:rsidRPr="000A2161">
          <w:rPr>
            <w:rStyle w:val="ac"/>
            <w:rFonts w:cs="Arial"/>
            <w:sz w:val="21"/>
            <w:szCs w:val="21"/>
          </w:rPr>
          <w:t>ДСТУ IEC 60038:2015</w:t>
        </w:r>
      </w:hyperlink>
      <w:r w:rsidR="001E748C" w:rsidRPr="00CA7C54">
        <w:rPr>
          <w:color w:val="000000" w:themeColor="text1"/>
          <w:sz w:val="21"/>
          <w:szCs w:val="21"/>
        </w:rPr>
        <w:t xml:space="preserve"> Еталонна напруга за ІЕС (IEC 60038:2009, IDT)</w:t>
      </w:r>
    </w:p>
    <w:p w14:paraId="09391FC9" w14:textId="004E13AE"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pacing w:val="-5"/>
          <w:sz w:val="21"/>
          <w:szCs w:val="21"/>
        </w:rPr>
      </w:pPr>
      <w:hyperlink r:id="rId87" w:history="1">
        <w:r w:rsidR="001E748C" w:rsidRPr="000A2161">
          <w:rPr>
            <w:rStyle w:val="ac"/>
            <w:rFonts w:cs="Arial"/>
            <w:sz w:val="21"/>
            <w:szCs w:val="21"/>
          </w:rPr>
          <w:t>ДСТУ HD 62640:2016</w:t>
        </w:r>
      </w:hyperlink>
      <w:r w:rsidR="001E748C" w:rsidRPr="00CA7C54">
        <w:rPr>
          <w:color w:val="000000" w:themeColor="text1"/>
          <w:sz w:val="21"/>
          <w:szCs w:val="21"/>
        </w:rPr>
        <w:t xml:space="preserve"> Пристрої захисного відключення з максимальним струмовим захистом </w:t>
      </w:r>
      <w:r w:rsidR="001E748C" w:rsidRPr="00CA7C54">
        <w:rPr>
          <w:color w:val="000000" w:themeColor="text1"/>
          <w:spacing w:val="-5"/>
          <w:sz w:val="21"/>
          <w:szCs w:val="21"/>
        </w:rPr>
        <w:t>чи без нього для штепсельних розеток побутового та аналогічного застосування (HD 62640:2015, IDT)</w:t>
      </w:r>
    </w:p>
    <w:p w14:paraId="6F851C76" w14:textId="33C5837F" w:rsidR="006D0D8E" w:rsidRPr="00CA7C54" w:rsidRDefault="000A2161" w:rsidP="006D0D8E">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8" w:history="1">
        <w:r w:rsidR="006D0D8E" w:rsidRPr="000A2161">
          <w:rPr>
            <w:rStyle w:val="ac"/>
            <w:rFonts w:cs="Arial"/>
            <w:sz w:val="21"/>
            <w:szCs w:val="21"/>
          </w:rPr>
          <w:t>ДСТУ EN 13256:2017</w:t>
        </w:r>
      </w:hyperlink>
      <w:r w:rsidR="006D0D8E" w:rsidRPr="00CA7C54">
        <w:rPr>
          <w:color w:val="000000" w:themeColor="text1"/>
          <w:sz w:val="21"/>
          <w:szCs w:val="21"/>
        </w:rPr>
        <w:t xml:space="preserve"> (EN 13256:2016, IDT) Геотекстиль та вироби, що належать до геотекстилю. Характеристики, потрібні для використання під час будівництва тунелів та підземних конструкцій</w:t>
      </w:r>
    </w:p>
    <w:p w14:paraId="60A1CEC8" w14:textId="55FFB74F"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9" w:history="1">
        <w:r w:rsidR="001E748C" w:rsidRPr="000A2161">
          <w:rPr>
            <w:rStyle w:val="ac"/>
            <w:rFonts w:cs="Arial"/>
            <w:sz w:val="21"/>
            <w:szCs w:val="21"/>
          </w:rPr>
          <w:t>ДСТУ EN 13967:2019</w:t>
        </w:r>
      </w:hyperlink>
      <w:r w:rsidR="001E748C" w:rsidRPr="00CA7C54">
        <w:rPr>
          <w:color w:val="000000" w:themeColor="text1"/>
          <w:sz w:val="21"/>
          <w:szCs w:val="21"/>
        </w:rPr>
        <w:t xml:space="preserve"> (EN 13967:2012, IDT) Матеріали листові гнучкі гідроізоляційні. Пластикові та гумові вологостійкі листи, зокрема листи для гідроізоляції фундаментів. Визначення та характеристики </w:t>
      </w:r>
    </w:p>
    <w:p w14:paraId="3A86A87F" w14:textId="55B80E91" w:rsidR="00B03F7B" w:rsidRPr="00CA7C54" w:rsidRDefault="000A2161" w:rsidP="006D0D8E">
      <w:pPr>
        <w:pBdr>
          <w:top w:val="nil"/>
          <w:left w:val="nil"/>
          <w:bottom w:val="nil"/>
          <w:right w:val="nil"/>
          <w:between w:val="nil"/>
        </w:pBdr>
        <w:spacing w:before="0" w:line="288" w:lineRule="auto"/>
        <w:ind w:firstLine="570"/>
        <w:contextualSpacing/>
        <w:rPr>
          <w:color w:val="000000" w:themeColor="text1"/>
          <w:sz w:val="21"/>
          <w:szCs w:val="21"/>
        </w:rPr>
      </w:pPr>
      <w:hyperlink r:id="rId90" w:history="1">
        <w:r w:rsidR="006D0D8E" w:rsidRPr="000A2161">
          <w:rPr>
            <w:rStyle w:val="ac"/>
            <w:rFonts w:cs="Arial"/>
            <w:sz w:val="21"/>
            <w:szCs w:val="21"/>
          </w:rPr>
          <w:t>ДСТУ Б В.2.7-103-2000</w:t>
        </w:r>
      </w:hyperlink>
      <w:r w:rsidR="006D0D8E" w:rsidRPr="00CA7C54">
        <w:rPr>
          <w:color w:val="000000" w:themeColor="text1"/>
          <w:sz w:val="21"/>
          <w:szCs w:val="21"/>
        </w:rPr>
        <w:t xml:space="preserve"> Мастики будівельні полімерні клеючі латексні. Технічні умови </w:t>
      </w:r>
    </w:p>
    <w:p w14:paraId="5AFAE1CF" w14:textId="77777777" w:rsidR="006D0D8E" w:rsidRPr="00CA7C54" w:rsidRDefault="006D0D8E" w:rsidP="00B03F7B">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(ГОСТ 30307-95)</w:t>
      </w:r>
    </w:p>
    <w:p w14:paraId="65B59B96" w14:textId="3E3369F8" w:rsidR="00CF7A05" w:rsidRPr="00CA7C54" w:rsidRDefault="000A2161" w:rsidP="00CF7A05">
      <w:pPr>
        <w:pBdr>
          <w:top w:val="nil"/>
          <w:left w:val="nil"/>
          <w:bottom w:val="nil"/>
          <w:right w:val="nil"/>
          <w:between w:val="nil"/>
        </w:pBdr>
        <w:spacing w:before="0" w:line="288" w:lineRule="auto"/>
        <w:ind w:firstLine="570"/>
        <w:contextualSpacing/>
        <w:rPr>
          <w:color w:val="000000" w:themeColor="text1"/>
          <w:spacing w:val="4"/>
          <w:sz w:val="21"/>
          <w:szCs w:val="21"/>
        </w:rPr>
      </w:pPr>
      <w:hyperlink r:id="rId91" w:history="1">
        <w:r w:rsidR="001E748C" w:rsidRPr="000A2161">
          <w:rPr>
            <w:rStyle w:val="ac"/>
            <w:rFonts w:cs="Arial"/>
            <w:spacing w:val="4"/>
            <w:sz w:val="21"/>
            <w:szCs w:val="21"/>
          </w:rPr>
          <w:t>ДСТУ Б В.2.7-108-2001</w:t>
        </w:r>
      </w:hyperlink>
      <w:r w:rsidR="001E748C" w:rsidRPr="00CA7C54">
        <w:rPr>
          <w:color w:val="000000" w:themeColor="text1"/>
          <w:spacing w:val="4"/>
          <w:sz w:val="21"/>
          <w:szCs w:val="21"/>
        </w:rPr>
        <w:t xml:space="preserve"> Мастики покрівельні та гідроізоляційні. Загальні технічні умови</w:t>
      </w:r>
    </w:p>
    <w:p w14:paraId="031EBE16" w14:textId="77777777" w:rsidR="003C4E04" w:rsidRPr="00CA7C54" w:rsidRDefault="001E748C" w:rsidP="00CF7A05">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 xml:space="preserve"> (ГОСТ 30693-2000)</w:t>
      </w:r>
    </w:p>
    <w:p w14:paraId="4D6EF762" w14:textId="2A3B2BDB"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92" w:history="1">
        <w:r w:rsidR="001E748C" w:rsidRPr="000A2161">
          <w:rPr>
            <w:rStyle w:val="ac"/>
            <w:rFonts w:cs="Arial"/>
            <w:sz w:val="21"/>
            <w:szCs w:val="21"/>
          </w:rPr>
          <w:t>ДСТУ 7372:2013</w:t>
        </w:r>
      </w:hyperlink>
      <w:r w:rsidR="001E748C" w:rsidRPr="00CA7C54">
        <w:rPr>
          <w:color w:val="000000" w:themeColor="text1"/>
          <w:sz w:val="21"/>
          <w:szCs w:val="21"/>
        </w:rPr>
        <w:t xml:space="preserve"> Геотекстиль та віднесені до геотекстилю вироби. Необхідні характеристики для використання у дренажних системах (EN 13252:2000, MOD)</w:t>
      </w:r>
    </w:p>
    <w:p w14:paraId="35153695" w14:textId="77777777" w:rsidR="003C4E04" w:rsidRPr="00CA7C54" w:rsidRDefault="001E748C"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r w:rsidRPr="00CA7C54">
        <w:rPr>
          <w:color w:val="000000" w:themeColor="text1"/>
          <w:sz w:val="21"/>
          <w:szCs w:val="21"/>
        </w:rPr>
        <w:t>ДСП 6.177-2005-09-02 Основні санітарні правила забезпечення радіаційної безпеки України (ОСПУ-2005)</w:t>
      </w:r>
    </w:p>
    <w:p w14:paraId="09DBC3A8" w14:textId="77777777" w:rsidR="003C4E04" w:rsidRPr="00CA7C54" w:rsidRDefault="001E748C"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r w:rsidRPr="00CA7C54">
        <w:rPr>
          <w:color w:val="000000" w:themeColor="text1"/>
          <w:sz w:val="21"/>
          <w:szCs w:val="21"/>
        </w:rPr>
        <w:t>ДСП 173-96 Державні санітарні правила планування та забудови населених пунктів</w:t>
      </w:r>
    </w:p>
    <w:p w14:paraId="4EEDA91F" w14:textId="77777777" w:rsidR="003C4E04" w:rsidRPr="00CA7C54" w:rsidRDefault="001E748C" w:rsidP="00CF7A05">
      <w:pPr>
        <w:pBdr>
          <w:top w:val="nil"/>
          <w:left w:val="nil"/>
          <w:bottom w:val="nil"/>
          <w:right w:val="nil"/>
          <w:between w:val="nil"/>
        </w:pBdr>
        <w:spacing w:before="0" w:line="288" w:lineRule="auto"/>
        <w:ind w:firstLine="570"/>
        <w:contextualSpacing/>
        <w:rPr>
          <w:rFonts w:eastAsia="Times New Roman"/>
          <w:color w:val="000000" w:themeColor="text1"/>
          <w:spacing w:val="-6"/>
          <w:sz w:val="21"/>
          <w:szCs w:val="21"/>
        </w:rPr>
      </w:pPr>
      <w:r w:rsidRPr="00CA7C54">
        <w:rPr>
          <w:color w:val="000000" w:themeColor="text1"/>
          <w:sz w:val="21"/>
          <w:szCs w:val="21"/>
        </w:rPr>
        <w:t xml:space="preserve">ДСанПіН 145-2011 </w:t>
      </w:r>
      <w:r w:rsidRPr="00CA7C54">
        <w:rPr>
          <w:color w:val="000000" w:themeColor="text1"/>
          <w:spacing w:val="-6"/>
          <w:sz w:val="21"/>
          <w:szCs w:val="21"/>
        </w:rPr>
        <w:t>Державні санітарні норми та правила утримання територій населених місць</w:t>
      </w:r>
    </w:p>
    <w:p w14:paraId="0E7DE0BB"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ДСанПіН 8.2.1-181-2012 Полімерні та полімервмісні матеріали, вироби і конструкції, що застосовуються у будівництві та виробництві меблів. Гігієнічні вимоги</w:t>
      </w:r>
    </w:p>
    <w:p w14:paraId="0E2330F1"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pacing w:val="-6"/>
          <w:sz w:val="21"/>
          <w:szCs w:val="21"/>
        </w:rPr>
      </w:pPr>
      <w:r w:rsidRPr="00CA7C54">
        <w:rPr>
          <w:color w:val="000000" w:themeColor="text1"/>
          <w:spacing w:val="-6"/>
          <w:sz w:val="21"/>
          <w:szCs w:val="21"/>
        </w:rPr>
        <w:t>ДСанПіН 2.2.4-171-10 Гігієнічні вимоги до води питної, призначеної для споживання людиною</w:t>
      </w:r>
    </w:p>
    <w:p w14:paraId="77193A34"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ДСН 239-96 Державні санітарні норми і правила захисту населення від впливу електромагнітних випромінювань</w:t>
      </w:r>
    </w:p>
    <w:p w14:paraId="1DDAE6FC"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ДСН 463-2019 Державні санітарні норми допустимих рівнів шуму в приміщеннях житлових та громадських будинків і на території житлової забудови</w:t>
      </w:r>
    </w:p>
    <w:p w14:paraId="71DC2264" w14:textId="16508F2A" w:rsidR="003C4E04" w:rsidRPr="00CA7C54" w:rsidRDefault="00AF4611" w:rsidP="00B03F7B">
      <w:pPr>
        <w:pBdr>
          <w:top w:val="nil"/>
          <w:left w:val="nil"/>
          <w:bottom w:val="nil"/>
          <w:right w:val="nil"/>
          <w:between w:val="nil"/>
        </w:pBdr>
        <w:spacing w:before="0" w:line="288" w:lineRule="auto"/>
        <w:contextualSpacing/>
        <w:rPr>
          <w:rFonts w:eastAsia="Times New Roman"/>
          <w:color w:val="000000" w:themeColor="text1"/>
          <w:sz w:val="21"/>
          <w:szCs w:val="21"/>
        </w:rPr>
      </w:pPr>
      <w:hyperlink r:id="rId93" w:anchor="Text" w:history="1">
        <w:r w:rsidR="001E748C" w:rsidRPr="00AF4611">
          <w:rPr>
            <w:rStyle w:val="ac"/>
            <w:rFonts w:cs="Arial"/>
            <w:sz w:val="21"/>
            <w:szCs w:val="21"/>
          </w:rPr>
          <w:t>Наказ МОЗ від 21.02.2023 № 354</w:t>
        </w:r>
      </w:hyperlink>
      <w:r w:rsidR="001E748C" w:rsidRPr="00CA7C54">
        <w:rPr>
          <w:color w:val="000000" w:themeColor="text1"/>
          <w:sz w:val="21"/>
          <w:szCs w:val="21"/>
        </w:rPr>
        <w:t xml:space="preserve"> Про затвердження Державних санітарних норм і правил “Санітарно-протиепідемічні вимоги до новозбудованих, реставрованих і реконструйованих закладів охорони здоров’я” та Змін до деяких нормативно-правових актів Міністерства охорони здоро</w:t>
      </w:r>
      <w:r w:rsidR="001E748C" w:rsidRPr="00CA7C54">
        <w:rPr>
          <w:color w:val="000000" w:themeColor="text1"/>
          <w:sz w:val="21"/>
          <w:szCs w:val="21"/>
          <w:highlight w:val="white"/>
        </w:rPr>
        <w:t xml:space="preserve">в’я. Зареєстровано в Міністерстві юстиції України </w:t>
      </w:r>
      <w:r w:rsidR="00744090">
        <w:rPr>
          <w:color w:val="000000" w:themeColor="text1"/>
          <w:sz w:val="21"/>
          <w:szCs w:val="21"/>
          <w:highlight w:val="white"/>
        </w:rPr>
        <w:t xml:space="preserve"> 05.04.2023  </w:t>
      </w:r>
      <w:r w:rsidR="001E748C" w:rsidRPr="00CA7C54">
        <w:rPr>
          <w:color w:val="000000" w:themeColor="text1"/>
          <w:sz w:val="21"/>
          <w:szCs w:val="21"/>
          <w:highlight w:val="white"/>
        </w:rPr>
        <w:t>за № 562/39618</w:t>
      </w:r>
    </w:p>
    <w:p w14:paraId="25205628" w14:textId="79D1CE08" w:rsidR="003C4E04" w:rsidRPr="00CA7C54" w:rsidRDefault="00AF4611" w:rsidP="00B03F7B">
      <w:pPr>
        <w:pBdr>
          <w:top w:val="nil"/>
          <w:left w:val="nil"/>
          <w:bottom w:val="nil"/>
          <w:right w:val="nil"/>
          <w:between w:val="nil"/>
        </w:pBdr>
        <w:spacing w:before="0" w:line="288" w:lineRule="auto"/>
        <w:contextualSpacing/>
        <w:rPr>
          <w:color w:val="000000" w:themeColor="text1"/>
          <w:sz w:val="21"/>
          <w:szCs w:val="21"/>
          <w:highlight w:val="white"/>
        </w:rPr>
      </w:pPr>
      <w:hyperlink r:id="rId94" w:anchor="Text" w:history="1">
        <w:r w:rsidR="001E748C" w:rsidRPr="00AF4611">
          <w:rPr>
            <w:rStyle w:val="ac"/>
            <w:rFonts w:cs="Arial"/>
            <w:sz w:val="21"/>
            <w:szCs w:val="21"/>
          </w:rPr>
          <w:t>Наказ МОЗ від 14.07.2020  №1596</w:t>
        </w:r>
      </w:hyperlink>
      <w:r w:rsidR="001E748C" w:rsidRPr="00CA7C54">
        <w:rPr>
          <w:color w:val="000000" w:themeColor="text1"/>
          <w:sz w:val="21"/>
          <w:szCs w:val="21"/>
        </w:rPr>
        <w:t xml:space="preserve"> «Про затвердження гігієнічних регламентів допустимого вмісту хімічних і біологічних речовин у повітрі робочої зони», зареєстрований в Міністерстві </w:t>
      </w:r>
      <w:r w:rsidR="001E748C" w:rsidRPr="00CA7C54">
        <w:rPr>
          <w:color w:val="000000" w:themeColor="text1"/>
          <w:sz w:val="21"/>
          <w:szCs w:val="21"/>
          <w:highlight w:val="white"/>
        </w:rPr>
        <w:t>юстиції України 03.08.2020  за № 741/35024</w:t>
      </w:r>
    </w:p>
    <w:p w14:paraId="649611DF" w14:textId="77777777" w:rsidR="006D0D8E" w:rsidRPr="00CA7C54" w:rsidRDefault="001E748C" w:rsidP="00B03F7B">
      <w:pPr>
        <w:spacing w:before="0" w:line="288" w:lineRule="auto"/>
        <w:contextualSpacing/>
        <w:rPr>
          <w:color w:val="000000" w:themeColor="text1"/>
          <w:spacing w:val="-3"/>
          <w:sz w:val="20"/>
          <w:szCs w:val="20"/>
          <w:highlight w:val="white"/>
        </w:rPr>
      </w:pPr>
      <w:r w:rsidRPr="00CA7C54">
        <w:rPr>
          <w:b/>
          <w:color w:val="000000" w:themeColor="text1"/>
          <w:sz w:val="21"/>
          <w:szCs w:val="21"/>
          <w:highlight w:val="white"/>
        </w:rPr>
        <w:t>Примітка.</w:t>
      </w:r>
      <w:r w:rsidRPr="00CA7C54">
        <w:rPr>
          <w:color w:val="000000" w:themeColor="text1"/>
          <w:spacing w:val="-3"/>
          <w:sz w:val="20"/>
          <w:szCs w:val="20"/>
          <w:highlight w:val="white"/>
        </w:rPr>
        <w:t xml:space="preserve">Нормативні документи (національні стандарти) застосовуються відповідно до статті11 </w:t>
      </w:r>
    </w:p>
    <w:p w14:paraId="6C3893F1" w14:textId="77777777" w:rsidR="003C4E04" w:rsidRPr="00CA7C54" w:rsidRDefault="001E748C" w:rsidP="00E35BD6">
      <w:pPr>
        <w:spacing w:before="0" w:after="60" w:line="288" w:lineRule="auto"/>
        <w:ind w:firstLine="0"/>
        <w:contextualSpacing/>
        <w:rPr>
          <w:color w:val="000000" w:themeColor="text1"/>
          <w:spacing w:val="-3"/>
          <w:sz w:val="20"/>
          <w:szCs w:val="20"/>
        </w:rPr>
      </w:pPr>
      <w:r w:rsidRPr="00CA7C54">
        <w:rPr>
          <w:color w:val="000000" w:themeColor="text1"/>
          <w:spacing w:val="-3"/>
          <w:sz w:val="20"/>
          <w:szCs w:val="20"/>
          <w:highlight w:val="white"/>
        </w:rPr>
        <w:t>ЗУ “Про будівельні норми” та статті 23 ЗУ “Про стандартизацію”</w:t>
      </w:r>
    </w:p>
    <w:p w14:paraId="51906F06" w14:textId="77777777" w:rsidR="003C4E04" w:rsidRPr="00CA7C54" w:rsidRDefault="001E748C" w:rsidP="00E35BD6">
      <w:pPr>
        <w:pStyle w:val="2"/>
        <w:spacing w:before="0" w:after="60" w:line="288" w:lineRule="auto"/>
        <w:contextualSpacing/>
        <w:rPr>
          <w:rFonts w:ascii="Arial" w:hAnsi="Arial"/>
          <w:color w:val="000000" w:themeColor="text1"/>
          <w:sz w:val="21"/>
          <w:szCs w:val="21"/>
        </w:rPr>
      </w:pPr>
      <w:r w:rsidRPr="00CA7C54">
        <w:rPr>
          <w:rFonts w:ascii="Arial" w:hAnsi="Arial"/>
          <w:color w:val="000000" w:themeColor="text1"/>
          <w:sz w:val="21"/>
          <w:szCs w:val="21"/>
        </w:rPr>
        <w:t>3 ТЕРМІНИ ТА ВИЗНАЧЕННЯ ПОНЯТЬ</w:t>
      </w:r>
    </w:p>
    <w:p w14:paraId="2D00175E" w14:textId="77777777" w:rsidR="003C4E04" w:rsidRPr="00CA7C54" w:rsidRDefault="001E748C" w:rsidP="00E35BD6">
      <w:pPr>
        <w:pBdr>
          <w:top w:val="nil"/>
          <w:left w:val="nil"/>
          <w:bottom w:val="nil"/>
          <w:right w:val="nil"/>
          <w:between w:val="nil"/>
        </w:pBdr>
        <w:spacing w:before="0" w:after="60" w:line="288" w:lineRule="auto"/>
        <w:ind w:firstLine="566"/>
        <w:contextualSpacing/>
        <w:rPr>
          <w:rFonts w:eastAsia="Times New Roman"/>
          <w:color w:val="000000" w:themeColor="text1"/>
          <w:sz w:val="21"/>
          <w:szCs w:val="21"/>
        </w:rPr>
      </w:pPr>
      <w:r w:rsidRPr="00CA7C54">
        <w:rPr>
          <w:color w:val="000000" w:themeColor="text1"/>
          <w:sz w:val="21"/>
          <w:szCs w:val="21"/>
        </w:rPr>
        <w:t>У цих нормах використано терміни, установлені: </w:t>
      </w:r>
    </w:p>
    <w:p w14:paraId="778D30FC" w14:textId="337B7348"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95" w:anchor="Text" w:history="1">
        <w:r w:rsidRPr="00AF4611">
          <w:rPr>
            <w:rStyle w:val="ac"/>
            <w:rFonts w:cs="Arial"/>
            <w:sz w:val="21"/>
            <w:szCs w:val="21"/>
          </w:rPr>
          <w:t>Кодексі цивільного захисту України</w:t>
        </w:r>
      </w:hyperlink>
      <w:r w:rsidRPr="00CA7C54">
        <w:rPr>
          <w:color w:val="000000" w:themeColor="text1"/>
          <w:sz w:val="21"/>
          <w:szCs w:val="21"/>
        </w:rPr>
        <w:t xml:space="preserve"> [1]: захисні споруди цивільного захисту, зона можливого ураження, інженерно-технічні заходи цивільного захисту, надзвичайна ситуація, </w:t>
      </w:r>
      <w:r w:rsidRPr="00CA7C54">
        <w:rPr>
          <w:color w:val="000000" w:themeColor="text1"/>
          <w:sz w:val="21"/>
          <w:szCs w:val="21"/>
          <w:highlight w:val="white"/>
        </w:rPr>
        <w:t>небезпечний чинник, оповіщ</w:t>
      </w:r>
      <w:r w:rsidRPr="00CA7C54">
        <w:rPr>
          <w:color w:val="000000" w:themeColor="text1"/>
          <w:sz w:val="21"/>
          <w:szCs w:val="21"/>
        </w:rPr>
        <w:t>ення, пожежа, протирадіаційне укриття, система оповіщення, споруда подвійного призначення, сховище, цивільний захист;</w:t>
      </w:r>
    </w:p>
    <w:p w14:paraId="7E9D2A74" w14:textId="6678412B"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96" w:anchor="Text" w:history="1">
        <w:r w:rsidRPr="00AF4611">
          <w:rPr>
            <w:rStyle w:val="ac"/>
            <w:rFonts w:cs="Arial"/>
            <w:sz w:val="21"/>
            <w:szCs w:val="21"/>
          </w:rPr>
          <w:t>Законі України «Про використання ядерної енергії»</w:t>
        </w:r>
      </w:hyperlink>
      <w:r w:rsidRPr="00CA7C54">
        <w:rPr>
          <w:color w:val="000000" w:themeColor="text1"/>
          <w:sz w:val="21"/>
          <w:szCs w:val="21"/>
        </w:rPr>
        <w:t xml:space="preserve"> [2]: зона спостереження, санітарно-захисна зона;</w:t>
      </w:r>
    </w:p>
    <w:p w14:paraId="6E72AE88" w14:textId="0051BB7E"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97" w:anchor="Text" w:history="1">
        <w:r w:rsidRPr="00AF4611">
          <w:rPr>
            <w:rStyle w:val="ac"/>
            <w:rFonts w:cs="Arial"/>
            <w:sz w:val="21"/>
            <w:szCs w:val="21"/>
          </w:rPr>
          <w:t>Законі України «Про мобілізаційну підготовку та мобілізацію</w:t>
        </w:r>
      </w:hyperlink>
      <w:r w:rsidRPr="00CA7C54">
        <w:rPr>
          <w:color w:val="000000" w:themeColor="text1"/>
          <w:sz w:val="21"/>
          <w:szCs w:val="21"/>
        </w:rPr>
        <w:t>» [3]: особливий період;</w:t>
      </w:r>
    </w:p>
    <w:p w14:paraId="409E8421" w14:textId="1B941DF3" w:rsidR="004A1B36" w:rsidRPr="00CA7C54" w:rsidRDefault="001E748C" w:rsidP="00B03F7B">
      <w:pPr>
        <w:pBdr>
          <w:top w:val="nil"/>
          <w:left w:val="nil"/>
          <w:bottom w:val="nil"/>
          <w:right w:val="nil"/>
          <w:between w:val="nil"/>
        </w:pBdr>
        <w:spacing w:before="0" w:line="288" w:lineRule="auto"/>
        <w:ind w:firstLine="360"/>
        <w:contextualSpacing/>
        <w:rPr>
          <w:color w:val="000000" w:themeColor="text1"/>
          <w:sz w:val="21"/>
          <w:szCs w:val="21"/>
        </w:rPr>
      </w:pPr>
      <w:r w:rsidRPr="00CA7C54">
        <w:rPr>
          <w:color w:val="000000" w:themeColor="text1"/>
          <w:sz w:val="21"/>
          <w:szCs w:val="21"/>
        </w:rPr>
        <w:t xml:space="preserve">— у </w:t>
      </w:r>
      <w:hyperlink r:id="rId98" w:anchor="Text" w:history="1">
        <w:r w:rsidRPr="00AF4611">
          <w:rPr>
            <w:rStyle w:val="ac"/>
            <w:rFonts w:cs="Arial"/>
            <w:sz w:val="21"/>
            <w:szCs w:val="21"/>
          </w:rPr>
          <w:t>Законі України «Про об’єкти підвищеної небезпеки»</w:t>
        </w:r>
      </w:hyperlink>
      <w:r w:rsidRPr="00CA7C54">
        <w:rPr>
          <w:color w:val="000000" w:themeColor="text1"/>
          <w:sz w:val="21"/>
          <w:szCs w:val="21"/>
        </w:rPr>
        <w:t xml:space="preserve"> [4]: небезпечна речовина, об’єкт підвищеної небезпеки (ΟΠΗ);</w:t>
      </w:r>
    </w:p>
    <w:p w14:paraId="1C3FAF0C" w14:textId="7A3499A7" w:rsidR="003C4E04" w:rsidRPr="00CA7C54" w:rsidRDefault="001E748C" w:rsidP="00B03F7B">
      <w:pPr>
        <w:pBdr>
          <w:top w:val="nil"/>
          <w:left w:val="nil"/>
          <w:bottom w:val="nil"/>
          <w:right w:val="nil"/>
          <w:between w:val="nil"/>
        </w:pBdr>
        <w:spacing w:before="0" w:line="288" w:lineRule="auto"/>
        <w:ind w:firstLine="360"/>
        <w:contextualSpacing/>
        <w:rPr>
          <w:color w:val="000000" w:themeColor="text1"/>
          <w:sz w:val="21"/>
          <w:szCs w:val="21"/>
        </w:rPr>
      </w:pPr>
      <w:r w:rsidRPr="00CA7C54">
        <w:rPr>
          <w:color w:val="000000" w:themeColor="text1"/>
          <w:sz w:val="21"/>
          <w:szCs w:val="21"/>
        </w:rPr>
        <w:t xml:space="preserve">— у </w:t>
      </w:r>
      <w:hyperlink r:id="rId99" w:anchor="Text" w:history="1">
        <w:r w:rsidRPr="00AF4611">
          <w:rPr>
            <w:rStyle w:val="ac"/>
            <w:rFonts w:cs="Arial"/>
            <w:sz w:val="21"/>
            <w:szCs w:val="21"/>
          </w:rPr>
          <w:t>Законі України «Про регулювання містобудівної діяльності»</w:t>
        </w:r>
      </w:hyperlink>
      <w:r w:rsidRPr="00CA7C54">
        <w:rPr>
          <w:color w:val="000000" w:themeColor="text1"/>
          <w:sz w:val="21"/>
          <w:szCs w:val="21"/>
        </w:rPr>
        <w:t xml:space="preserve"> [5]: містобудівна документація, про</w:t>
      </w:r>
      <w:r w:rsidR="004A1B36" w:rsidRPr="00CA7C54">
        <w:rPr>
          <w:color w:val="000000" w:themeColor="text1"/>
          <w:sz w:val="21"/>
          <w:szCs w:val="21"/>
        </w:rPr>
        <w:t>є</w:t>
      </w:r>
      <w:r w:rsidRPr="00CA7C54">
        <w:rPr>
          <w:color w:val="000000" w:themeColor="text1"/>
          <w:sz w:val="21"/>
          <w:szCs w:val="21"/>
        </w:rPr>
        <w:t>ктна документація, об'єкт будівництва, завдання на проєктування;</w:t>
      </w:r>
    </w:p>
    <w:p w14:paraId="522B16A8" w14:textId="32B2B408" w:rsidR="003C4E04" w:rsidRPr="00CA7C54" w:rsidRDefault="001E748C" w:rsidP="00B03F7B">
      <w:pP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100" w:history="1">
        <w:r w:rsidRPr="00AF4611">
          <w:rPr>
            <w:rStyle w:val="ac"/>
            <w:rFonts w:cs="Arial"/>
            <w:sz w:val="21"/>
            <w:szCs w:val="21"/>
          </w:rPr>
          <w:t>ДБН А.2.2-3</w:t>
        </w:r>
      </w:hyperlink>
      <w:r w:rsidRPr="00CA7C54">
        <w:rPr>
          <w:color w:val="000000" w:themeColor="text1"/>
          <w:sz w:val="21"/>
          <w:szCs w:val="21"/>
        </w:rPr>
        <w:t>: житловий будинок, будівля, нове будівництво, капітальний ремонт, реконструкція, споруда;</w:t>
      </w:r>
    </w:p>
    <w:p w14:paraId="5A1106D1" w14:textId="14DE5576"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101" w:history="1">
        <w:r w:rsidRPr="00AF4611">
          <w:rPr>
            <w:rStyle w:val="ac"/>
            <w:rFonts w:cs="Arial"/>
            <w:sz w:val="21"/>
            <w:szCs w:val="21"/>
          </w:rPr>
          <w:t>ДБН В.1.1-7</w:t>
        </w:r>
      </w:hyperlink>
      <w:r w:rsidRPr="00CA7C54">
        <w:rPr>
          <w:color w:val="000000" w:themeColor="text1"/>
          <w:sz w:val="21"/>
          <w:szCs w:val="21"/>
        </w:rPr>
        <w:t>: умовна висота будинку;</w:t>
      </w:r>
    </w:p>
    <w:p w14:paraId="5A3F6D52" w14:textId="6332FE14" w:rsidR="003C4E04" w:rsidRPr="00490E26" w:rsidRDefault="001E748C" w:rsidP="00B03F7B">
      <w:pPr>
        <w:pBdr>
          <w:top w:val="nil"/>
          <w:left w:val="nil"/>
          <w:bottom w:val="nil"/>
          <w:right w:val="nil"/>
          <w:between w:val="nil"/>
        </w:pBdr>
        <w:spacing w:before="0" w:line="288" w:lineRule="auto"/>
        <w:ind w:firstLine="360"/>
        <w:contextualSpacing/>
        <w:rPr>
          <w:sz w:val="21"/>
          <w:szCs w:val="21"/>
        </w:rPr>
      </w:pPr>
      <w:r w:rsidRPr="00CA7C54">
        <w:rPr>
          <w:color w:val="000000" w:themeColor="text1"/>
          <w:sz w:val="21"/>
          <w:szCs w:val="21"/>
        </w:rPr>
        <w:t xml:space="preserve">— у </w:t>
      </w:r>
      <w:hyperlink r:id="rId102" w:history="1">
        <w:r w:rsidRPr="00AF4611">
          <w:rPr>
            <w:rStyle w:val="ac"/>
            <w:rFonts w:cs="Arial"/>
            <w:sz w:val="21"/>
            <w:szCs w:val="21"/>
          </w:rPr>
          <w:t>ДБН В.1.2-4</w:t>
        </w:r>
      </w:hyperlink>
      <w:r w:rsidRPr="00CA7C54">
        <w:rPr>
          <w:color w:val="000000" w:themeColor="text1"/>
          <w:sz w:val="21"/>
          <w:szCs w:val="21"/>
        </w:rPr>
        <w:t xml:space="preserve">: атомні енергетичні об’єкти, зона можливого катастрофічного затоплення, зона можливих руйнувань, зона можливих значних (сильних) руйнувань, зона можливих незначних (слабких) руйнувань, зона можливого хімічного забруднення, зона можливого небезпечного сильного радіоактивного забруднення, зона можливого радіоактивного </w:t>
      </w:r>
      <w:r w:rsidRPr="00CA7C54">
        <w:rPr>
          <w:color w:val="000000" w:themeColor="text1"/>
          <w:sz w:val="21"/>
          <w:szCs w:val="21"/>
        </w:rPr>
        <w:lastRenderedPageBreak/>
        <w:t xml:space="preserve">забруднення, зона можливого сильного </w:t>
      </w:r>
      <w:r w:rsidRPr="00490E26">
        <w:rPr>
          <w:sz w:val="21"/>
          <w:szCs w:val="21"/>
        </w:rPr>
        <w:t>радіоактивного забруднення, хімічно небезпечний об’єкт (ХНО);</w:t>
      </w:r>
    </w:p>
    <w:p w14:paraId="4E51C41F" w14:textId="7A65C5E2" w:rsidR="00490E26" w:rsidRPr="00E35BD6" w:rsidRDefault="00490E26" w:rsidP="00686653">
      <w:pPr>
        <w:spacing w:line="288" w:lineRule="auto"/>
        <w:ind w:left="57" w:firstLine="284"/>
        <w:contextualSpacing/>
        <w:jc w:val="left"/>
        <w:rPr>
          <w:rFonts w:eastAsia="Microsoft Sans Serif"/>
          <w:sz w:val="21"/>
          <w:szCs w:val="21"/>
        </w:rPr>
      </w:pPr>
      <w:r w:rsidRPr="00E35BD6">
        <w:rPr>
          <w:rFonts w:eastAsia="Microsoft Sans Serif"/>
          <w:sz w:val="21"/>
          <w:szCs w:val="21"/>
        </w:rPr>
        <w:t>—у</w:t>
      </w:r>
      <w:r w:rsidR="00686653">
        <w:rPr>
          <w:rFonts w:eastAsia="Microsoft Sans Serif"/>
          <w:sz w:val="21"/>
          <w:szCs w:val="21"/>
        </w:rPr>
        <w:t xml:space="preserve"> </w:t>
      </w:r>
      <w:hyperlink r:id="rId103" w:history="1">
        <w:r w:rsidRPr="00032589">
          <w:rPr>
            <w:rStyle w:val="ac"/>
            <w:rFonts w:eastAsia="Microsoft Sans Serif" w:cs="Arial"/>
            <w:sz w:val="21"/>
            <w:szCs w:val="21"/>
          </w:rPr>
          <w:t>ДБНВ.2.2-40</w:t>
        </w:r>
      </w:hyperlink>
      <w:r w:rsidRPr="00E35BD6">
        <w:rPr>
          <w:rFonts w:eastAsia="Microsoft Sans Serif"/>
          <w:sz w:val="21"/>
          <w:szCs w:val="21"/>
        </w:rPr>
        <w:t>:</w:t>
      </w:r>
      <w:r w:rsidR="00686653">
        <w:rPr>
          <w:rFonts w:eastAsia="Microsoft Sans Serif"/>
          <w:sz w:val="21"/>
          <w:szCs w:val="21"/>
        </w:rPr>
        <w:t xml:space="preserve"> </w:t>
      </w:r>
      <w:r w:rsidRPr="00E35BD6">
        <w:rPr>
          <w:rFonts w:eastAsia="Microsoft Sans Serif"/>
          <w:sz w:val="21"/>
          <w:szCs w:val="21"/>
        </w:rPr>
        <w:t>доступні</w:t>
      </w:r>
      <w:r w:rsidR="00686653">
        <w:rPr>
          <w:rFonts w:eastAsia="Microsoft Sans Serif"/>
          <w:sz w:val="21"/>
          <w:szCs w:val="21"/>
        </w:rPr>
        <w:t xml:space="preserve"> </w:t>
      </w:r>
      <w:r w:rsidRPr="00E35BD6">
        <w:rPr>
          <w:rFonts w:eastAsia="Microsoft Sans Serif"/>
          <w:sz w:val="21"/>
          <w:szCs w:val="21"/>
        </w:rPr>
        <w:t>для</w:t>
      </w:r>
      <w:r w:rsidR="00686653">
        <w:rPr>
          <w:rFonts w:eastAsia="Microsoft Sans Serif"/>
          <w:sz w:val="21"/>
          <w:szCs w:val="21"/>
        </w:rPr>
        <w:t xml:space="preserve"> </w:t>
      </w:r>
      <w:r w:rsidRPr="00E35BD6">
        <w:rPr>
          <w:rFonts w:eastAsia="Microsoft Sans Serif"/>
          <w:sz w:val="21"/>
          <w:szCs w:val="21"/>
        </w:rPr>
        <w:t>МГН</w:t>
      </w:r>
      <w:r w:rsidR="00686653">
        <w:rPr>
          <w:rFonts w:eastAsia="Microsoft Sans Serif"/>
          <w:sz w:val="21"/>
          <w:szCs w:val="21"/>
        </w:rPr>
        <w:t xml:space="preserve"> </w:t>
      </w:r>
      <w:r w:rsidRPr="00E35BD6">
        <w:rPr>
          <w:rFonts w:eastAsia="Microsoft Sans Serif"/>
          <w:sz w:val="21"/>
          <w:szCs w:val="21"/>
        </w:rPr>
        <w:t>будівлі</w:t>
      </w:r>
      <w:r w:rsidR="00686653">
        <w:rPr>
          <w:rFonts w:eastAsia="Microsoft Sans Serif"/>
          <w:sz w:val="21"/>
          <w:szCs w:val="21"/>
        </w:rPr>
        <w:t xml:space="preserve"> </w:t>
      </w:r>
      <w:r w:rsidRPr="00E35BD6">
        <w:rPr>
          <w:rFonts w:eastAsia="Microsoft Sans Serif"/>
          <w:sz w:val="21"/>
          <w:szCs w:val="21"/>
        </w:rPr>
        <w:t>і</w:t>
      </w:r>
      <w:r w:rsidR="00686653">
        <w:rPr>
          <w:rFonts w:eastAsia="Microsoft Sans Serif"/>
          <w:sz w:val="21"/>
          <w:szCs w:val="21"/>
        </w:rPr>
        <w:t xml:space="preserve"> </w:t>
      </w:r>
      <w:r w:rsidRPr="00E35BD6">
        <w:rPr>
          <w:rFonts w:eastAsia="Microsoft Sans Serif"/>
          <w:sz w:val="21"/>
          <w:szCs w:val="21"/>
        </w:rPr>
        <w:t>споруди,інклюзивність</w:t>
      </w:r>
      <w:r w:rsidR="00686653">
        <w:rPr>
          <w:rFonts w:eastAsia="Microsoft Sans Serif"/>
          <w:sz w:val="21"/>
          <w:szCs w:val="21"/>
        </w:rPr>
        <w:t xml:space="preserve"> </w:t>
      </w:r>
      <w:r w:rsidRPr="00E35BD6">
        <w:rPr>
          <w:rFonts w:eastAsia="Microsoft Sans Serif"/>
          <w:sz w:val="21"/>
          <w:szCs w:val="21"/>
        </w:rPr>
        <w:t>будівель</w:t>
      </w:r>
      <w:r w:rsidR="00686653">
        <w:rPr>
          <w:rFonts w:eastAsia="Microsoft Sans Serif"/>
          <w:sz w:val="21"/>
          <w:szCs w:val="21"/>
        </w:rPr>
        <w:t xml:space="preserve"> </w:t>
      </w:r>
      <w:r w:rsidRPr="00E35BD6">
        <w:rPr>
          <w:rFonts w:eastAsia="Microsoft Sans Serif"/>
          <w:sz w:val="21"/>
          <w:szCs w:val="21"/>
        </w:rPr>
        <w:t>і</w:t>
      </w:r>
      <w:r w:rsidR="00686653">
        <w:rPr>
          <w:rFonts w:eastAsia="Microsoft Sans Serif"/>
          <w:sz w:val="21"/>
          <w:szCs w:val="21"/>
        </w:rPr>
        <w:t xml:space="preserve"> </w:t>
      </w:r>
      <w:r w:rsidRPr="00E35BD6">
        <w:rPr>
          <w:rFonts w:eastAsia="Microsoft Sans Serif"/>
          <w:sz w:val="21"/>
          <w:szCs w:val="21"/>
        </w:rPr>
        <w:t>споруд,</w:t>
      </w:r>
      <w:r w:rsidR="00686653">
        <w:rPr>
          <w:rFonts w:eastAsia="Microsoft Sans Serif"/>
          <w:sz w:val="21"/>
          <w:szCs w:val="21"/>
        </w:rPr>
        <w:t xml:space="preserve"> маломобільні   </w:t>
      </w:r>
      <w:r w:rsidRPr="00E35BD6">
        <w:rPr>
          <w:rFonts w:eastAsia="Microsoft Sans Serif"/>
          <w:sz w:val="21"/>
          <w:szCs w:val="21"/>
        </w:rPr>
        <w:t>групи населення (МГН),пандус, розумне пристосування, тактильний;</w:t>
      </w:r>
    </w:p>
    <w:p w14:paraId="31DDB13B" w14:textId="77777777" w:rsidR="00490E26" w:rsidRPr="007D72FD" w:rsidRDefault="00490E26" w:rsidP="007D72FD">
      <w:pPr>
        <w:spacing w:line="288" w:lineRule="auto"/>
        <w:ind w:left="-284" w:firstLine="710"/>
        <w:contextualSpacing/>
        <w:jc w:val="left"/>
        <w:rPr>
          <w:rFonts w:eastAsia="Microsoft Sans Serif"/>
          <w:b/>
          <w:bCs/>
          <w:i/>
          <w:iCs/>
          <w:color w:val="00B050"/>
          <w:sz w:val="21"/>
          <w:szCs w:val="21"/>
        </w:rPr>
      </w:pPr>
      <w:r w:rsidRPr="007D72FD">
        <w:rPr>
          <w:rFonts w:eastAsia="Microsoft Sans Serif"/>
          <w:b/>
          <w:bCs/>
          <w:i/>
          <w:iCs/>
          <w:color w:val="00B050"/>
          <w:sz w:val="21"/>
          <w:szCs w:val="21"/>
        </w:rPr>
        <w:t>(Абзац 10  Розділу 3 долучено, Зміна № 1)</w:t>
      </w:r>
    </w:p>
    <w:p w14:paraId="20E4E15A" w14:textId="1FD96406"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pacing w:val="-4"/>
          <w:sz w:val="21"/>
          <w:szCs w:val="21"/>
        </w:rPr>
      </w:pPr>
      <w:r w:rsidRPr="00CA7C54">
        <w:rPr>
          <w:color w:val="000000" w:themeColor="text1"/>
          <w:sz w:val="21"/>
          <w:szCs w:val="21"/>
        </w:rPr>
        <w:t xml:space="preserve">— </w:t>
      </w:r>
      <w:r w:rsidRPr="00CA7C54">
        <w:rPr>
          <w:color w:val="000000" w:themeColor="text1"/>
          <w:spacing w:val="-4"/>
          <w:sz w:val="21"/>
          <w:szCs w:val="21"/>
        </w:rPr>
        <w:t xml:space="preserve">у </w:t>
      </w:r>
      <w:hyperlink r:id="rId104" w:history="1">
        <w:r w:rsidRPr="00032589">
          <w:rPr>
            <w:rStyle w:val="ac"/>
            <w:rFonts w:cs="Arial"/>
            <w:spacing w:val="-4"/>
            <w:sz w:val="21"/>
            <w:szCs w:val="21"/>
          </w:rPr>
          <w:t>ДБН В.2.5-23</w:t>
        </w:r>
      </w:hyperlink>
      <w:r w:rsidRPr="00CA7C54">
        <w:rPr>
          <w:color w:val="000000" w:themeColor="text1"/>
          <w:spacing w:val="-4"/>
          <w:sz w:val="21"/>
          <w:szCs w:val="21"/>
        </w:rPr>
        <w:t>: агрегат безперебійного живлення (АБЖ), дизельна електрична станція (ДЕС);</w:t>
      </w:r>
    </w:p>
    <w:p w14:paraId="07A60706" w14:textId="77777777" w:rsidR="003C4E04" w:rsidRDefault="001E748C" w:rsidP="00B03F7B">
      <w:pPr>
        <w:pBdr>
          <w:top w:val="nil"/>
          <w:left w:val="nil"/>
          <w:bottom w:val="nil"/>
          <w:right w:val="nil"/>
          <w:between w:val="nil"/>
        </w:pBdr>
        <w:spacing w:before="0" w:line="288" w:lineRule="auto"/>
        <w:ind w:firstLine="357"/>
        <w:contextualSpacing/>
        <w:rPr>
          <w:color w:val="000000" w:themeColor="text1"/>
          <w:sz w:val="21"/>
          <w:szCs w:val="21"/>
        </w:rPr>
      </w:pPr>
      <w:r w:rsidRPr="00CA7C54">
        <w:rPr>
          <w:color w:val="000000" w:themeColor="text1"/>
          <w:sz w:val="21"/>
          <w:szCs w:val="21"/>
        </w:rPr>
        <w:t>— у ГБН В.2.3-37641918-558: габіон.</w:t>
      </w:r>
    </w:p>
    <w:p w14:paraId="0768360B"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Нижче наведено терміни, які додатково використані у цих нормах:</w:t>
      </w:r>
    </w:p>
    <w:p w14:paraId="43EDF4B3" w14:textId="77777777" w:rsidR="003C4E04" w:rsidRPr="00CA7C54" w:rsidRDefault="001E748C" w:rsidP="00B03F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3.1 </w:t>
      </w:r>
      <w:r w:rsidR="00B03F7B" w:rsidRPr="00CA7C54">
        <w:rPr>
          <w:b/>
          <w:color w:val="000000" w:themeColor="text1"/>
          <w:sz w:val="21"/>
          <w:szCs w:val="21"/>
        </w:rPr>
        <w:t>г</w:t>
      </w:r>
      <w:r w:rsidRPr="00CA7C54">
        <w:rPr>
          <w:b/>
          <w:color w:val="000000" w:themeColor="text1"/>
          <w:sz w:val="21"/>
          <w:szCs w:val="21"/>
        </w:rPr>
        <w:t>ерметичні двері (ворота)</w:t>
      </w:r>
    </w:p>
    <w:p w14:paraId="1AD1536B"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Один з елементів тамбур-шлюзу (тамбур</w:t>
      </w:r>
      <w:r w:rsidR="004E656C" w:rsidRPr="00CA7C54">
        <w:rPr>
          <w:color w:val="000000" w:themeColor="text1"/>
          <w:sz w:val="21"/>
          <w:szCs w:val="21"/>
        </w:rPr>
        <w:t>а</w:t>
      </w:r>
      <w:r w:rsidRPr="00CA7C54">
        <w:rPr>
          <w:color w:val="000000" w:themeColor="text1"/>
          <w:sz w:val="21"/>
          <w:szCs w:val="21"/>
        </w:rPr>
        <w:t>) та загальної системи герметизації сховищ та споруд подвійного призначення із захисними властивостями сховищ, що являє собою спеціальну конструкцію (виріб, комплект), призначену для заповнення внутрішніх дверних прорізів або воріт та запобігає потрапл</w:t>
      </w:r>
      <w:r w:rsidR="0002068B" w:rsidRPr="00CA7C54">
        <w:rPr>
          <w:color w:val="000000" w:themeColor="text1"/>
          <w:sz w:val="21"/>
          <w:szCs w:val="21"/>
        </w:rPr>
        <w:t>янню</w:t>
      </w:r>
      <w:r w:rsidRPr="00CA7C54">
        <w:rPr>
          <w:color w:val="000000" w:themeColor="text1"/>
          <w:sz w:val="21"/>
          <w:szCs w:val="21"/>
        </w:rPr>
        <w:t xml:space="preserve"> до таких споруд (їх окремих приміщень) радіоактивних, хімічних та інших небезпечних речовин, продуктів горіння при пожежах</w:t>
      </w:r>
    </w:p>
    <w:p w14:paraId="6B79E1EC"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 xml:space="preserve">3.2 </w:t>
      </w:r>
      <w:r w:rsidR="00B03F7B" w:rsidRPr="00CA7C54">
        <w:rPr>
          <w:b/>
          <w:color w:val="000000" w:themeColor="text1"/>
          <w:sz w:val="21"/>
          <w:szCs w:val="21"/>
        </w:rPr>
        <w:t>з</w:t>
      </w:r>
      <w:r w:rsidRPr="00CA7C54">
        <w:rPr>
          <w:b/>
          <w:color w:val="000000" w:themeColor="text1"/>
          <w:sz w:val="21"/>
          <w:szCs w:val="21"/>
        </w:rPr>
        <w:t>ахисно-герметичні двері (ворота)</w:t>
      </w:r>
    </w:p>
    <w:p w14:paraId="3DDD0176"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Один з елементів тамбур-шлюзу (тамбур</w:t>
      </w:r>
      <w:r w:rsidR="004E656C" w:rsidRPr="00CA7C54">
        <w:rPr>
          <w:color w:val="000000" w:themeColor="text1"/>
          <w:sz w:val="21"/>
          <w:szCs w:val="21"/>
        </w:rPr>
        <w:t>а</w:t>
      </w:r>
      <w:r w:rsidRPr="00CA7C54">
        <w:rPr>
          <w:color w:val="000000" w:themeColor="text1"/>
          <w:sz w:val="21"/>
          <w:szCs w:val="21"/>
        </w:rPr>
        <w:t>) та загальної системи герметизації сховищ та споруд подвійного призначення із захисними властивостями сховищ, що являє собою спеціальну конструкцію (виріб, комплект), призначену для заповнення зовнішніх та внутрішніх дверних  прорізів або воріт, що має стійкість до дії надмірного тиску повітряної ударної хвилі, частково зменшує вплив зовнішнього іонізуючого випромінювання, запобігає потраплянню до таких споруд (їх окремих приміщень) радіоактивних, хімічних та інших небезпечних речовин, продуктів горіння при пожежах</w:t>
      </w:r>
    </w:p>
    <w:p w14:paraId="628DE6E7"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 xml:space="preserve">3.3 </w:t>
      </w:r>
      <w:r w:rsidR="00B03F7B" w:rsidRPr="00CA7C54">
        <w:rPr>
          <w:b/>
          <w:color w:val="000000" w:themeColor="text1"/>
          <w:sz w:val="21"/>
          <w:szCs w:val="21"/>
        </w:rPr>
        <w:t>з</w:t>
      </w:r>
      <w:r w:rsidRPr="00CA7C54">
        <w:rPr>
          <w:b/>
          <w:color w:val="000000" w:themeColor="text1"/>
          <w:sz w:val="21"/>
          <w:szCs w:val="21"/>
        </w:rPr>
        <w:t>ахисні двері (ворота)</w:t>
      </w:r>
    </w:p>
    <w:p w14:paraId="78E0205A"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Спеціальна конструкція (виріб, комплект), призначена для заповнення зовнішніх дверних  </w:t>
      </w:r>
      <w:r w:rsidRPr="00CA7C54">
        <w:rPr>
          <w:color w:val="000000" w:themeColor="text1"/>
          <w:sz w:val="21"/>
          <w:szCs w:val="21"/>
          <w:highlight w:val="white"/>
        </w:rPr>
        <w:t>прорізів або воріт у протирадіаційних укриттях та спорудах подвійного призначення із з</w:t>
      </w:r>
      <w:r w:rsidRPr="00CA7C54">
        <w:rPr>
          <w:color w:val="000000" w:themeColor="text1"/>
          <w:sz w:val="21"/>
          <w:szCs w:val="21"/>
        </w:rPr>
        <w:t>ахисними властивостями протирадіаційних укриттів, що має стійкість до дії надмірного тиску повітряної ударної хвилі та частково зменшує вплив зовнішнього іонізуючого випромінювання</w:t>
      </w:r>
    </w:p>
    <w:p w14:paraId="4946273D"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 xml:space="preserve">3.4 </w:t>
      </w:r>
      <w:r w:rsidR="00B03F7B" w:rsidRPr="00CA7C54">
        <w:rPr>
          <w:b/>
          <w:color w:val="000000" w:themeColor="text1"/>
          <w:sz w:val="21"/>
          <w:szCs w:val="21"/>
        </w:rPr>
        <w:t>з</w:t>
      </w:r>
      <w:r w:rsidRPr="00CA7C54">
        <w:rPr>
          <w:b/>
          <w:color w:val="000000" w:themeColor="text1"/>
          <w:sz w:val="21"/>
          <w:szCs w:val="21"/>
        </w:rPr>
        <w:t>ахисні властивості</w:t>
      </w:r>
    </w:p>
    <w:p w14:paraId="235C2375"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Сукупність технічних характеристик захисної споруди та її конструктивних елементів, що характеризує здатність чинити опір (зменшувати прогнозований вплив) небезпечним чинникам, які можуть виникнути як складова частина небезпечних явищ надзвичайної ситуації, воєнних (бойових) дій та терористичних актів</w:t>
      </w:r>
    </w:p>
    <w:p w14:paraId="20C9003F"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 xml:space="preserve">3.5 </w:t>
      </w:r>
      <w:r w:rsidR="00B03F7B" w:rsidRPr="00CA7C54">
        <w:rPr>
          <w:b/>
          <w:color w:val="000000" w:themeColor="text1"/>
          <w:sz w:val="21"/>
          <w:szCs w:val="21"/>
        </w:rPr>
        <w:t>к</w:t>
      </w:r>
      <w:r w:rsidRPr="00CA7C54">
        <w:rPr>
          <w:b/>
          <w:color w:val="000000" w:themeColor="text1"/>
          <w:sz w:val="21"/>
          <w:szCs w:val="21"/>
        </w:rPr>
        <w:t>оефіцієнт послаблення радіаційного впливу (коефіцієнт захисту)</w:t>
      </w:r>
    </w:p>
    <w:p w14:paraId="5A1B21F7"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Співвідношення значення дози радіації на висоті 1 м над горизонтальною безкінечною, гладкою, рівномірно забрудненою поверхнею, що виникає в результаті іонізуючого випромінювання від радіоактивно забрудненої місцевості, води та повітря, внаслідок випадання радіоактивних речовин з хмари ядерного вибуху, до дози радіації всередині захисної споруди цивільного захисту або споруди подвійного призначення, що характеризується відповідним коефіцієнтом захисту (</w:t>
      </w:r>
      <w:r w:rsidRPr="00CA7C54">
        <w:rPr>
          <w:i/>
          <w:iCs/>
          <w:color w:val="000000" w:themeColor="text1"/>
          <w:sz w:val="21"/>
          <w:szCs w:val="21"/>
        </w:rPr>
        <w:t>Кз</w:t>
      </w:r>
      <w:r w:rsidRPr="00CA7C54">
        <w:rPr>
          <w:color w:val="000000" w:themeColor="text1"/>
          <w:sz w:val="21"/>
          <w:szCs w:val="21"/>
        </w:rPr>
        <w:t>)</w:t>
      </w:r>
    </w:p>
    <w:p w14:paraId="5DF2D998" w14:textId="77777777" w:rsidR="003C4E04" w:rsidRPr="00CA7C54" w:rsidRDefault="001E748C" w:rsidP="00B03F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3.6 </w:t>
      </w:r>
      <w:r w:rsidR="00B03F7B" w:rsidRPr="00CA7C54">
        <w:rPr>
          <w:b/>
          <w:color w:val="000000" w:themeColor="text1"/>
          <w:sz w:val="21"/>
          <w:szCs w:val="21"/>
        </w:rPr>
        <w:t>с</w:t>
      </w:r>
      <w:r w:rsidRPr="00CA7C54">
        <w:rPr>
          <w:b/>
          <w:color w:val="000000" w:themeColor="text1"/>
          <w:sz w:val="21"/>
          <w:szCs w:val="21"/>
        </w:rPr>
        <w:t>тупінь послаблення радіаційного впливу (ступінь захисту)</w:t>
      </w:r>
    </w:p>
    <w:p w14:paraId="48928664" w14:textId="77777777" w:rsidR="003C4E04" w:rsidRPr="00CA7C54" w:rsidRDefault="001E748C" w:rsidP="00B03F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Співвідношення значення дози радіації, що виникає в результаті дії потоку гамма-променів та нейтронів (проникаючої радіації) із зони ядерної реакції (вибуху), а також іонізуючого випромінювання від радіоактивно забрудненої місцевості, води та повітря, внаслідок випадання радіоактивних речовин з хмари ядерного вибуху, до дози радіації всередині захисної споруди цивільного захисту або споруди подвійного призначення, що характеризується відповідним ступенем захисту (</w:t>
      </w:r>
      <w:r w:rsidRPr="00CA7C54">
        <w:rPr>
          <w:i/>
          <w:iCs/>
          <w:color w:val="000000" w:themeColor="text1"/>
          <w:sz w:val="21"/>
          <w:szCs w:val="21"/>
        </w:rPr>
        <w:t>Аз</w:t>
      </w:r>
      <w:r w:rsidRPr="00CA7C54">
        <w:rPr>
          <w:color w:val="000000" w:themeColor="text1"/>
          <w:sz w:val="21"/>
          <w:szCs w:val="21"/>
        </w:rPr>
        <w:t>)</w:t>
      </w:r>
    </w:p>
    <w:p w14:paraId="383A92EE" w14:textId="77777777" w:rsidR="003C4E04" w:rsidRPr="00CA7C54" w:rsidRDefault="001E748C" w:rsidP="00B03F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3.7 </w:t>
      </w:r>
      <w:r w:rsidR="00B03F7B" w:rsidRPr="00CA7C54">
        <w:rPr>
          <w:b/>
          <w:color w:val="000000" w:themeColor="text1"/>
          <w:sz w:val="21"/>
          <w:szCs w:val="21"/>
        </w:rPr>
        <w:t>т</w:t>
      </w:r>
      <w:r w:rsidRPr="00CA7C54">
        <w:rPr>
          <w:b/>
          <w:color w:val="000000" w:themeColor="text1"/>
          <w:sz w:val="21"/>
          <w:szCs w:val="21"/>
        </w:rPr>
        <w:t>амбур-шлюз</w:t>
      </w:r>
      <w:r w:rsidRPr="00CA7C54">
        <w:rPr>
          <w:color w:val="000000" w:themeColor="text1"/>
          <w:sz w:val="21"/>
          <w:szCs w:val="21"/>
        </w:rPr>
        <w:t> </w:t>
      </w:r>
    </w:p>
    <w:p w14:paraId="3A237DD1" w14:textId="77777777" w:rsidR="003C4E04" w:rsidRDefault="001E748C" w:rsidP="0055198D">
      <w:pPr>
        <w:pBdr>
          <w:top w:val="nil"/>
          <w:left w:val="nil"/>
          <w:bottom w:val="nil"/>
          <w:right w:val="nil"/>
          <w:between w:val="nil"/>
        </w:pBdr>
        <w:spacing w:before="0" w:after="120" w:line="288" w:lineRule="auto"/>
        <w:contextualSpacing/>
        <w:rPr>
          <w:color w:val="000000" w:themeColor="text1"/>
          <w:sz w:val="21"/>
          <w:szCs w:val="21"/>
        </w:rPr>
      </w:pPr>
      <w:r w:rsidRPr="00CA7C54">
        <w:rPr>
          <w:color w:val="000000" w:themeColor="text1"/>
          <w:sz w:val="21"/>
          <w:szCs w:val="21"/>
        </w:rPr>
        <w:t xml:space="preserve">Об’ємно-планувальний елемент (допоміжне приміщення) сховищ та споруд подвійного призначення із захисними властивостями сховищ, відокремлений від інших приміщень та зовнішнього простору стінами, захисно-герметичними та герметичними дверями й призначений для запобігання потрапляння до таких споруд радіоактивних, хімічних та інших небезпечних </w:t>
      </w:r>
      <w:r w:rsidRPr="00CA7C54">
        <w:rPr>
          <w:color w:val="000000" w:themeColor="text1"/>
          <w:sz w:val="21"/>
          <w:szCs w:val="21"/>
        </w:rPr>
        <w:lastRenderedPageBreak/>
        <w:t>речовин, продуктів горіння при пожежах у режимі використання за призначенням шляхом проведення процесу шлюзування (почергового відкриття та закриття дверей)</w:t>
      </w:r>
    </w:p>
    <w:p w14:paraId="7E9E8E18" w14:textId="77777777" w:rsidR="003C4E04" w:rsidRPr="00CA7C54" w:rsidRDefault="001E748C" w:rsidP="00E35BD6">
      <w:pPr>
        <w:pStyle w:val="2"/>
        <w:spacing w:before="0" w:after="60" w:line="288" w:lineRule="auto"/>
        <w:contextualSpacing/>
        <w:rPr>
          <w:rFonts w:ascii="Arial" w:hAnsi="Arial"/>
          <w:color w:val="000000" w:themeColor="text1"/>
          <w:sz w:val="21"/>
          <w:szCs w:val="21"/>
        </w:rPr>
      </w:pPr>
      <w:bookmarkStart w:id="5" w:name="_heading=h.h4m4cgxm4hpu" w:colFirst="0" w:colLast="0"/>
      <w:bookmarkEnd w:id="5"/>
      <w:r w:rsidRPr="00CA7C54">
        <w:rPr>
          <w:rFonts w:ascii="Arial" w:hAnsi="Arial"/>
          <w:color w:val="000000" w:themeColor="text1"/>
          <w:sz w:val="21"/>
          <w:szCs w:val="21"/>
        </w:rPr>
        <w:t>4 ПОЗНАКИ ТА СКОРОЧЕННЯ</w:t>
      </w:r>
    </w:p>
    <w:p w14:paraId="23BE2063" w14:textId="28AB3A06" w:rsidR="003C4E04" w:rsidRDefault="001E748C" w:rsidP="00CF7A05">
      <w:pPr>
        <w:spacing w:before="0" w:line="288" w:lineRule="auto"/>
        <w:contextualSpacing/>
        <w:rPr>
          <w:color w:val="000000" w:themeColor="text1"/>
          <w:sz w:val="21"/>
          <w:szCs w:val="21"/>
          <w:highlight w:val="white"/>
        </w:rPr>
      </w:pPr>
      <w:r w:rsidRPr="00CA7C54">
        <w:rPr>
          <w:color w:val="000000" w:themeColor="text1"/>
          <w:sz w:val="21"/>
          <w:szCs w:val="21"/>
          <w:highlight w:val="white"/>
        </w:rPr>
        <w:t xml:space="preserve">Познаки одиниць фізичних величин у цих будівельних нормах – згідно з </w:t>
      </w:r>
      <w:hyperlink r:id="rId105" w:history="1">
        <w:r w:rsidRPr="00032589">
          <w:rPr>
            <w:rStyle w:val="ac"/>
            <w:rFonts w:cs="Arial"/>
            <w:sz w:val="21"/>
            <w:szCs w:val="21"/>
            <w:highlight w:val="white"/>
          </w:rPr>
          <w:t>ДСТУ 3651.0</w:t>
        </w:r>
      </w:hyperlink>
      <w:r w:rsidRPr="00CA7C54">
        <w:rPr>
          <w:color w:val="000000" w:themeColor="text1"/>
          <w:sz w:val="21"/>
          <w:szCs w:val="21"/>
          <w:highlight w:val="white"/>
        </w:rPr>
        <w:t xml:space="preserve"> та</w:t>
      </w:r>
      <w:r w:rsidRPr="00CA7C54">
        <w:rPr>
          <w:color w:val="000000" w:themeColor="text1"/>
          <w:sz w:val="21"/>
          <w:szCs w:val="21"/>
          <w:highlight w:val="white"/>
        </w:rPr>
        <w:br/>
      </w:r>
      <w:hyperlink r:id="rId106" w:history="1">
        <w:r w:rsidRPr="00032589">
          <w:rPr>
            <w:rStyle w:val="ac"/>
            <w:rFonts w:cs="Arial"/>
            <w:sz w:val="21"/>
            <w:szCs w:val="21"/>
            <w:highlight w:val="white"/>
          </w:rPr>
          <w:t>ДСТУ 3651.1</w:t>
        </w:r>
      </w:hyperlink>
    </w:p>
    <w:p w14:paraId="4FED3E92"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У цих будівельних нормах використані такі скорочення:</w:t>
      </w:r>
    </w:p>
    <w:p w14:paraId="5B864140"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rPr>
        <w:t>АБЖ</w:t>
      </w:r>
      <w:r w:rsidRPr="00CA7C54">
        <w:rPr>
          <w:color w:val="000000" w:themeColor="text1"/>
          <w:sz w:val="21"/>
          <w:szCs w:val="21"/>
          <w:highlight w:val="white"/>
        </w:rPr>
        <w:t xml:space="preserve">– </w:t>
      </w:r>
      <w:r w:rsidRPr="00CA7C54">
        <w:rPr>
          <w:color w:val="000000" w:themeColor="text1"/>
          <w:sz w:val="21"/>
          <w:szCs w:val="21"/>
        </w:rPr>
        <w:t>агрегат безперебійного живлення</w:t>
      </w:r>
    </w:p>
    <w:p w14:paraId="488228C3"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ДЕС – дизельна електростанція</w:t>
      </w:r>
    </w:p>
    <w:p w14:paraId="4462ABFD"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ІТЗ ЦЗ – інженерно-технічні засоби цивільного захисту</w:t>
      </w:r>
    </w:p>
    <w:p w14:paraId="186CD903"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ІТП, ЦТП – індивідуальний тепловий пункт, центральний тепловий пункт</w:t>
      </w:r>
    </w:p>
    <w:p w14:paraId="22CE023C"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rPr>
      </w:pPr>
      <w:r w:rsidRPr="00CA7C54">
        <w:rPr>
          <w:color w:val="000000" w:themeColor="text1"/>
          <w:sz w:val="21"/>
          <w:szCs w:val="21"/>
        </w:rPr>
        <w:t>МГН –  маломобільні групи населення</w:t>
      </w:r>
    </w:p>
    <w:p w14:paraId="54388FD6"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НХР – небезпечні хімічні речовини</w:t>
      </w:r>
    </w:p>
    <w:p w14:paraId="18F2EEFE"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ОВД – оцінка впливу на довкілля</w:t>
      </w:r>
    </w:p>
    <w:p w14:paraId="3AC74F7B"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ОВНС – оцінка впливу на навколишнє середовище</w:t>
      </w:r>
    </w:p>
    <w:p w14:paraId="0B40E6EC" w14:textId="77777777" w:rsidR="003C4E04" w:rsidRPr="00CA7C54" w:rsidRDefault="001E748C" w:rsidP="00CF7A05">
      <w:pPr>
        <w:pBdr>
          <w:top w:val="nil"/>
          <w:left w:val="nil"/>
          <w:bottom w:val="nil"/>
          <w:right w:val="nil"/>
          <w:between w:val="nil"/>
        </w:pBdr>
        <w:spacing w:before="0" w:line="288" w:lineRule="auto"/>
        <w:contextualSpacing/>
        <w:rPr>
          <w:color w:val="000000" w:themeColor="text1"/>
          <w:sz w:val="21"/>
          <w:szCs w:val="21"/>
          <w:highlight w:val="white"/>
        </w:rPr>
      </w:pPr>
      <w:r w:rsidRPr="00CA7C54">
        <w:rPr>
          <w:color w:val="000000" w:themeColor="text1"/>
          <w:sz w:val="21"/>
          <w:szCs w:val="21"/>
          <w:highlight w:val="white"/>
        </w:rPr>
        <w:t>ОПН – об’єкт підвищеної небезпеки</w:t>
      </w:r>
    </w:p>
    <w:p w14:paraId="53E798EA"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ПММ – паливо-мастильні матеріали</w:t>
      </w:r>
    </w:p>
    <w:p w14:paraId="76E23726"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ПРУ – протирадіаційне укриття</w:t>
      </w:r>
    </w:p>
    <w:p w14:paraId="5F6AAD74" w14:textId="77777777" w:rsidR="003C4E04" w:rsidRPr="00CA7C54" w:rsidRDefault="001E748C" w:rsidP="00CF7A05">
      <w:pPr>
        <w:pBdr>
          <w:top w:val="nil"/>
          <w:left w:val="nil"/>
          <w:bottom w:val="nil"/>
          <w:right w:val="nil"/>
          <w:between w:val="nil"/>
        </w:pBdr>
        <w:spacing w:before="0" w:line="288" w:lineRule="auto"/>
        <w:contextualSpacing/>
        <w:rPr>
          <w:color w:val="000000" w:themeColor="text1"/>
          <w:sz w:val="21"/>
          <w:szCs w:val="21"/>
          <w:highlight w:val="white"/>
        </w:rPr>
      </w:pPr>
      <w:r w:rsidRPr="00CA7C54">
        <w:rPr>
          <w:color w:val="000000" w:themeColor="text1"/>
          <w:sz w:val="21"/>
          <w:szCs w:val="21"/>
          <w:highlight w:val="white"/>
        </w:rPr>
        <w:t>СПП –споруда подвійного призначення</w:t>
      </w:r>
    </w:p>
    <w:p w14:paraId="1A8D36B3" w14:textId="77777777" w:rsidR="003C4E04" w:rsidRPr="00CA7C54" w:rsidRDefault="001E748C" w:rsidP="00BE6C17">
      <w:pPr>
        <w:pBdr>
          <w:top w:val="nil"/>
          <w:left w:val="nil"/>
          <w:bottom w:val="nil"/>
          <w:right w:val="nil"/>
          <w:between w:val="nil"/>
        </w:pBdr>
        <w:spacing w:before="0" w:after="120" w:line="288" w:lineRule="auto"/>
        <w:contextualSpacing/>
        <w:rPr>
          <w:rFonts w:eastAsia="Times New Roman"/>
          <w:color w:val="000000" w:themeColor="text1"/>
          <w:sz w:val="21"/>
          <w:szCs w:val="21"/>
        </w:rPr>
      </w:pPr>
      <w:r w:rsidRPr="00CA7C54">
        <w:rPr>
          <w:color w:val="000000" w:themeColor="text1"/>
          <w:sz w:val="21"/>
          <w:szCs w:val="21"/>
          <w:highlight w:val="white"/>
        </w:rPr>
        <w:t>ХНО  – хімічно небезпечні об’єкти</w:t>
      </w:r>
    </w:p>
    <w:p w14:paraId="367838A9" w14:textId="77777777" w:rsidR="003C4E04" w:rsidRPr="00CA7C54" w:rsidRDefault="001E748C" w:rsidP="00E35BD6">
      <w:pPr>
        <w:pStyle w:val="2"/>
        <w:spacing w:before="0" w:after="60" w:line="288" w:lineRule="auto"/>
        <w:rPr>
          <w:rFonts w:ascii="Arial" w:hAnsi="Arial"/>
          <w:color w:val="000000" w:themeColor="text1"/>
          <w:sz w:val="21"/>
          <w:szCs w:val="21"/>
        </w:rPr>
      </w:pPr>
      <w:bookmarkStart w:id="6" w:name="_heading=h.17dp8vu" w:colFirst="0" w:colLast="0"/>
      <w:bookmarkEnd w:id="6"/>
      <w:r w:rsidRPr="00CA7C54">
        <w:rPr>
          <w:rFonts w:ascii="Arial" w:hAnsi="Arial"/>
          <w:color w:val="000000" w:themeColor="text1"/>
          <w:sz w:val="21"/>
          <w:szCs w:val="21"/>
        </w:rPr>
        <w:t>5 ЗАГАЛЬНІ ПОЛОЖЕННЯ</w:t>
      </w:r>
    </w:p>
    <w:p w14:paraId="3D2277BF" w14:textId="02923EF0"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rPr>
        <w:t>5.1</w:t>
      </w:r>
      <w:r w:rsidR="00E40099">
        <w:rPr>
          <w:b/>
          <w:color w:val="000000" w:themeColor="text1"/>
        </w:rPr>
        <w:t xml:space="preserve"> </w:t>
      </w:r>
      <w:r w:rsidRPr="00CA7C54">
        <w:rPr>
          <w:color w:val="000000" w:themeColor="text1"/>
          <w:sz w:val="21"/>
          <w:szCs w:val="21"/>
          <w:highlight w:val="white"/>
        </w:rPr>
        <w:t>Захисні споруди цивільного захисту  (далі – захисні споруди) та споруди подвійного призначення (далі –  СПП) про</w:t>
      </w:r>
      <w:r w:rsidR="001630FF" w:rsidRPr="00CA7C54">
        <w:rPr>
          <w:color w:val="000000" w:themeColor="text1"/>
          <w:sz w:val="21"/>
          <w:szCs w:val="21"/>
          <w:highlight w:val="white"/>
        </w:rPr>
        <w:t>є</w:t>
      </w:r>
      <w:r w:rsidRPr="00CA7C54">
        <w:rPr>
          <w:color w:val="000000" w:themeColor="text1"/>
          <w:sz w:val="21"/>
          <w:szCs w:val="21"/>
          <w:highlight w:val="white"/>
        </w:rPr>
        <w:t>ктуються та будуються таким чином, щоб протягом певного часу (до 48 годин) створити належні умови для перебування людей, що підлягають укриттю, та забезпечити відповідний ступінь їх захисту від прогнозованих впливів небезпечних чинників, які можуть виникнути як складова частина небезпечних явищ надзвичайної ситуації, воєнних (бойових) дій та терористичних актів.</w:t>
      </w:r>
    </w:p>
    <w:p w14:paraId="6E58B7BF" w14:textId="77777777"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5.2</w:t>
      </w:r>
      <w:r w:rsidRPr="00CA7C54">
        <w:rPr>
          <w:color w:val="000000" w:themeColor="text1"/>
          <w:sz w:val="21"/>
          <w:szCs w:val="21"/>
          <w:highlight w:val="white"/>
        </w:rPr>
        <w:t xml:space="preserve"> Захисні споруди залежно від умов, що в них створюються, та захисних властивостей поділяються на: сховища та протирадіаційні укриття (далі – ПРУ).</w:t>
      </w:r>
    </w:p>
    <w:p w14:paraId="5C8E00AA" w14:textId="77777777"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 xml:space="preserve">5.3 </w:t>
      </w:r>
      <w:r w:rsidRPr="00CA7C54">
        <w:rPr>
          <w:color w:val="000000" w:themeColor="text1"/>
          <w:sz w:val="21"/>
          <w:szCs w:val="21"/>
          <w:highlight w:val="white"/>
        </w:rPr>
        <w:t xml:space="preserve">З метою раціонального використання захисних споруд поза межами періоду дії надзвичайних ситуацій, воєнних (бойових) дій та терористичних актів в житлових будінках та будівлях </w:t>
      </w:r>
      <w:r w:rsidR="001630FF" w:rsidRPr="00CA7C54">
        <w:rPr>
          <w:color w:val="000000" w:themeColor="text1"/>
          <w:sz w:val="21"/>
          <w:szCs w:val="21"/>
          <w:highlight w:val="white"/>
        </w:rPr>
        <w:t>г</w:t>
      </w:r>
      <w:r w:rsidRPr="00CA7C54">
        <w:rPr>
          <w:color w:val="000000" w:themeColor="text1"/>
          <w:sz w:val="21"/>
          <w:szCs w:val="21"/>
          <w:highlight w:val="white"/>
        </w:rPr>
        <w:t>ромадського призначення, у тому числі закладах освіти та закладах охорони здоров’я рекомендується про</w:t>
      </w:r>
      <w:r w:rsidR="0010730F" w:rsidRPr="00CA7C54">
        <w:rPr>
          <w:color w:val="000000" w:themeColor="text1"/>
          <w:sz w:val="21"/>
          <w:szCs w:val="21"/>
          <w:highlight w:val="white"/>
        </w:rPr>
        <w:t>є</w:t>
      </w:r>
      <w:r w:rsidRPr="00CA7C54">
        <w:rPr>
          <w:color w:val="000000" w:themeColor="text1"/>
          <w:sz w:val="21"/>
          <w:szCs w:val="21"/>
          <w:highlight w:val="white"/>
        </w:rPr>
        <w:t>ктувати СПП, які:</w:t>
      </w:r>
    </w:p>
    <w:p w14:paraId="4EBC5159" w14:textId="77777777" w:rsidR="003C4E04" w:rsidRPr="00CA7C54" w:rsidRDefault="00A60480"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призначені для використання за основним функціональним призначенням з метою забезпечення суспільних або господарських потреб (основне функціональне призначення); </w:t>
      </w:r>
    </w:p>
    <w:p w14:paraId="2989AA23" w14:textId="77777777" w:rsidR="003C4E04" w:rsidRPr="00CA7C54" w:rsidRDefault="00A60480"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мають захисні властивості сховищ або ПРУ та спро</w:t>
      </w:r>
      <w:r w:rsidR="001630FF" w:rsidRPr="00CA7C54">
        <w:rPr>
          <w:color w:val="000000" w:themeColor="text1"/>
          <w:sz w:val="21"/>
          <w:szCs w:val="21"/>
        </w:rPr>
        <w:t>є</w:t>
      </w:r>
      <w:r w:rsidR="001E748C" w:rsidRPr="00CA7C54">
        <w:rPr>
          <w:color w:val="000000" w:themeColor="text1"/>
          <w:sz w:val="21"/>
          <w:szCs w:val="21"/>
        </w:rPr>
        <w:t>ктовані, побудовані або пристосовані таким чином, щоб забезпечити умови для тимчасового перебування людей, що підлягають укриттю, під час дії надзвичайної ситуації, воєнних (бойових) дій та терористичних актів.</w:t>
      </w:r>
    </w:p>
    <w:p w14:paraId="2150BC49" w14:textId="77777777"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СПП мають одночасно задовольняти вимоги, встановлені  будівельними нормами відповідно до обох функціональних призначень таких споруд.</w:t>
      </w:r>
    </w:p>
    <w:p w14:paraId="3153FF82" w14:textId="77777777"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pacing w:val="-8"/>
          <w:sz w:val="21"/>
          <w:szCs w:val="21"/>
          <w:highlight w:val="white"/>
        </w:rPr>
      </w:pPr>
      <w:r w:rsidRPr="00CA7C54">
        <w:rPr>
          <w:b/>
          <w:color w:val="000000" w:themeColor="text1"/>
          <w:sz w:val="21"/>
          <w:szCs w:val="21"/>
        </w:rPr>
        <w:t>5.4</w:t>
      </w:r>
      <w:r w:rsidRPr="00CA7C54">
        <w:rPr>
          <w:color w:val="000000" w:themeColor="text1"/>
          <w:sz w:val="21"/>
          <w:szCs w:val="21"/>
        </w:rPr>
        <w:t xml:space="preserve"> Об’ємно-планувальні та конструктивні рішення, спеціальне та інше інженерне обладнання, системи життєзабезпечення захисних споруд та СПП мають дозволяти їх приведення </w:t>
      </w:r>
      <w:r w:rsidRPr="00CA7C54">
        <w:rPr>
          <w:color w:val="000000" w:themeColor="text1"/>
          <w:spacing w:val="-8"/>
          <w:sz w:val="21"/>
          <w:szCs w:val="21"/>
        </w:rPr>
        <w:t>у готовність до використання за призначенням у строки, передбачені нормативно-правовими ак</w:t>
      </w:r>
      <w:r w:rsidRPr="00CA7C54">
        <w:rPr>
          <w:color w:val="000000" w:themeColor="text1"/>
          <w:spacing w:val="-8"/>
          <w:sz w:val="21"/>
          <w:szCs w:val="21"/>
          <w:highlight w:val="white"/>
        </w:rPr>
        <w:t>тами [1], [7].</w:t>
      </w:r>
    </w:p>
    <w:p w14:paraId="7E7DE089" w14:textId="14C99E48" w:rsidR="00032589" w:rsidRDefault="001E748C" w:rsidP="00CD4985">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Приміщення захисних споруд та СПП можуть бути обладнані засобами (пристроями) для їх звільнення від техніки та майна, що знаходяться у цих спорудах під час їх використання для потреб суб’єкта господарювання у мирний час (поза межами періоду дії надзвичайних ситуацій, воєнних (бойових) дій та терористичних актів). Такі засоби (пристрої) не мають знижувати встановлених  захисних властивостей захисних споруд </w:t>
      </w:r>
      <w:r w:rsidR="001630FF" w:rsidRPr="00CA7C54">
        <w:rPr>
          <w:color w:val="000000" w:themeColor="text1"/>
          <w:sz w:val="21"/>
          <w:szCs w:val="21"/>
        </w:rPr>
        <w:t>та</w:t>
      </w:r>
      <w:r w:rsidRPr="00CA7C54">
        <w:rPr>
          <w:color w:val="000000" w:themeColor="text1"/>
          <w:sz w:val="21"/>
          <w:szCs w:val="21"/>
        </w:rPr>
        <w:t xml:space="preserve"> СПП.</w:t>
      </w:r>
      <w:r w:rsidR="00032589">
        <w:rPr>
          <w:color w:val="000000" w:themeColor="text1"/>
          <w:sz w:val="21"/>
          <w:szCs w:val="21"/>
        </w:rPr>
        <w:br w:type="page"/>
      </w:r>
    </w:p>
    <w:p w14:paraId="3E1BDE75" w14:textId="77777777" w:rsidR="003C4E04" w:rsidRPr="00CA7C54" w:rsidRDefault="001E748C" w:rsidP="00CD498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lastRenderedPageBreak/>
        <w:t>5.5</w:t>
      </w:r>
      <w:r w:rsidRPr="00CA7C54">
        <w:rPr>
          <w:color w:val="000000" w:themeColor="text1"/>
          <w:sz w:val="21"/>
          <w:szCs w:val="21"/>
        </w:rPr>
        <w:t xml:space="preserve"> Захисні споруди та СПП про</w:t>
      </w:r>
      <w:r w:rsidR="001630FF" w:rsidRPr="00CA7C54">
        <w:rPr>
          <w:color w:val="000000" w:themeColor="text1"/>
          <w:sz w:val="21"/>
          <w:szCs w:val="21"/>
        </w:rPr>
        <w:t>є</w:t>
      </w:r>
      <w:r w:rsidRPr="00CA7C54">
        <w:rPr>
          <w:color w:val="000000" w:themeColor="text1"/>
          <w:sz w:val="21"/>
          <w:szCs w:val="21"/>
        </w:rPr>
        <w:t>ктуються з урахуванням вимог:</w:t>
      </w:r>
    </w:p>
    <w:p w14:paraId="4E31FD8D" w14:textId="77777777" w:rsidR="003C4E04" w:rsidRPr="00CA7C54" w:rsidRDefault="00A60480" w:rsidP="00CD498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розділу ІТЗ ЦЗ у містобудівній документації відпові</w:t>
      </w:r>
      <w:r w:rsidR="001E748C" w:rsidRPr="00CA7C54">
        <w:rPr>
          <w:color w:val="000000" w:themeColor="text1"/>
          <w:sz w:val="21"/>
          <w:szCs w:val="21"/>
          <w:highlight w:val="white"/>
        </w:rPr>
        <w:t>дного рівня з урахуваннямрадіусу збору населення;</w:t>
      </w:r>
    </w:p>
    <w:p w14:paraId="6ED8FC43" w14:textId="77777777" w:rsidR="00E35BD6" w:rsidRDefault="00A60480" w:rsidP="00CD4985">
      <w:pPr>
        <w:pBdr>
          <w:top w:val="nil"/>
          <w:left w:val="nil"/>
          <w:bottom w:val="nil"/>
          <w:right w:val="nil"/>
          <w:between w:val="nil"/>
        </w:pBdr>
        <w:spacing w:before="0" w:line="288" w:lineRule="auto"/>
        <w:contextualSpacing/>
        <w:rPr>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 xml:space="preserve">розділу </w:t>
      </w:r>
      <w:r w:rsidR="001E748C" w:rsidRPr="00CA7C54">
        <w:rPr>
          <w:color w:val="000000" w:themeColor="text1"/>
          <w:sz w:val="21"/>
          <w:szCs w:val="21"/>
        </w:rPr>
        <w:t>ІТЗ ЦЗ</w:t>
      </w:r>
      <w:r w:rsidR="001E748C" w:rsidRPr="00CA7C54">
        <w:rPr>
          <w:color w:val="000000" w:themeColor="text1"/>
          <w:sz w:val="21"/>
          <w:szCs w:val="21"/>
          <w:highlight w:val="white"/>
        </w:rPr>
        <w:t xml:space="preserve"> у проєктній документації на будівництво об'єктів різного призначення. </w:t>
      </w:r>
    </w:p>
    <w:p w14:paraId="155281B7"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Радіус збору населення визначається з урахуванням радіусу пішохідної доступності населення до захисних споруд та СПП, який приймають з урахуванням особливостей місцевості та рельєфу:</w:t>
      </w:r>
    </w:p>
    <w:p w14:paraId="19470833" w14:textId="77777777" w:rsidR="003C4E04" w:rsidRPr="00CA7C54" w:rsidRDefault="00A60480" w:rsidP="0038736B">
      <w:pPr>
        <w:pBdr>
          <w:top w:val="nil"/>
          <w:left w:val="nil"/>
          <w:bottom w:val="nil"/>
          <w:right w:val="nil"/>
          <w:between w:val="nil"/>
        </w:pBdr>
        <w:tabs>
          <w:tab w:val="left" w:pos="1276"/>
        </w:tabs>
        <w:spacing w:before="0"/>
        <w:contextualSpacing/>
        <w:jc w:val="left"/>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300 м  </w:t>
      </w:r>
      <w:r w:rsidR="001E748C" w:rsidRPr="00CA7C54">
        <w:rPr>
          <w:color w:val="000000" w:themeColor="text1"/>
          <w:sz w:val="21"/>
          <w:szCs w:val="21"/>
          <w:highlight w:val="white"/>
        </w:rPr>
        <w:t xml:space="preserve">– </w:t>
      </w:r>
      <w:r w:rsidR="001E748C" w:rsidRPr="00CA7C54">
        <w:rPr>
          <w:color w:val="000000" w:themeColor="text1"/>
          <w:sz w:val="21"/>
          <w:szCs w:val="21"/>
        </w:rPr>
        <w:t xml:space="preserve"> для багатоповерхової забудови, забудови підвищеної поверховості та висотної забудови;</w:t>
      </w:r>
    </w:p>
    <w:p w14:paraId="55124147" w14:textId="77777777" w:rsidR="003C4E04" w:rsidRPr="00CA7C54" w:rsidRDefault="00A60480"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500 м </w:t>
      </w:r>
      <w:r w:rsidR="001E748C" w:rsidRPr="00CA7C54">
        <w:rPr>
          <w:color w:val="000000" w:themeColor="text1"/>
          <w:sz w:val="21"/>
          <w:szCs w:val="21"/>
          <w:highlight w:val="white"/>
        </w:rPr>
        <w:t xml:space="preserve">– </w:t>
      </w:r>
      <w:r w:rsidR="001E748C" w:rsidRPr="00CA7C54">
        <w:rPr>
          <w:color w:val="000000" w:themeColor="text1"/>
          <w:sz w:val="21"/>
          <w:szCs w:val="21"/>
        </w:rPr>
        <w:t>для  середньоповерхової та малоповерхові забудови;</w:t>
      </w:r>
    </w:p>
    <w:p w14:paraId="385F15D6" w14:textId="77777777" w:rsidR="003C4E04" w:rsidRPr="00CA7C54" w:rsidRDefault="00A60480" w:rsidP="0038736B">
      <w:pPr>
        <w:pBdr>
          <w:top w:val="nil"/>
          <w:left w:val="nil"/>
          <w:bottom w:val="nil"/>
          <w:right w:val="nil"/>
          <w:between w:val="nil"/>
        </w:pBdr>
        <w:spacing w:before="0"/>
        <w:contextualSpacing/>
        <w:jc w:val="left"/>
        <w:rPr>
          <w:rFonts w:ascii="Times New Roman" w:eastAsia="Times New Roman" w:hAnsi="Times New Roman" w:cs="Times New Roman"/>
          <w:color w:val="000000" w:themeColor="text1"/>
          <w:spacing w:val="-4"/>
          <w:sz w:val="21"/>
          <w:szCs w:val="21"/>
        </w:rPr>
      </w:pPr>
      <w:r>
        <w:rPr>
          <w:color w:val="000000" w:themeColor="text1"/>
          <w:sz w:val="21"/>
          <w:szCs w:val="21"/>
        </w:rPr>
        <w:t xml:space="preserve">- </w:t>
      </w:r>
      <w:r w:rsidR="001E748C" w:rsidRPr="00CA7C54">
        <w:rPr>
          <w:color w:val="000000" w:themeColor="text1"/>
          <w:sz w:val="21"/>
          <w:szCs w:val="21"/>
        </w:rPr>
        <w:t xml:space="preserve">300 м </w:t>
      </w:r>
      <w:r w:rsidR="001E748C" w:rsidRPr="00CA7C54">
        <w:rPr>
          <w:color w:val="000000" w:themeColor="text1"/>
          <w:sz w:val="21"/>
          <w:szCs w:val="21"/>
          <w:highlight w:val="white"/>
        </w:rPr>
        <w:t xml:space="preserve">– </w:t>
      </w:r>
      <w:r w:rsidR="001E748C" w:rsidRPr="00CA7C54">
        <w:rPr>
          <w:color w:val="000000" w:themeColor="text1"/>
          <w:spacing w:val="-4"/>
          <w:sz w:val="21"/>
          <w:szCs w:val="21"/>
        </w:rPr>
        <w:t>для суб’єктів господарювання віднесених до відповідних категорії цивільного захисту; </w:t>
      </w:r>
    </w:p>
    <w:p w14:paraId="32D592CD" w14:textId="77777777" w:rsidR="003C4E04" w:rsidRPr="00CA7C54" w:rsidRDefault="00A60480"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більше</w:t>
      </w:r>
      <w:r w:rsidR="002600BF" w:rsidRPr="00CA7C54">
        <w:rPr>
          <w:color w:val="000000" w:themeColor="text1"/>
          <w:sz w:val="21"/>
          <w:szCs w:val="21"/>
        </w:rPr>
        <w:t xml:space="preserve"> ніж</w:t>
      </w:r>
      <w:r w:rsidR="001E748C" w:rsidRPr="00CA7C54">
        <w:rPr>
          <w:color w:val="000000" w:themeColor="text1"/>
          <w:sz w:val="21"/>
          <w:szCs w:val="21"/>
        </w:rPr>
        <w:t xml:space="preserve"> 500 м </w:t>
      </w:r>
      <w:r w:rsidR="001E748C" w:rsidRPr="00CA7C54">
        <w:rPr>
          <w:color w:val="000000" w:themeColor="text1"/>
          <w:sz w:val="21"/>
          <w:szCs w:val="21"/>
          <w:highlight w:val="white"/>
        </w:rPr>
        <w:t xml:space="preserve">– </w:t>
      </w:r>
      <w:r w:rsidR="001E748C" w:rsidRPr="00CA7C54">
        <w:rPr>
          <w:color w:val="000000" w:themeColor="text1"/>
          <w:sz w:val="21"/>
          <w:szCs w:val="21"/>
        </w:rPr>
        <w:t xml:space="preserve"> для інших суб'єктів господарювання. </w:t>
      </w:r>
    </w:p>
    <w:p w14:paraId="466D9711"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Радіуси пішохідної доступності захисних споруд та СПП можуть уточнюватись додатково розділом ІТЗ ЦЗ у містобудівній документації. </w:t>
      </w:r>
    </w:p>
    <w:p w14:paraId="754943C9" w14:textId="38D2B626" w:rsidR="003C4E04" w:rsidRPr="00CA7C54" w:rsidRDefault="001E748C" w:rsidP="00E35BD6">
      <w:pPr>
        <w:pBdr>
          <w:top w:val="nil"/>
          <w:left w:val="nil"/>
          <w:bottom w:val="nil"/>
          <w:right w:val="nil"/>
          <w:between w:val="nil"/>
        </w:pBdr>
        <w:spacing w:before="0" w:line="288" w:lineRule="auto"/>
        <w:contextualSpacing/>
        <w:rPr>
          <w:color w:val="000000" w:themeColor="text1"/>
          <w:sz w:val="20"/>
          <w:szCs w:val="20"/>
        </w:rPr>
      </w:pPr>
      <w:r w:rsidRPr="00CA7C54">
        <w:rPr>
          <w:b/>
          <w:color w:val="000000" w:themeColor="text1"/>
          <w:sz w:val="20"/>
          <w:szCs w:val="20"/>
        </w:rPr>
        <w:t>Примітка 1</w:t>
      </w:r>
      <w:r w:rsidR="0049165E">
        <w:rPr>
          <w:b/>
          <w:color w:val="000000" w:themeColor="text1"/>
          <w:sz w:val="20"/>
          <w:szCs w:val="20"/>
        </w:rPr>
        <w:t>.</w:t>
      </w:r>
      <w:r w:rsidRPr="00CA7C54">
        <w:rPr>
          <w:color w:val="000000" w:themeColor="text1"/>
          <w:sz w:val="20"/>
          <w:szCs w:val="20"/>
        </w:rPr>
        <w:t xml:space="preserve"> Розроблення розділу ІТЗ ЦЗ у складі містобудівної документації здійснюється відповідно до вимог </w:t>
      </w:r>
      <w:hyperlink r:id="rId107" w:history="1">
        <w:r w:rsidRPr="00032589">
          <w:rPr>
            <w:rStyle w:val="ac"/>
            <w:rFonts w:cs="Arial"/>
            <w:sz w:val="20"/>
            <w:szCs w:val="20"/>
          </w:rPr>
          <w:t>ДБН Б.1.1-5</w:t>
        </w:r>
      </w:hyperlink>
      <w:r w:rsidRPr="00CA7C54">
        <w:rPr>
          <w:color w:val="000000" w:themeColor="text1"/>
          <w:sz w:val="20"/>
          <w:szCs w:val="20"/>
        </w:rPr>
        <w:t>, про</w:t>
      </w:r>
      <w:r w:rsidR="00D96D53" w:rsidRPr="00CA7C54">
        <w:rPr>
          <w:color w:val="000000" w:themeColor="text1"/>
          <w:sz w:val="20"/>
          <w:szCs w:val="20"/>
        </w:rPr>
        <w:t>є</w:t>
      </w:r>
      <w:r w:rsidRPr="00CA7C54">
        <w:rPr>
          <w:color w:val="000000" w:themeColor="text1"/>
          <w:sz w:val="20"/>
          <w:szCs w:val="20"/>
        </w:rPr>
        <w:t xml:space="preserve">ктної документації на будівництво об’єктів – </w:t>
      </w:r>
      <w:hyperlink r:id="rId108" w:history="1">
        <w:r w:rsidRPr="00032589">
          <w:rPr>
            <w:rStyle w:val="ac"/>
            <w:rFonts w:cs="Arial"/>
            <w:sz w:val="20"/>
            <w:szCs w:val="20"/>
          </w:rPr>
          <w:t>ДСТУ 8773</w:t>
        </w:r>
      </w:hyperlink>
      <w:r w:rsidRPr="00CA7C54">
        <w:rPr>
          <w:color w:val="000000" w:themeColor="text1"/>
          <w:sz w:val="20"/>
          <w:szCs w:val="20"/>
        </w:rPr>
        <w:t>. </w:t>
      </w:r>
    </w:p>
    <w:p w14:paraId="16BA6358" w14:textId="77777777" w:rsidR="003C4E04" w:rsidRPr="00CA7C54" w:rsidRDefault="001E748C" w:rsidP="00E35BD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5.</w:t>
      </w:r>
      <w:r w:rsidR="00971307">
        <w:rPr>
          <w:b/>
          <w:color w:val="000000" w:themeColor="text1"/>
          <w:sz w:val="21"/>
          <w:szCs w:val="21"/>
          <w:highlight w:val="white"/>
        </w:rPr>
        <w:t>6</w:t>
      </w:r>
      <w:r w:rsidRPr="00CA7C54">
        <w:rPr>
          <w:color w:val="000000" w:themeColor="text1"/>
          <w:sz w:val="21"/>
          <w:szCs w:val="21"/>
          <w:highlight w:val="white"/>
        </w:rPr>
        <w:t>У разі поділу об’єкта будівництва на черги або пускові комплекси, черга  або пусковий комплекс, яка вводиться в експлуатацію першою відповідно до про</w:t>
      </w:r>
      <w:r w:rsidR="00264285" w:rsidRPr="00CA7C54">
        <w:rPr>
          <w:color w:val="000000" w:themeColor="text1"/>
          <w:sz w:val="21"/>
          <w:szCs w:val="21"/>
          <w:highlight w:val="white"/>
        </w:rPr>
        <w:t>є</w:t>
      </w:r>
      <w:r w:rsidRPr="00CA7C54">
        <w:rPr>
          <w:color w:val="000000" w:themeColor="text1"/>
          <w:sz w:val="21"/>
          <w:szCs w:val="21"/>
          <w:highlight w:val="white"/>
        </w:rPr>
        <w:t>ктної документації, у своєму складі повинна включати будівництво захисних споруд або СПП, місткість яких відповідає потребам даної черги  (пускового комплексу) або об’єкта будівництва в цілому.</w:t>
      </w:r>
    </w:p>
    <w:p w14:paraId="0781DB0C" w14:textId="77777777" w:rsidR="003C4E04" w:rsidRPr="00CA7C54" w:rsidRDefault="001E748C" w:rsidP="00E35BD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Кожна наступна черга (пусковий комплекс) має бути забезпечен</w:t>
      </w:r>
      <w:r w:rsidR="0002068B" w:rsidRPr="00CA7C54">
        <w:rPr>
          <w:color w:val="000000" w:themeColor="text1"/>
          <w:sz w:val="21"/>
          <w:szCs w:val="21"/>
          <w:highlight w:val="white"/>
        </w:rPr>
        <w:t>а</w:t>
      </w:r>
      <w:r w:rsidRPr="00CA7C54">
        <w:rPr>
          <w:color w:val="000000" w:themeColor="text1"/>
          <w:sz w:val="21"/>
          <w:szCs w:val="21"/>
          <w:highlight w:val="white"/>
        </w:rPr>
        <w:t xml:space="preserve"> захисними спорудами або СПП у своєму складі або у складі попередніх черг (пускових комплексів), які введені в експлуатацію.</w:t>
      </w:r>
    </w:p>
    <w:p w14:paraId="1BBD180E" w14:textId="77777777" w:rsidR="003C4E04" w:rsidRPr="00CA7C54" w:rsidRDefault="001E748C"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5.</w:t>
      </w:r>
      <w:r w:rsidR="00971307">
        <w:rPr>
          <w:b/>
          <w:color w:val="000000" w:themeColor="text1"/>
          <w:sz w:val="21"/>
          <w:szCs w:val="21"/>
        </w:rPr>
        <w:t>7</w:t>
      </w:r>
      <w:r w:rsidRPr="00CA7C54">
        <w:rPr>
          <w:color w:val="000000" w:themeColor="text1"/>
          <w:sz w:val="21"/>
          <w:szCs w:val="21"/>
        </w:rPr>
        <w:t>Захисні властивості сховищ п</w:t>
      </w:r>
      <w:r w:rsidRPr="00CA7C54">
        <w:rPr>
          <w:color w:val="000000" w:themeColor="text1"/>
          <w:sz w:val="21"/>
          <w:szCs w:val="21"/>
          <w:highlight w:val="white"/>
        </w:rPr>
        <w:t>ередбачають виключення або зменшення впливу таких прогнозованих небезпечних чинників (факторів):</w:t>
      </w:r>
    </w:p>
    <w:p w14:paraId="40508982"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дії повітряної ударної хвилі від побічної дії зброї масового ураження з розрахунковим надмірним тиском; </w:t>
      </w:r>
    </w:p>
    <w:p w14:paraId="6CB81172"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дії повітряної ударної хвилі при застосуванні звичайних засобів ураження;</w:t>
      </w:r>
    </w:p>
    <w:p w14:paraId="6C823EB8"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 xml:space="preserve">проникнення уламками засобів звичайного ураження; </w:t>
      </w:r>
    </w:p>
    <w:p w14:paraId="5BACFFDE"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дії небезпечних хімічних речовин, радіоактивних речовин бойових отруйних речовин, небезпечних біологічних речовин та бактеріальних засобів ураження;</w:t>
      </w:r>
    </w:p>
    <w:p w14:paraId="16E0DE90"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дії проникаючої радіації та іонізуючого випромінювання від радіоактивно забруднення місцевості, води та повітря, шляхом забезпеченн</w:t>
      </w:r>
      <w:r w:rsidR="0073560F" w:rsidRPr="00CA7C54">
        <w:rPr>
          <w:color w:val="000000" w:themeColor="text1"/>
          <w:sz w:val="21"/>
          <w:szCs w:val="21"/>
          <w:highlight w:val="white"/>
        </w:rPr>
        <w:t>я</w:t>
      </w:r>
      <w:r w:rsidR="001E748C" w:rsidRPr="00CA7C54">
        <w:rPr>
          <w:color w:val="000000" w:themeColor="text1"/>
          <w:sz w:val="21"/>
          <w:szCs w:val="21"/>
          <w:highlight w:val="white"/>
        </w:rPr>
        <w:t xml:space="preserve"> нормативного ступеня послаблення радіаційного впливу (ступеня захисту); </w:t>
      </w:r>
    </w:p>
    <w:p w14:paraId="4BC6F7E7"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катастрофічного затоплення (для сховищ, що розташовуються у зонах можливого катастрофічного затоплення);</w:t>
      </w:r>
    </w:p>
    <w:p w14:paraId="2B213E99"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дії високих температур та продуктів горіння при пожежах.</w:t>
      </w:r>
    </w:p>
    <w:p w14:paraId="356B39B7" w14:textId="77777777" w:rsidR="003C4E04" w:rsidRPr="00CA7C54" w:rsidRDefault="001E748C"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Перелік та необхідні мінімальні розрахункові параметри захисних властивостей сховищ та СПП із захисними властивостями сховищ визначаються залежно від їх класу, що обирає</w:t>
      </w:r>
      <w:r w:rsidR="004E5118" w:rsidRPr="00CA7C54">
        <w:rPr>
          <w:color w:val="000000" w:themeColor="text1"/>
          <w:sz w:val="21"/>
          <w:szCs w:val="21"/>
          <w:highlight w:val="white"/>
        </w:rPr>
        <w:t>ть</w:t>
      </w:r>
      <w:r w:rsidRPr="00CA7C54">
        <w:rPr>
          <w:color w:val="000000" w:themeColor="text1"/>
          <w:sz w:val="21"/>
          <w:szCs w:val="21"/>
          <w:highlight w:val="white"/>
        </w:rPr>
        <w:t>ся відповідно до додатк</w:t>
      </w:r>
      <w:r w:rsidR="00721D59" w:rsidRPr="00CA7C54">
        <w:rPr>
          <w:color w:val="000000" w:themeColor="text1"/>
          <w:sz w:val="21"/>
          <w:szCs w:val="21"/>
          <w:highlight w:val="white"/>
        </w:rPr>
        <w:t>а</w:t>
      </w:r>
      <w:r w:rsidRPr="00CA7C54">
        <w:rPr>
          <w:color w:val="000000" w:themeColor="text1"/>
          <w:sz w:val="21"/>
          <w:szCs w:val="21"/>
          <w:highlight w:val="white"/>
        </w:rPr>
        <w:t xml:space="preserve"> А (таблиця А.1) – залежно від місцезнаходження об’єкта будівництва.</w:t>
      </w:r>
    </w:p>
    <w:p w14:paraId="6D91FBEB" w14:textId="77777777" w:rsidR="003C4E04" w:rsidRPr="00CA7C54" w:rsidRDefault="001E748C"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5.</w:t>
      </w:r>
      <w:r w:rsidR="00971307">
        <w:rPr>
          <w:b/>
          <w:color w:val="000000" w:themeColor="text1"/>
          <w:sz w:val="21"/>
          <w:szCs w:val="21"/>
          <w:highlight w:val="white"/>
        </w:rPr>
        <w:t>8</w:t>
      </w:r>
      <w:r w:rsidRPr="00CA7C54">
        <w:rPr>
          <w:color w:val="000000" w:themeColor="text1"/>
          <w:sz w:val="21"/>
          <w:szCs w:val="21"/>
          <w:highlight w:val="white"/>
        </w:rPr>
        <w:t xml:space="preserve"> Захисні властивості ПРУ передбачають зменшення впливу таких прогнозованих небезпечних чинників (факторів):</w:t>
      </w:r>
    </w:p>
    <w:p w14:paraId="147A496E"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дії іонізуючого випромінювання від радіоактивного забруднення місцевості, води та повітря, шляхом забезпечення нормативного коефіцієнту послаблення радіаційного впливу (коефіцієнта захисту); </w:t>
      </w:r>
    </w:p>
    <w:p w14:paraId="325FB988"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дії повітряної ударної хвилі від побічної дії зброї масового ураження з розрахунковим надмірним тиском;</w:t>
      </w:r>
    </w:p>
    <w:p w14:paraId="1D5D7591" w14:textId="77777777" w:rsidR="00721D59" w:rsidRPr="00CA7C54" w:rsidRDefault="004D2774" w:rsidP="003C0222">
      <w:pPr>
        <w:pBdr>
          <w:top w:val="nil"/>
          <w:left w:val="nil"/>
          <w:bottom w:val="nil"/>
          <w:right w:val="nil"/>
          <w:between w:val="nil"/>
        </w:pBdr>
        <w:spacing w:before="0"/>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дії повітряної ударної хвилі при застосуванні звичайних засобів ураження; </w:t>
      </w:r>
    </w:p>
    <w:p w14:paraId="25740961"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побічної дії звичайних засобів ураження;</w:t>
      </w:r>
    </w:p>
    <w:p w14:paraId="6F988F93"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проникнення уламками засобів звичайного ураження;</w:t>
      </w:r>
    </w:p>
    <w:p w14:paraId="4AC8E33A"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дії високих температур та продуктів горіння при пожежах.</w:t>
      </w:r>
    </w:p>
    <w:p w14:paraId="17C20668" w14:textId="77777777" w:rsidR="003C4E04" w:rsidRPr="00CA7C54" w:rsidRDefault="001E748C" w:rsidP="00E35BD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Перелік та необхідні мінімальні розрахункові параметри захисних властивостей ПРУ та СПП із захисними властивостями ПРУ визначаються залежно від їх групи, що обира</w:t>
      </w:r>
      <w:r w:rsidR="004E5118" w:rsidRPr="00CA7C54">
        <w:rPr>
          <w:color w:val="000000" w:themeColor="text1"/>
          <w:sz w:val="21"/>
          <w:szCs w:val="21"/>
        </w:rPr>
        <w:t>ю</w:t>
      </w:r>
      <w:r w:rsidRPr="00CA7C54">
        <w:rPr>
          <w:color w:val="000000" w:themeColor="text1"/>
          <w:sz w:val="21"/>
          <w:szCs w:val="21"/>
        </w:rPr>
        <w:t>ть відповідно до додатк</w:t>
      </w:r>
      <w:r w:rsidR="00721D59" w:rsidRPr="00CA7C54">
        <w:rPr>
          <w:color w:val="000000" w:themeColor="text1"/>
          <w:sz w:val="21"/>
          <w:szCs w:val="21"/>
        </w:rPr>
        <w:t>а</w:t>
      </w:r>
      <w:r w:rsidRPr="00CA7C54">
        <w:rPr>
          <w:color w:val="000000" w:themeColor="text1"/>
          <w:sz w:val="21"/>
          <w:szCs w:val="21"/>
        </w:rPr>
        <w:t xml:space="preserve"> А (таблиця А.2), залеж</w:t>
      </w:r>
      <w:r w:rsidRPr="00CA7C54">
        <w:rPr>
          <w:color w:val="000000" w:themeColor="text1"/>
          <w:sz w:val="21"/>
          <w:szCs w:val="21"/>
          <w:highlight w:val="white"/>
        </w:rPr>
        <w:t>но від місцезнаходження об’єкта будівництва.</w:t>
      </w:r>
    </w:p>
    <w:p w14:paraId="097C918F" w14:textId="77777777" w:rsidR="003C4E04" w:rsidRPr="00CA7C54" w:rsidRDefault="001E748C" w:rsidP="0038736B">
      <w:pPr>
        <w:pBdr>
          <w:top w:val="nil"/>
          <w:left w:val="nil"/>
          <w:bottom w:val="nil"/>
          <w:right w:val="nil"/>
          <w:between w:val="nil"/>
        </w:pBdr>
        <w:spacing w:before="0"/>
        <w:contextualSpacing/>
        <w:rPr>
          <w:color w:val="000000" w:themeColor="text1"/>
          <w:sz w:val="21"/>
          <w:szCs w:val="21"/>
          <w:highlight w:val="white"/>
        </w:rPr>
      </w:pPr>
      <w:r w:rsidRPr="00CA7C54">
        <w:rPr>
          <w:b/>
          <w:color w:val="000000" w:themeColor="text1"/>
          <w:sz w:val="21"/>
          <w:szCs w:val="21"/>
          <w:highlight w:val="white"/>
        </w:rPr>
        <w:lastRenderedPageBreak/>
        <w:t>5.</w:t>
      </w:r>
      <w:r w:rsidR="00971307">
        <w:rPr>
          <w:b/>
          <w:color w:val="000000" w:themeColor="text1"/>
          <w:sz w:val="21"/>
          <w:szCs w:val="21"/>
          <w:highlight w:val="white"/>
        </w:rPr>
        <w:t>9</w:t>
      </w:r>
      <w:r w:rsidRPr="00CA7C54">
        <w:rPr>
          <w:color w:val="000000" w:themeColor="text1"/>
          <w:sz w:val="21"/>
          <w:szCs w:val="21"/>
          <w:highlight w:val="white"/>
        </w:rPr>
        <w:t xml:space="preserve"> Здатність огороджувальних конструкцій (з відповідним виконанням) захисних споруд цивільного захисту або СПП забезпечувати нормативне значення ступеню послаблення радіаційного впливу (ступінь захисту) – </w:t>
      </w:r>
      <w:r w:rsidRPr="00CA7C54">
        <w:rPr>
          <w:i/>
          <w:color w:val="000000" w:themeColor="text1"/>
          <w:sz w:val="21"/>
          <w:szCs w:val="21"/>
          <w:highlight w:val="white"/>
        </w:rPr>
        <w:t>А</w:t>
      </w:r>
      <w:r w:rsidRPr="00CA7C54">
        <w:rPr>
          <w:i/>
          <w:color w:val="000000" w:themeColor="text1"/>
          <w:sz w:val="21"/>
          <w:szCs w:val="21"/>
          <w:highlight w:val="white"/>
          <w:vertAlign w:val="subscript"/>
        </w:rPr>
        <w:t>З</w:t>
      </w:r>
      <w:r w:rsidRPr="00CA7C54">
        <w:rPr>
          <w:color w:val="000000" w:themeColor="text1"/>
          <w:sz w:val="21"/>
          <w:szCs w:val="21"/>
          <w:highlight w:val="white"/>
        </w:rPr>
        <w:t xml:space="preserve">, або коефіцієнта послаблення радіаційного впливу (коефіцієнт захисту) – </w:t>
      </w:r>
      <w:r w:rsidRPr="00CA7C54">
        <w:rPr>
          <w:i/>
          <w:color w:val="000000" w:themeColor="text1"/>
          <w:sz w:val="21"/>
          <w:szCs w:val="21"/>
          <w:highlight w:val="white"/>
        </w:rPr>
        <w:t>К</w:t>
      </w:r>
      <w:r w:rsidRPr="00CA7C54">
        <w:rPr>
          <w:i/>
          <w:color w:val="000000" w:themeColor="text1"/>
          <w:sz w:val="21"/>
          <w:szCs w:val="21"/>
          <w:highlight w:val="white"/>
          <w:vertAlign w:val="subscript"/>
        </w:rPr>
        <w:t>З</w:t>
      </w:r>
      <w:r w:rsidRPr="00CA7C54">
        <w:rPr>
          <w:color w:val="000000" w:themeColor="text1"/>
          <w:sz w:val="21"/>
          <w:szCs w:val="21"/>
          <w:highlight w:val="white"/>
        </w:rPr>
        <w:t>, має бути підтверджено згідно положень додатк</w:t>
      </w:r>
      <w:r w:rsidR="00721D59" w:rsidRPr="00CA7C54">
        <w:rPr>
          <w:color w:val="000000" w:themeColor="text1"/>
          <w:sz w:val="21"/>
          <w:szCs w:val="21"/>
          <w:highlight w:val="white"/>
        </w:rPr>
        <w:t>а</w:t>
      </w:r>
      <w:r w:rsidRPr="00CA7C54">
        <w:rPr>
          <w:color w:val="000000" w:themeColor="text1"/>
          <w:sz w:val="21"/>
          <w:szCs w:val="21"/>
          <w:highlight w:val="white"/>
        </w:rPr>
        <w:t xml:space="preserve"> Г цих </w:t>
      </w:r>
      <w:r w:rsidR="0004159F" w:rsidRPr="00CA7C54">
        <w:rPr>
          <w:color w:val="000000" w:themeColor="text1"/>
          <w:sz w:val="21"/>
          <w:szCs w:val="21"/>
          <w:highlight w:val="white"/>
        </w:rPr>
        <w:t>н</w:t>
      </w:r>
      <w:r w:rsidRPr="00CA7C54">
        <w:rPr>
          <w:color w:val="000000" w:themeColor="text1"/>
          <w:sz w:val="21"/>
          <w:szCs w:val="21"/>
          <w:highlight w:val="white"/>
        </w:rPr>
        <w:t>орм.</w:t>
      </w:r>
    </w:p>
    <w:p w14:paraId="0AE8E342"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5.1</w:t>
      </w:r>
      <w:r w:rsidR="00971307">
        <w:rPr>
          <w:b/>
          <w:color w:val="000000" w:themeColor="text1"/>
          <w:sz w:val="21"/>
          <w:szCs w:val="21"/>
          <w:highlight w:val="white"/>
        </w:rPr>
        <w:t>0</w:t>
      </w:r>
      <w:r w:rsidRPr="00CA7C54">
        <w:rPr>
          <w:color w:val="000000" w:themeColor="text1"/>
          <w:sz w:val="21"/>
          <w:szCs w:val="21"/>
          <w:highlight w:val="white"/>
        </w:rPr>
        <w:t xml:space="preserve"> СПП проєктуються:</w:t>
      </w:r>
    </w:p>
    <w:p w14:paraId="23631952" w14:textId="77777777" w:rsidR="003C4E04" w:rsidRPr="00CA7C54" w:rsidRDefault="004D2774"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із захисними властивостями сховищ (далі – СПП із захисними властивостями сховищ) відповідно до додатк</w:t>
      </w:r>
      <w:r w:rsidR="00721D59" w:rsidRPr="00CA7C54">
        <w:rPr>
          <w:color w:val="000000" w:themeColor="text1"/>
          <w:sz w:val="21"/>
          <w:szCs w:val="21"/>
          <w:highlight w:val="white"/>
        </w:rPr>
        <w:t>а</w:t>
      </w:r>
      <w:r w:rsidR="001E748C" w:rsidRPr="00CA7C54">
        <w:rPr>
          <w:color w:val="000000" w:themeColor="text1"/>
          <w:sz w:val="21"/>
          <w:szCs w:val="21"/>
          <w:highlight w:val="white"/>
        </w:rPr>
        <w:t xml:space="preserve"> А (таблиця А.1) залежно від місцезнаходження об’єкта будівництва;</w:t>
      </w:r>
    </w:p>
    <w:p w14:paraId="2BCF1710" w14:textId="77777777" w:rsidR="003C4E04" w:rsidRPr="00CA7C54" w:rsidRDefault="004D2774" w:rsidP="0038736B">
      <w:pPr>
        <w:pBdr>
          <w:top w:val="nil"/>
          <w:left w:val="nil"/>
          <w:bottom w:val="nil"/>
          <w:right w:val="nil"/>
          <w:between w:val="nil"/>
        </w:pBdr>
        <w:spacing w:before="0"/>
        <w:contextualSpacing/>
        <w:jc w:val="left"/>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із захисними властивостями протирадіаційних укриттів (далі</w:t>
      </w:r>
      <w:r w:rsidR="001E748C" w:rsidRPr="00CA7C54">
        <w:rPr>
          <w:color w:val="000000" w:themeColor="text1"/>
          <w:sz w:val="21"/>
          <w:szCs w:val="21"/>
          <w:highlight w:val="white"/>
        </w:rPr>
        <w:t xml:space="preserve"> – СПП із захисними </w:t>
      </w:r>
      <w:r w:rsidR="001E748C" w:rsidRPr="00CA7C54">
        <w:rPr>
          <w:color w:val="000000" w:themeColor="text1"/>
          <w:spacing w:val="-6"/>
          <w:sz w:val="21"/>
          <w:szCs w:val="21"/>
          <w:highlight w:val="white"/>
        </w:rPr>
        <w:t>властивостями ПРУ) відповідно до додатк</w:t>
      </w:r>
      <w:r w:rsidR="00721D59" w:rsidRPr="00CA7C54">
        <w:rPr>
          <w:color w:val="000000" w:themeColor="text1"/>
          <w:spacing w:val="-6"/>
          <w:sz w:val="21"/>
          <w:szCs w:val="21"/>
          <w:highlight w:val="white"/>
        </w:rPr>
        <w:t>а</w:t>
      </w:r>
      <w:r w:rsidR="001E748C" w:rsidRPr="00CA7C54">
        <w:rPr>
          <w:color w:val="000000" w:themeColor="text1"/>
          <w:spacing w:val="-6"/>
          <w:sz w:val="21"/>
          <w:szCs w:val="21"/>
          <w:highlight w:val="white"/>
        </w:rPr>
        <w:t xml:space="preserve"> А (таблиця А.2) залежно від місцезнаходження об’єкта будівництва.</w:t>
      </w:r>
    </w:p>
    <w:p w14:paraId="42B48419"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Захисні властивості СПП визначаються завданням на про</w:t>
      </w:r>
      <w:r w:rsidR="00721D59" w:rsidRPr="00CA7C54">
        <w:rPr>
          <w:color w:val="000000" w:themeColor="text1"/>
          <w:sz w:val="21"/>
          <w:szCs w:val="21"/>
          <w:highlight w:val="white"/>
        </w:rPr>
        <w:t>є</w:t>
      </w:r>
      <w:r w:rsidRPr="00CA7C54">
        <w:rPr>
          <w:color w:val="000000" w:themeColor="text1"/>
          <w:sz w:val="21"/>
          <w:szCs w:val="21"/>
          <w:highlight w:val="white"/>
        </w:rPr>
        <w:t>ктування відповідно вимог розділу інженерно-технічних заходів цивільного захисту у містобудівній документації відповідного рівня з урахуванням радіусу збору населення.</w:t>
      </w:r>
    </w:p>
    <w:p w14:paraId="223C9145"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Захисні споруди та СПП допускається про</w:t>
      </w:r>
      <w:r w:rsidR="00721D59" w:rsidRPr="00CA7C54">
        <w:rPr>
          <w:color w:val="000000" w:themeColor="text1"/>
          <w:sz w:val="21"/>
          <w:szCs w:val="21"/>
        </w:rPr>
        <w:t>є</w:t>
      </w:r>
      <w:r w:rsidRPr="00CA7C54">
        <w:rPr>
          <w:color w:val="000000" w:themeColor="text1"/>
          <w:sz w:val="21"/>
          <w:szCs w:val="21"/>
        </w:rPr>
        <w:t>ктувати вищого, ніж передбачено додатком А, класу або групи, а також з вищими показниками захисних властивостей – відповідно до завдання на про</w:t>
      </w:r>
      <w:r w:rsidR="00721D59" w:rsidRPr="00CA7C54">
        <w:rPr>
          <w:color w:val="000000" w:themeColor="text1"/>
          <w:sz w:val="21"/>
          <w:szCs w:val="21"/>
        </w:rPr>
        <w:t>є</w:t>
      </w:r>
      <w:r w:rsidRPr="00CA7C54">
        <w:rPr>
          <w:color w:val="000000" w:themeColor="text1"/>
          <w:sz w:val="21"/>
          <w:szCs w:val="21"/>
        </w:rPr>
        <w:t>ктуванн</w:t>
      </w:r>
      <w:r w:rsidRPr="00CA7C54">
        <w:rPr>
          <w:color w:val="000000" w:themeColor="text1"/>
          <w:sz w:val="21"/>
          <w:szCs w:val="21"/>
          <w:highlight w:val="white"/>
        </w:rPr>
        <w:t xml:space="preserve">я з урахуванням положень цих </w:t>
      </w:r>
      <w:r w:rsidR="00721D59" w:rsidRPr="00CA7C54">
        <w:rPr>
          <w:color w:val="000000" w:themeColor="text1"/>
          <w:sz w:val="21"/>
          <w:szCs w:val="21"/>
          <w:highlight w:val="white"/>
        </w:rPr>
        <w:t>н</w:t>
      </w:r>
      <w:r w:rsidRPr="00CA7C54">
        <w:rPr>
          <w:color w:val="000000" w:themeColor="text1"/>
          <w:sz w:val="21"/>
          <w:szCs w:val="21"/>
          <w:highlight w:val="white"/>
        </w:rPr>
        <w:t>орм.</w:t>
      </w:r>
    </w:p>
    <w:p w14:paraId="27716BD5" w14:textId="18812A92" w:rsidR="003C4E04" w:rsidRDefault="001E748C" w:rsidP="00B476A0">
      <w:pPr>
        <w:pBdr>
          <w:top w:val="nil"/>
          <w:left w:val="nil"/>
          <w:bottom w:val="nil"/>
          <w:right w:val="nil"/>
          <w:between w:val="nil"/>
        </w:pBdr>
        <w:spacing w:before="0"/>
        <w:contextualSpacing/>
        <w:rPr>
          <w:b/>
          <w:color w:val="000000" w:themeColor="text1"/>
          <w:sz w:val="21"/>
          <w:szCs w:val="21"/>
        </w:rPr>
      </w:pPr>
      <w:r w:rsidRPr="00CA7C54">
        <w:rPr>
          <w:b/>
          <w:color w:val="000000" w:themeColor="text1"/>
          <w:sz w:val="21"/>
          <w:szCs w:val="21"/>
        </w:rPr>
        <w:t>5.</w:t>
      </w:r>
      <w:r w:rsidR="00B476A0">
        <w:rPr>
          <w:b/>
          <w:color w:val="000000" w:themeColor="text1"/>
          <w:sz w:val="21"/>
          <w:szCs w:val="21"/>
        </w:rPr>
        <w:t>11</w:t>
      </w:r>
    </w:p>
    <w:p w14:paraId="0781BE39" w14:textId="5B251B07" w:rsidR="00B476A0" w:rsidRPr="007D72FD" w:rsidRDefault="00B476A0" w:rsidP="00B476A0">
      <w:pPr>
        <w:pBdr>
          <w:top w:val="nil"/>
          <w:left w:val="nil"/>
          <w:bottom w:val="nil"/>
          <w:right w:val="nil"/>
          <w:between w:val="nil"/>
        </w:pBdr>
        <w:spacing w:before="0"/>
        <w:contextualSpacing/>
        <w:rPr>
          <w:i/>
          <w:iCs/>
          <w:color w:val="00B050"/>
          <w:sz w:val="21"/>
          <w:szCs w:val="21"/>
        </w:rPr>
      </w:pPr>
      <w:r w:rsidRPr="007D72FD">
        <w:rPr>
          <w:b/>
          <w:i/>
          <w:iCs/>
          <w:color w:val="00B050"/>
          <w:sz w:val="21"/>
          <w:szCs w:val="21"/>
        </w:rPr>
        <w:t>(Пункт 5.11 вилучено, Зміна № 2)</w:t>
      </w:r>
    </w:p>
    <w:p w14:paraId="454287F8" w14:textId="779D8C60" w:rsidR="003C4E04" w:rsidRPr="00CA7C54" w:rsidRDefault="001E748C" w:rsidP="0038736B">
      <w:pPr>
        <w:pBdr>
          <w:top w:val="nil"/>
          <w:left w:val="nil"/>
          <w:bottom w:val="nil"/>
          <w:right w:val="nil"/>
          <w:between w:val="nil"/>
        </w:pBdr>
        <w:spacing w:before="0" w:after="60"/>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5.1</w:t>
      </w:r>
      <w:r w:rsidR="00971307">
        <w:rPr>
          <w:b/>
          <w:color w:val="000000" w:themeColor="text1"/>
          <w:sz w:val="21"/>
          <w:szCs w:val="21"/>
        </w:rPr>
        <w:t>2</w:t>
      </w:r>
      <w:r w:rsidRPr="00CA7C54">
        <w:rPr>
          <w:color w:val="000000" w:themeColor="text1"/>
          <w:sz w:val="21"/>
          <w:szCs w:val="21"/>
        </w:rPr>
        <w:t xml:space="preserve"> Про</w:t>
      </w:r>
      <w:r w:rsidR="009A279B" w:rsidRPr="00CA7C54">
        <w:rPr>
          <w:color w:val="000000" w:themeColor="text1"/>
          <w:sz w:val="21"/>
          <w:szCs w:val="21"/>
        </w:rPr>
        <w:t>є</w:t>
      </w:r>
      <w:r w:rsidRPr="00CA7C54">
        <w:rPr>
          <w:color w:val="000000" w:themeColor="text1"/>
          <w:sz w:val="21"/>
          <w:szCs w:val="21"/>
        </w:rPr>
        <w:t xml:space="preserve">ктні рішенні захисних споруд та СПП повинні забезпечувати доступність та безпеку МГН відповідно до вимог </w:t>
      </w:r>
      <w:hyperlink r:id="rId109" w:history="1">
        <w:r w:rsidRPr="00032589">
          <w:rPr>
            <w:rStyle w:val="ac"/>
            <w:rFonts w:cs="Arial"/>
            <w:sz w:val="21"/>
            <w:szCs w:val="21"/>
          </w:rPr>
          <w:t>ДБН В.2.2-40</w:t>
        </w:r>
      </w:hyperlink>
      <w:r w:rsidRPr="00CA7C54">
        <w:rPr>
          <w:color w:val="000000" w:themeColor="text1"/>
          <w:sz w:val="21"/>
          <w:szCs w:val="21"/>
        </w:rPr>
        <w:t>, у тому числі з урахуванням мобільності осіб з інвалідністю різних категорій та їхньої чисельності.</w:t>
      </w:r>
    </w:p>
    <w:p w14:paraId="24671AC6" w14:textId="77777777" w:rsidR="003C4E04" w:rsidRPr="00CA7C54" w:rsidRDefault="001E748C" w:rsidP="004232B7">
      <w:pPr>
        <w:pStyle w:val="2"/>
        <w:spacing w:before="0" w:after="60" w:line="288" w:lineRule="auto"/>
        <w:contextualSpacing/>
        <w:rPr>
          <w:rFonts w:ascii="Arial" w:hAnsi="Arial"/>
          <w:color w:val="000000" w:themeColor="text1"/>
          <w:sz w:val="21"/>
          <w:szCs w:val="21"/>
        </w:rPr>
      </w:pPr>
      <w:bookmarkStart w:id="7" w:name="_heading=h.26in1rg" w:colFirst="0" w:colLast="0"/>
      <w:bookmarkEnd w:id="7"/>
      <w:r w:rsidRPr="00CA7C54">
        <w:rPr>
          <w:rFonts w:ascii="Arial" w:hAnsi="Arial"/>
          <w:color w:val="000000" w:themeColor="text1"/>
          <w:sz w:val="21"/>
          <w:szCs w:val="21"/>
        </w:rPr>
        <w:t>6 РОЗМІЩЕННЯ ЗАХИСНИХ СПОРУД ТА СПОРУД ПОДВІЙНОГО ПРИЗНАЧЕННЯ</w:t>
      </w:r>
    </w:p>
    <w:p w14:paraId="227AE411" w14:textId="77777777" w:rsidR="003C4E04" w:rsidRPr="00CA7C54" w:rsidRDefault="001E748C" w:rsidP="0038736B">
      <w:pPr>
        <w:spacing w:before="0"/>
        <w:contextualSpacing/>
        <w:rPr>
          <w:rFonts w:eastAsia="Times New Roman"/>
          <w:color w:val="000000" w:themeColor="text1"/>
          <w:sz w:val="21"/>
          <w:szCs w:val="21"/>
        </w:rPr>
      </w:pPr>
      <w:r w:rsidRPr="00CA7C54">
        <w:rPr>
          <w:b/>
          <w:color w:val="000000" w:themeColor="text1"/>
          <w:sz w:val="21"/>
          <w:szCs w:val="21"/>
        </w:rPr>
        <w:t>6.1</w:t>
      </w:r>
      <w:r w:rsidRPr="00CA7C54">
        <w:rPr>
          <w:color w:val="000000" w:themeColor="text1"/>
          <w:sz w:val="21"/>
          <w:szCs w:val="21"/>
        </w:rPr>
        <w:t> Захисні споруди та СПП відносно оточуючої забудови</w:t>
      </w:r>
      <w:r w:rsidR="009A279B" w:rsidRPr="00CA7C54">
        <w:rPr>
          <w:color w:val="000000" w:themeColor="text1"/>
          <w:sz w:val="21"/>
          <w:szCs w:val="21"/>
        </w:rPr>
        <w:t>,</w:t>
      </w:r>
      <w:r w:rsidRPr="00CA7C54">
        <w:rPr>
          <w:color w:val="000000" w:themeColor="text1"/>
          <w:sz w:val="21"/>
          <w:szCs w:val="21"/>
        </w:rPr>
        <w:t xml:space="preserve"> проєктуються окремо розташованими, прибудованими та вбудованими.</w:t>
      </w:r>
    </w:p>
    <w:p w14:paraId="5F8C1440" w14:textId="77777777" w:rsidR="003C4E04" w:rsidRPr="00CA7C54" w:rsidRDefault="001E748C" w:rsidP="0038736B">
      <w:pPr>
        <w:spacing w:before="0"/>
        <w:contextualSpacing/>
        <w:rPr>
          <w:rFonts w:eastAsia="Times New Roman"/>
          <w:color w:val="000000" w:themeColor="text1"/>
          <w:sz w:val="21"/>
          <w:szCs w:val="21"/>
        </w:rPr>
      </w:pPr>
      <w:r w:rsidRPr="00CA7C54">
        <w:rPr>
          <w:b/>
          <w:color w:val="000000" w:themeColor="text1"/>
          <w:sz w:val="21"/>
          <w:szCs w:val="21"/>
        </w:rPr>
        <w:t>6.2</w:t>
      </w:r>
      <w:r w:rsidRPr="00CA7C54">
        <w:rPr>
          <w:color w:val="000000" w:themeColor="text1"/>
          <w:sz w:val="21"/>
          <w:szCs w:val="21"/>
        </w:rPr>
        <w:t xml:space="preserve"> Прибудовані і вбудовані захисні споруди та СПП про</w:t>
      </w:r>
      <w:r w:rsidR="009A279B" w:rsidRPr="00CA7C54">
        <w:rPr>
          <w:color w:val="000000" w:themeColor="text1"/>
          <w:sz w:val="21"/>
          <w:szCs w:val="21"/>
        </w:rPr>
        <w:t>є</w:t>
      </w:r>
      <w:r w:rsidRPr="00CA7C54">
        <w:rPr>
          <w:color w:val="000000" w:themeColor="text1"/>
          <w:sz w:val="21"/>
          <w:szCs w:val="21"/>
        </w:rPr>
        <w:t>ктуються у підземних, цокольних та підвальних поверхах. </w:t>
      </w:r>
    </w:p>
    <w:p w14:paraId="1BF1BE4F" w14:textId="77777777" w:rsidR="003C4E04" w:rsidRPr="00CA7C54" w:rsidRDefault="001E748C" w:rsidP="0038736B">
      <w:pPr>
        <w:spacing w:before="0"/>
        <w:contextualSpacing/>
        <w:rPr>
          <w:rFonts w:eastAsia="Times New Roman"/>
          <w:color w:val="000000" w:themeColor="text1"/>
          <w:sz w:val="21"/>
          <w:szCs w:val="21"/>
        </w:rPr>
      </w:pPr>
      <w:r w:rsidRPr="00CA7C54">
        <w:rPr>
          <w:b/>
          <w:color w:val="000000" w:themeColor="text1"/>
          <w:sz w:val="21"/>
          <w:szCs w:val="21"/>
        </w:rPr>
        <w:t>6.3</w:t>
      </w:r>
      <w:r w:rsidRPr="00CA7C54">
        <w:rPr>
          <w:color w:val="000000" w:themeColor="text1"/>
          <w:sz w:val="21"/>
          <w:szCs w:val="21"/>
        </w:rPr>
        <w:t xml:space="preserve"> Окремо розташовані захисні споруди та СПП відносно планувальної позначки землі проєктуються заглибленими або частково заглибленими (за умови забезпечення</w:t>
      </w:r>
      <w:r w:rsidRPr="00CA7C54">
        <w:rPr>
          <w:color w:val="000000" w:themeColor="text1"/>
          <w:sz w:val="21"/>
          <w:szCs w:val="21"/>
          <w:highlight w:val="white"/>
        </w:rPr>
        <w:t xml:space="preserve"> встановлених </w:t>
      </w:r>
      <w:r w:rsidRPr="00CA7C54">
        <w:rPr>
          <w:color w:val="000000" w:themeColor="text1"/>
          <w:sz w:val="21"/>
          <w:szCs w:val="21"/>
        </w:rPr>
        <w:t>показників їх захисних властивостей).</w:t>
      </w:r>
    </w:p>
    <w:p w14:paraId="241E951F" w14:textId="77777777" w:rsidR="003C4E04" w:rsidRPr="00CA7C54" w:rsidRDefault="001E748C" w:rsidP="0038736B">
      <w:pPr>
        <w:spacing w:before="0"/>
        <w:contextualSpacing/>
        <w:rPr>
          <w:rFonts w:eastAsia="Times New Roman"/>
          <w:color w:val="000000" w:themeColor="text1"/>
          <w:sz w:val="21"/>
          <w:szCs w:val="21"/>
        </w:rPr>
      </w:pPr>
      <w:r w:rsidRPr="00CA7C54">
        <w:rPr>
          <w:color w:val="000000" w:themeColor="text1"/>
          <w:sz w:val="21"/>
          <w:szCs w:val="21"/>
        </w:rPr>
        <w:t>При виборі способу розміщення відносно планувальної позначки землі слід враховувати геологічні, гідрогеологічні та інші умови.</w:t>
      </w:r>
    </w:p>
    <w:p w14:paraId="444B977C" w14:textId="77777777" w:rsidR="003C4E04" w:rsidRPr="00CA7C54" w:rsidRDefault="001E748C" w:rsidP="0038736B">
      <w:pPr>
        <w:spacing w:before="0"/>
        <w:contextualSpacing/>
        <w:rPr>
          <w:rFonts w:eastAsia="Times New Roman"/>
          <w:color w:val="000000" w:themeColor="text1"/>
          <w:sz w:val="21"/>
          <w:szCs w:val="21"/>
        </w:rPr>
      </w:pPr>
      <w:r w:rsidRPr="00CA7C54">
        <w:rPr>
          <w:b/>
          <w:color w:val="000000" w:themeColor="text1"/>
          <w:sz w:val="21"/>
          <w:szCs w:val="21"/>
        </w:rPr>
        <w:t>6.4</w:t>
      </w:r>
      <w:r w:rsidRPr="00CA7C54">
        <w:rPr>
          <w:color w:val="000000" w:themeColor="text1"/>
          <w:sz w:val="21"/>
          <w:szCs w:val="21"/>
        </w:rPr>
        <w:t> У разі  розташування  захисних  споруд  та  СПП  або  їх  частин  вищепланувальної  позначки  землі,  досягнення  такими  спорудами  встановлених  показників їх захисних  властивостей може забезпечуватися з використанням таких методів:  </w:t>
      </w:r>
    </w:p>
    <w:p w14:paraId="22FF45FE" w14:textId="77777777" w:rsidR="003C4E04" w:rsidRPr="00CA7C54" w:rsidRDefault="004D2774" w:rsidP="004232B7">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обвалування ґрунтом; </w:t>
      </w:r>
    </w:p>
    <w:p w14:paraId="362CE1DD" w14:textId="77777777" w:rsidR="003C4E04" w:rsidRPr="00CA7C54" w:rsidRDefault="004D2774" w:rsidP="004232B7">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влаштування захисних екранів;</w:t>
      </w:r>
    </w:p>
    <w:p w14:paraId="72E1A4C9" w14:textId="77777777" w:rsidR="003C4E04" w:rsidRPr="00CA7C54" w:rsidRDefault="004D2774" w:rsidP="004232B7">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використання багатошарових будівельних конструкцій.  </w:t>
      </w:r>
    </w:p>
    <w:p w14:paraId="557BBA7D" w14:textId="77777777" w:rsidR="003C4E04" w:rsidRPr="00CA7C54" w:rsidRDefault="001E748C" w:rsidP="004232B7">
      <w:pPr>
        <w:spacing w:before="0"/>
        <w:contextualSpacing/>
        <w:rPr>
          <w:rFonts w:eastAsia="Times New Roman"/>
          <w:color w:val="000000" w:themeColor="text1"/>
          <w:spacing w:val="-6"/>
          <w:sz w:val="21"/>
          <w:szCs w:val="21"/>
        </w:rPr>
      </w:pPr>
      <w:r w:rsidRPr="00CA7C54">
        <w:rPr>
          <w:color w:val="000000" w:themeColor="text1"/>
          <w:spacing w:val="-6"/>
          <w:sz w:val="21"/>
          <w:szCs w:val="21"/>
        </w:rPr>
        <w:t>Для додаткового підвищення захисних властивостей допускається використання таких методів:</w:t>
      </w:r>
    </w:p>
    <w:p w14:paraId="06AE36D7" w14:textId="77777777" w:rsidR="003C4E04" w:rsidRPr="00CA7C54" w:rsidRDefault="004D2774" w:rsidP="004232B7">
      <w:pPr>
        <w:spacing w:before="0"/>
        <w:contextualSpacing/>
        <w:rPr>
          <w:rFonts w:eastAsia="Times New Roman"/>
          <w:color w:val="000000" w:themeColor="text1"/>
          <w:spacing w:val="-10"/>
          <w:sz w:val="21"/>
          <w:szCs w:val="21"/>
        </w:rPr>
      </w:pPr>
      <w:r>
        <w:rPr>
          <w:color w:val="000000" w:themeColor="text1"/>
          <w:spacing w:val="-10"/>
          <w:sz w:val="21"/>
          <w:szCs w:val="21"/>
        </w:rPr>
        <w:t xml:space="preserve">- </w:t>
      </w:r>
      <w:r w:rsidR="001E748C" w:rsidRPr="00CA7C54">
        <w:rPr>
          <w:color w:val="000000" w:themeColor="text1"/>
          <w:spacing w:val="-10"/>
          <w:sz w:val="21"/>
          <w:szCs w:val="21"/>
        </w:rPr>
        <w:t>додаткового  обкладення  бетонними  (залізобетонними)  будівельними  конструкціями (виробами);  </w:t>
      </w:r>
    </w:p>
    <w:p w14:paraId="647A7905" w14:textId="77777777" w:rsidR="003C4E04" w:rsidRPr="00CA7C54" w:rsidRDefault="004D2774" w:rsidP="004232B7">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встановлення габіонів, наповнених сипучими матеріалами;</w:t>
      </w:r>
    </w:p>
    <w:p w14:paraId="4981A762" w14:textId="77777777" w:rsidR="003C4E04" w:rsidRPr="00CA7C54" w:rsidRDefault="004D2774" w:rsidP="004232B7">
      <w:pPr>
        <w:spacing w:before="0"/>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обкладання таких споруд мішками з сипучими матеріалами</w:t>
      </w:r>
      <w:r w:rsidR="0088339C" w:rsidRPr="00CA7C54">
        <w:rPr>
          <w:color w:val="000000" w:themeColor="text1"/>
          <w:sz w:val="21"/>
          <w:szCs w:val="21"/>
        </w:rPr>
        <w:t>,</w:t>
      </w:r>
      <w:r w:rsidR="001E748C" w:rsidRPr="00CA7C54">
        <w:rPr>
          <w:color w:val="000000" w:themeColor="text1"/>
          <w:sz w:val="21"/>
          <w:szCs w:val="21"/>
        </w:rPr>
        <w:t xml:space="preserve"> за умов забезпечення їх надійної фіксації та цілісності.</w:t>
      </w:r>
    </w:p>
    <w:p w14:paraId="0DFF2A07" w14:textId="77777777" w:rsidR="003C4E04" w:rsidRPr="00CA7C54" w:rsidRDefault="001E748C" w:rsidP="00CD4985">
      <w:pPr>
        <w:spacing w:before="0" w:line="288" w:lineRule="auto"/>
        <w:contextualSpacing/>
        <w:rPr>
          <w:color w:val="000000" w:themeColor="text1"/>
          <w:sz w:val="21"/>
          <w:szCs w:val="21"/>
        </w:rPr>
      </w:pPr>
      <w:r w:rsidRPr="00CA7C54">
        <w:rPr>
          <w:color w:val="000000" w:themeColor="text1"/>
          <w:sz w:val="21"/>
          <w:szCs w:val="21"/>
        </w:rPr>
        <w:t>Забороняється використання для обвалування та для інших методів збільшення захисних властивостей застосування суміші фракцій щебню, гальки та каміння.</w:t>
      </w:r>
    </w:p>
    <w:p w14:paraId="10FC16B4" w14:textId="06E24A61" w:rsidR="003C4E04" w:rsidRPr="00CA7C54" w:rsidRDefault="001E748C" w:rsidP="00CD4985">
      <w:pPr>
        <w:spacing w:before="0" w:line="288" w:lineRule="auto"/>
        <w:ind w:right="141"/>
        <w:contextualSpacing/>
        <w:rPr>
          <w:rFonts w:eastAsia="Times New Roman"/>
          <w:color w:val="000000" w:themeColor="text1"/>
          <w:spacing w:val="-12"/>
          <w:sz w:val="21"/>
          <w:szCs w:val="21"/>
        </w:rPr>
      </w:pPr>
      <w:r w:rsidRPr="00CA7C54">
        <w:rPr>
          <w:b/>
          <w:color w:val="000000" w:themeColor="text1"/>
          <w:sz w:val="21"/>
          <w:szCs w:val="21"/>
        </w:rPr>
        <w:t>6.5</w:t>
      </w:r>
      <w:r w:rsidRPr="00CA7C54">
        <w:rPr>
          <w:color w:val="000000" w:themeColor="text1"/>
          <w:sz w:val="21"/>
          <w:szCs w:val="21"/>
        </w:rPr>
        <w:t xml:space="preserve"> Окремо розташовані та прибудовані захисні споруди та СПП потрібно розміщувати за </w:t>
      </w:r>
      <w:r w:rsidRPr="00CA7C54">
        <w:rPr>
          <w:color w:val="000000" w:themeColor="text1"/>
          <w:spacing w:val="-12"/>
          <w:sz w:val="21"/>
          <w:szCs w:val="21"/>
        </w:rPr>
        <w:t xml:space="preserve">межами зон можливих завалів від інших будівель або споруд відповідно до розрахунку згідно з </w:t>
      </w:r>
      <w:hyperlink r:id="rId110" w:history="1">
        <w:r w:rsidRPr="00032589">
          <w:rPr>
            <w:rStyle w:val="ac"/>
            <w:rFonts w:cs="Arial"/>
            <w:spacing w:val="-12"/>
            <w:sz w:val="21"/>
            <w:szCs w:val="21"/>
          </w:rPr>
          <w:t>ДБН В.1.2-4. </w:t>
        </w:r>
      </w:hyperlink>
    </w:p>
    <w:p w14:paraId="31FFA7CC" w14:textId="1B79A9F6" w:rsidR="00B476A0" w:rsidRDefault="001E748C" w:rsidP="0038736B">
      <w:pPr>
        <w:spacing w:before="0"/>
        <w:ind w:right="141"/>
        <w:contextualSpacing/>
        <w:rPr>
          <w:color w:val="000000" w:themeColor="text1"/>
          <w:sz w:val="21"/>
          <w:szCs w:val="21"/>
          <w:highlight w:val="white"/>
        </w:rPr>
      </w:pPr>
      <w:r w:rsidRPr="00CA7C54">
        <w:rPr>
          <w:color w:val="000000" w:themeColor="text1"/>
          <w:sz w:val="21"/>
          <w:szCs w:val="21"/>
        </w:rPr>
        <w:t>У разі неможливості розміщення окремо розташованих та прибудованих захисних споруд та СПП  за межами зон можливих завалів від інших будівель або споруд</w:t>
      </w:r>
      <w:r w:rsidR="0088339C" w:rsidRPr="00CA7C54">
        <w:rPr>
          <w:color w:val="000000" w:themeColor="text1"/>
          <w:sz w:val="21"/>
          <w:szCs w:val="21"/>
        </w:rPr>
        <w:t>,</w:t>
      </w:r>
      <w:r w:rsidRPr="00CA7C54">
        <w:rPr>
          <w:color w:val="000000" w:themeColor="text1"/>
          <w:sz w:val="21"/>
          <w:szCs w:val="21"/>
        </w:rPr>
        <w:t xml:space="preserve"> необхідно додатково забез</w:t>
      </w:r>
      <w:r w:rsidRPr="00CA7C54">
        <w:rPr>
          <w:color w:val="000000" w:themeColor="text1"/>
          <w:sz w:val="21"/>
          <w:szCs w:val="21"/>
          <w:highlight w:val="white"/>
        </w:rPr>
        <w:t>печити стійкість зовнішніх огороджувальних конструкцій таких споруд до впливу додаткових навантажень (динамічних та статичних), що можуть виникнути при руйнуванні інших будівель  або споруд внаслідок впливу небезпечних чинників (факторів).</w:t>
      </w:r>
      <w:r w:rsidR="00B476A0">
        <w:rPr>
          <w:color w:val="000000" w:themeColor="text1"/>
          <w:sz w:val="21"/>
          <w:szCs w:val="21"/>
          <w:highlight w:val="white"/>
        </w:rPr>
        <w:br w:type="page"/>
      </w:r>
    </w:p>
    <w:p w14:paraId="37D4FDA0" w14:textId="77777777" w:rsidR="003C4E04" w:rsidRPr="00CA7C54" w:rsidRDefault="001E748C" w:rsidP="0038736B">
      <w:pPr>
        <w:spacing w:before="0"/>
        <w:ind w:firstLine="566"/>
        <w:contextualSpacing/>
        <w:rPr>
          <w:rFonts w:eastAsia="Times New Roman"/>
          <w:color w:val="000000" w:themeColor="text1"/>
          <w:sz w:val="21"/>
          <w:szCs w:val="21"/>
        </w:rPr>
      </w:pPr>
      <w:r w:rsidRPr="00CA7C54">
        <w:rPr>
          <w:b/>
          <w:color w:val="000000" w:themeColor="text1"/>
          <w:sz w:val="21"/>
          <w:szCs w:val="21"/>
          <w:highlight w:val="white"/>
        </w:rPr>
        <w:lastRenderedPageBreak/>
        <w:t>6.6</w:t>
      </w:r>
      <w:r w:rsidRPr="00CA7C54">
        <w:rPr>
          <w:color w:val="000000" w:themeColor="text1"/>
          <w:sz w:val="21"/>
          <w:szCs w:val="21"/>
          <w:highlight w:val="white"/>
        </w:rPr>
        <w:t xml:space="preserve"> Не допуск</w:t>
      </w:r>
      <w:r w:rsidRPr="00CA7C54">
        <w:rPr>
          <w:color w:val="000000" w:themeColor="text1"/>
          <w:sz w:val="21"/>
          <w:szCs w:val="21"/>
        </w:rPr>
        <w:t>ається розташовувати захисні споруди та СПП:</w:t>
      </w:r>
    </w:p>
    <w:p w14:paraId="0112A5AA" w14:textId="77777777" w:rsidR="003C4E04" w:rsidRPr="00CA7C54" w:rsidRDefault="001E748C" w:rsidP="0038736B">
      <w:pPr>
        <w:spacing w:before="0"/>
        <w:ind w:firstLine="566"/>
        <w:contextualSpacing/>
        <w:rPr>
          <w:rFonts w:eastAsia="Times New Roman"/>
          <w:color w:val="000000" w:themeColor="text1"/>
          <w:spacing w:val="-6"/>
          <w:sz w:val="21"/>
          <w:szCs w:val="21"/>
        </w:rPr>
      </w:pPr>
      <w:r w:rsidRPr="00CA7C54">
        <w:rPr>
          <w:color w:val="000000" w:themeColor="text1"/>
          <w:sz w:val="21"/>
          <w:szCs w:val="21"/>
        </w:rPr>
        <w:t xml:space="preserve">а) </w:t>
      </w:r>
      <w:r w:rsidRPr="00CA7C54">
        <w:rPr>
          <w:color w:val="000000" w:themeColor="text1"/>
          <w:spacing w:val="-6"/>
          <w:sz w:val="21"/>
          <w:szCs w:val="21"/>
        </w:rPr>
        <w:t>під виробничими та складськими приміщеннями, в яких розташовано резервуари з шкідливими рідинами, печі з розтопленими металами або іншими речовинами, руйнування яких може призвести к викиду таких речовин і ураження ними людей, що перебувають у захисних спорудах;</w:t>
      </w:r>
    </w:p>
    <w:p w14:paraId="436A299F" w14:textId="77777777" w:rsidR="003C4E04" w:rsidRPr="00CA7C54" w:rsidRDefault="001E748C" w:rsidP="0038736B">
      <w:pPr>
        <w:spacing w:before="0"/>
        <w:ind w:firstLine="566"/>
        <w:contextualSpacing/>
        <w:rPr>
          <w:rFonts w:eastAsia="Times New Roman"/>
          <w:color w:val="000000" w:themeColor="text1"/>
          <w:sz w:val="21"/>
          <w:szCs w:val="21"/>
        </w:rPr>
      </w:pPr>
      <w:r w:rsidRPr="00CA7C54">
        <w:rPr>
          <w:color w:val="000000" w:themeColor="text1"/>
          <w:sz w:val="21"/>
          <w:szCs w:val="21"/>
        </w:rPr>
        <w:t>б) у приміщеннях, в яких є магістральні та інші транзитні  тепло- та водопроводи, якщо немає можливості двостороннього їх відключення, а також вводи електричної енергії високої напруги;</w:t>
      </w:r>
    </w:p>
    <w:p w14:paraId="5ACBA1D0" w14:textId="77777777" w:rsidR="003C4E04" w:rsidRPr="00CA7C54" w:rsidRDefault="001E748C" w:rsidP="0038736B">
      <w:pPr>
        <w:spacing w:before="0"/>
        <w:ind w:firstLine="566"/>
        <w:contextualSpacing/>
        <w:rPr>
          <w:rFonts w:eastAsia="Times New Roman"/>
          <w:color w:val="000000" w:themeColor="text1"/>
          <w:sz w:val="20"/>
          <w:szCs w:val="20"/>
        </w:rPr>
      </w:pPr>
      <w:r w:rsidRPr="00CA7C54">
        <w:rPr>
          <w:color w:val="000000" w:themeColor="text1"/>
          <w:sz w:val="21"/>
          <w:szCs w:val="21"/>
        </w:rPr>
        <w:t>в) на схилах, не захищених від зсувів або інших небезпечних геологічних процесів (ерозія, селеві потоки тощо), а також на територіях з виробками;</w:t>
      </w:r>
    </w:p>
    <w:p w14:paraId="510B80D4" w14:textId="7380CE4D" w:rsidR="003C4E04" w:rsidRPr="00CA7C54" w:rsidRDefault="001E748C" w:rsidP="0038736B">
      <w:pPr>
        <w:spacing w:before="0"/>
        <w:ind w:firstLine="566"/>
        <w:contextualSpacing/>
        <w:rPr>
          <w:rFonts w:eastAsia="Times New Roman"/>
          <w:color w:val="000000" w:themeColor="text1"/>
          <w:sz w:val="21"/>
          <w:szCs w:val="21"/>
        </w:rPr>
      </w:pPr>
      <w:r w:rsidRPr="00CA7C54">
        <w:rPr>
          <w:color w:val="000000" w:themeColor="text1"/>
          <w:sz w:val="21"/>
          <w:szCs w:val="21"/>
        </w:rPr>
        <w:t xml:space="preserve">г) </w:t>
      </w:r>
      <w:r w:rsidRPr="00CA7C54">
        <w:rPr>
          <w:color w:val="000000" w:themeColor="text1"/>
          <w:spacing w:val="6"/>
          <w:sz w:val="21"/>
          <w:szCs w:val="21"/>
        </w:rPr>
        <w:t xml:space="preserve">не ближче за нормативну протипожежну відстань відповідно </w:t>
      </w:r>
      <w:r w:rsidR="00455C3E" w:rsidRPr="00CA7C54">
        <w:rPr>
          <w:color w:val="000000" w:themeColor="text1"/>
          <w:spacing w:val="6"/>
          <w:sz w:val="21"/>
          <w:szCs w:val="21"/>
        </w:rPr>
        <w:t xml:space="preserve">до </w:t>
      </w:r>
      <w:r w:rsidRPr="00CA7C54">
        <w:rPr>
          <w:color w:val="000000" w:themeColor="text1"/>
          <w:spacing w:val="6"/>
          <w:sz w:val="21"/>
          <w:szCs w:val="21"/>
        </w:rPr>
        <w:t xml:space="preserve">вимог  </w:t>
      </w:r>
      <w:hyperlink r:id="rId111" w:history="1">
        <w:r w:rsidRPr="00032589">
          <w:rPr>
            <w:rStyle w:val="ac"/>
            <w:rFonts w:cs="Arial"/>
            <w:spacing w:val="6"/>
            <w:sz w:val="21"/>
            <w:szCs w:val="21"/>
          </w:rPr>
          <w:t>ДБН Б.2.2-12</w:t>
        </w:r>
      </w:hyperlink>
      <w:r w:rsidRPr="00CA7C54">
        <w:rPr>
          <w:color w:val="000000" w:themeColor="text1"/>
          <w:spacing w:val="6"/>
          <w:sz w:val="21"/>
          <w:szCs w:val="21"/>
        </w:rPr>
        <w:t xml:space="preserve">, </w:t>
      </w:r>
      <w:hyperlink r:id="rId112" w:history="1">
        <w:r w:rsidRPr="00937E3F">
          <w:rPr>
            <w:rStyle w:val="ac"/>
            <w:rFonts w:cs="Arial"/>
            <w:spacing w:val="6"/>
            <w:sz w:val="21"/>
            <w:szCs w:val="21"/>
          </w:rPr>
          <w:t>ДСТУ</w:t>
        </w:r>
        <w:r w:rsidRPr="00937E3F">
          <w:rPr>
            <w:rStyle w:val="ac"/>
            <w:rFonts w:cs="Arial"/>
            <w:sz w:val="21"/>
            <w:szCs w:val="21"/>
          </w:rPr>
          <w:t xml:space="preserve"> 9058</w:t>
        </w:r>
      </w:hyperlink>
      <w:r w:rsidRPr="00CA7C54">
        <w:rPr>
          <w:color w:val="000000" w:themeColor="text1"/>
          <w:sz w:val="21"/>
          <w:szCs w:val="21"/>
        </w:rPr>
        <w:t>, але не ближче</w:t>
      </w:r>
      <w:r w:rsidR="00455C3E" w:rsidRPr="00CA7C54">
        <w:rPr>
          <w:color w:val="000000" w:themeColor="text1"/>
          <w:sz w:val="21"/>
          <w:szCs w:val="21"/>
        </w:rPr>
        <w:t xml:space="preserve"> ніж</w:t>
      </w:r>
      <w:r w:rsidRPr="00CA7C54">
        <w:rPr>
          <w:color w:val="000000" w:themeColor="text1"/>
          <w:sz w:val="21"/>
          <w:szCs w:val="21"/>
        </w:rPr>
        <w:t xml:space="preserve"> 30 м від сховищ або складів з горючими речовинами та матеріалами. При цьому повинні передбачатись заходи щодо захисту сховища та підходів до нього від затоплення горючою речовиною або матеріалами;</w:t>
      </w:r>
    </w:p>
    <w:p w14:paraId="415A1DCE" w14:textId="77777777" w:rsidR="003C4E04" w:rsidRPr="00CA7C54" w:rsidRDefault="001E748C" w:rsidP="0038736B">
      <w:pPr>
        <w:spacing w:before="0"/>
        <w:ind w:firstLine="566"/>
        <w:contextualSpacing/>
        <w:rPr>
          <w:rFonts w:eastAsia="Times New Roman"/>
          <w:color w:val="000000" w:themeColor="text1"/>
          <w:spacing w:val="-6"/>
          <w:sz w:val="21"/>
          <w:szCs w:val="21"/>
        </w:rPr>
      </w:pPr>
      <w:r w:rsidRPr="00CA7C54">
        <w:rPr>
          <w:color w:val="000000" w:themeColor="text1"/>
          <w:sz w:val="21"/>
          <w:szCs w:val="21"/>
        </w:rPr>
        <w:t xml:space="preserve">з) </w:t>
      </w:r>
      <w:r w:rsidRPr="00CA7C54">
        <w:rPr>
          <w:color w:val="000000" w:themeColor="text1"/>
          <w:spacing w:val="-6"/>
          <w:sz w:val="21"/>
          <w:szCs w:val="21"/>
        </w:rPr>
        <w:t>ближче відстаней, що забезпечують стійкість захисних споруд до надлишкового тиску вибуху:</w:t>
      </w:r>
    </w:p>
    <w:p w14:paraId="39364B0B" w14:textId="77777777" w:rsidR="003C4E04" w:rsidRPr="00CA7C54" w:rsidRDefault="001E748C" w:rsidP="0038736B">
      <w:pPr>
        <w:spacing w:before="0"/>
        <w:ind w:firstLine="566"/>
        <w:contextualSpacing/>
        <w:rPr>
          <w:rFonts w:eastAsia="Times New Roman"/>
          <w:color w:val="000000" w:themeColor="text1"/>
          <w:sz w:val="21"/>
          <w:szCs w:val="21"/>
          <w:highlight w:val="white"/>
        </w:rPr>
      </w:pPr>
      <w:r w:rsidRPr="00CA7C54">
        <w:rPr>
          <w:color w:val="000000" w:themeColor="text1"/>
          <w:sz w:val="21"/>
          <w:szCs w:val="21"/>
          <w:highlight w:val="white"/>
        </w:rPr>
        <w:t>-</w:t>
      </w:r>
      <w:r w:rsidRPr="00CA7C54">
        <w:rPr>
          <w:color w:val="000000" w:themeColor="text1"/>
          <w:sz w:val="21"/>
          <w:szCs w:val="21"/>
          <w:highlight w:val="white"/>
        </w:rPr>
        <w:tab/>
        <w:t>ємностей з вибухонебезпечними речовинами (вуглеводнями типу СхНу та Н</w:t>
      </w:r>
      <w:r w:rsidRPr="00CA7C54">
        <w:rPr>
          <w:color w:val="000000" w:themeColor="text1"/>
          <w:sz w:val="21"/>
          <w:szCs w:val="21"/>
          <w:highlight w:val="white"/>
          <w:vertAlign w:val="subscript"/>
        </w:rPr>
        <w:t>2</w:t>
      </w:r>
      <w:r w:rsidRPr="00CA7C54">
        <w:rPr>
          <w:color w:val="000000" w:themeColor="text1"/>
          <w:sz w:val="21"/>
          <w:szCs w:val="21"/>
          <w:highlight w:val="white"/>
        </w:rPr>
        <w:t>), - згідно з графіком на рисунку 6.1;</w:t>
      </w:r>
    </w:p>
    <w:p w14:paraId="72E9AB5A" w14:textId="77777777" w:rsidR="003C4E04" w:rsidRPr="00CA7C54" w:rsidRDefault="001E748C" w:rsidP="0038736B">
      <w:pPr>
        <w:spacing w:before="0"/>
        <w:ind w:firstLine="566"/>
        <w:contextualSpacing/>
        <w:rPr>
          <w:strike/>
          <w:color w:val="000000" w:themeColor="text1"/>
          <w:sz w:val="21"/>
          <w:szCs w:val="21"/>
          <w:highlight w:val="white"/>
        </w:rPr>
      </w:pPr>
      <w:r w:rsidRPr="00CA7C54">
        <w:rPr>
          <w:color w:val="000000" w:themeColor="text1"/>
          <w:sz w:val="21"/>
          <w:szCs w:val="21"/>
          <w:highlight w:val="white"/>
        </w:rPr>
        <w:t>-</w:t>
      </w:r>
      <w:r w:rsidRPr="00CA7C54">
        <w:rPr>
          <w:color w:val="000000" w:themeColor="text1"/>
          <w:sz w:val="21"/>
          <w:szCs w:val="21"/>
          <w:highlight w:val="white"/>
        </w:rPr>
        <w:tab/>
        <w:t>складів зі зберіганням вибухових матеріалів, згідно з графіком на рисунку 6.2.</w:t>
      </w:r>
    </w:p>
    <w:p w14:paraId="095F8B0B" w14:textId="77777777" w:rsidR="003C4E04" w:rsidRPr="00CA7C54" w:rsidRDefault="001E748C" w:rsidP="0038736B">
      <w:pPr>
        <w:spacing w:before="0"/>
        <w:contextualSpacing/>
        <w:rPr>
          <w:color w:val="000000" w:themeColor="text1"/>
          <w:sz w:val="21"/>
          <w:szCs w:val="21"/>
          <w:highlight w:val="white"/>
        </w:rPr>
      </w:pPr>
      <w:r w:rsidRPr="00CA7C54">
        <w:rPr>
          <w:color w:val="000000" w:themeColor="text1"/>
          <w:sz w:val="21"/>
          <w:szCs w:val="21"/>
          <w:highlight w:val="white"/>
        </w:rPr>
        <w:t xml:space="preserve">В умовах стисненоїзабудови на території підприємств з вибухонебезпечними речовинами та вибуховими матеріалами допускається зменшувати відстань відповідно до підпункту з) 6.6 цих </w:t>
      </w:r>
      <w:r w:rsidR="0088339C" w:rsidRPr="00CA7C54">
        <w:rPr>
          <w:color w:val="000000" w:themeColor="text1"/>
          <w:sz w:val="21"/>
          <w:szCs w:val="21"/>
          <w:highlight w:val="white"/>
        </w:rPr>
        <w:t>н</w:t>
      </w:r>
      <w:r w:rsidRPr="00CA7C54">
        <w:rPr>
          <w:color w:val="000000" w:themeColor="text1"/>
          <w:sz w:val="21"/>
          <w:szCs w:val="21"/>
          <w:highlight w:val="white"/>
        </w:rPr>
        <w:t>орм, за умови підвищення захисних властивостей захисних споруд по відношенню до значень, наведених в таблицях А.1 та А.2</w:t>
      </w:r>
      <w:r w:rsidR="00CD4985" w:rsidRPr="00CA7C54">
        <w:rPr>
          <w:color w:val="000000" w:themeColor="text1"/>
          <w:sz w:val="21"/>
          <w:szCs w:val="21"/>
          <w:highlight w:val="white"/>
        </w:rPr>
        <w:t>,</w:t>
      </w:r>
      <w:r w:rsidRPr="00CA7C54">
        <w:rPr>
          <w:color w:val="000000" w:themeColor="text1"/>
          <w:sz w:val="21"/>
          <w:szCs w:val="21"/>
          <w:highlight w:val="white"/>
        </w:rPr>
        <w:t xml:space="preserve"> додатк</w:t>
      </w:r>
      <w:r w:rsidR="00A528B8" w:rsidRPr="00CA7C54">
        <w:rPr>
          <w:color w:val="000000" w:themeColor="text1"/>
          <w:sz w:val="21"/>
          <w:szCs w:val="21"/>
          <w:highlight w:val="white"/>
        </w:rPr>
        <w:t>а</w:t>
      </w:r>
      <w:r w:rsidRPr="00CA7C54">
        <w:rPr>
          <w:color w:val="000000" w:themeColor="text1"/>
          <w:sz w:val="21"/>
          <w:szCs w:val="21"/>
          <w:highlight w:val="white"/>
        </w:rPr>
        <w:t xml:space="preserve"> А цих </w:t>
      </w:r>
      <w:r w:rsidR="00A528B8" w:rsidRPr="00CA7C54">
        <w:rPr>
          <w:color w:val="000000" w:themeColor="text1"/>
          <w:sz w:val="21"/>
          <w:szCs w:val="21"/>
          <w:highlight w:val="white"/>
        </w:rPr>
        <w:t>н</w:t>
      </w:r>
      <w:r w:rsidRPr="00CA7C54">
        <w:rPr>
          <w:color w:val="000000" w:themeColor="text1"/>
          <w:sz w:val="21"/>
          <w:szCs w:val="21"/>
          <w:highlight w:val="white"/>
        </w:rPr>
        <w:t>орм (з метою збільшення стійкості до сприйняття надлишкового тиску вибуху від вибухових речовин) з урахуванням максимального радіусу збору населення та за відповідного обгрунтування.</w:t>
      </w:r>
    </w:p>
    <w:p w14:paraId="3165D57A" w14:textId="77777777" w:rsidR="003C4E04" w:rsidRPr="00CA7C54" w:rsidRDefault="001E748C" w:rsidP="0038736B">
      <w:pPr>
        <w:spacing w:before="0"/>
        <w:contextualSpacing/>
        <w:rPr>
          <w:rFonts w:eastAsia="Times New Roman"/>
          <w:color w:val="000000" w:themeColor="text1"/>
          <w:sz w:val="21"/>
          <w:szCs w:val="21"/>
          <w:highlight w:val="white"/>
        </w:rPr>
      </w:pPr>
      <w:r w:rsidRPr="0041101E">
        <w:rPr>
          <w:b/>
          <w:color w:val="000000" w:themeColor="text1"/>
          <w:sz w:val="21"/>
          <w:szCs w:val="21"/>
        </w:rPr>
        <w:t>Таблиця 6.</w:t>
      </w:r>
      <w:r w:rsidR="00A50F83">
        <w:rPr>
          <w:b/>
          <w:color w:val="000000" w:themeColor="text1"/>
          <w:sz w:val="21"/>
          <w:szCs w:val="21"/>
        </w:rPr>
        <w:t>1</w:t>
      </w:r>
      <w:r w:rsidR="00EB63CF" w:rsidRPr="00CA7C54">
        <w:rPr>
          <w:color w:val="000000" w:themeColor="text1"/>
          <w:sz w:val="21"/>
          <w:szCs w:val="21"/>
          <w:highlight w:val="white"/>
        </w:rPr>
        <w:t>–</w:t>
      </w:r>
      <w:r w:rsidRPr="00CA7C54">
        <w:rPr>
          <w:color w:val="000000" w:themeColor="text1"/>
          <w:sz w:val="21"/>
          <w:szCs w:val="21"/>
          <w:highlight w:val="white"/>
        </w:rPr>
        <w:t>Залежність коефіцієнта ефективності від виду вибухової речовини</w:t>
      </w:r>
    </w:p>
    <w:tbl>
      <w:tblPr>
        <w:tblStyle w:val="affffffffffffffffffffffffffffffa"/>
        <w:tblW w:w="9776" w:type="dxa"/>
        <w:tblLayout w:type="fixed"/>
        <w:tblLook w:val="0400" w:firstRow="0" w:lastRow="0" w:firstColumn="0" w:lastColumn="0" w:noHBand="0" w:noVBand="1"/>
      </w:tblPr>
      <w:tblGrid>
        <w:gridCol w:w="1313"/>
        <w:gridCol w:w="1092"/>
        <w:gridCol w:w="1276"/>
        <w:gridCol w:w="1276"/>
        <w:gridCol w:w="1275"/>
        <w:gridCol w:w="1276"/>
        <w:gridCol w:w="1276"/>
        <w:gridCol w:w="992"/>
      </w:tblGrid>
      <w:tr w:rsidR="00CA7C54" w:rsidRPr="00CA7C54" w14:paraId="721775DA" w14:textId="77777777" w:rsidTr="00A528B8">
        <w:trPr>
          <w:trHeight w:val="337"/>
        </w:trPr>
        <w:tc>
          <w:tcPr>
            <w:tcW w:w="1313"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BB70CE" w14:textId="77777777" w:rsidR="003C4E04" w:rsidRPr="001D654A" w:rsidRDefault="001E748C" w:rsidP="00CD4985">
            <w:pPr>
              <w:spacing w:before="0" w:line="288" w:lineRule="auto"/>
              <w:ind w:right="-165" w:firstLine="0"/>
              <w:contextualSpacing/>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Коефіцієнт</w:t>
            </w:r>
          </w:p>
        </w:tc>
        <w:tc>
          <w:tcPr>
            <w:tcW w:w="8463" w:type="dxa"/>
            <w:gridSpan w:val="7"/>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E34D40"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Вид вибухової речовини</w:t>
            </w:r>
          </w:p>
        </w:tc>
      </w:tr>
      <w:tr w:rsidR="00CA7C54" w:rsidRPr="00CA7C54" w14:paraId="77A77C2D" w14:textId="77777777" w:rsidTr="00A528B8">
        <w:trPr>
          <w:trHeight w:val="508"/>
        </w:trPr>
        <w:tc>
          <w:tcPr>
            <w:tcW w:w="1313"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1111BA" w14:textId="77777777" w:rsidR="003C4E04" w:rsidRPr="001D654A" w:rsidRDefault="003C4E04" w:rsidP="00CD4985">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highlight w:val="white"/>
              </w:rPr>
            </w:pPr>
          </w:p>
        </w:tc>
        <w:tc>
          <w:tcPr>
            <w:tcW w:w="10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E1C4D7"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Пластид</w:t>
            </w:r>
          </w:p>
          <w:p w14:paraId="664955C1"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6BAB73"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Амоніт</w:t>
            </w:r>
          </w:p>
          <w:p w14:paraId="0B9D288E"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80/20</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2997E5"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Пікринова</w:t>
            </w:r>
          </w:p>
          <w:p w14:paraId="01B4EA89"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кислота</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96420B"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Тротил</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706348"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Тетрил</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9DB658"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Гексоген</w:t>
            </w:r>
          </w:p>
        </w:tc>
        <w:tc>
          <w:tcPr>
            <w:tcW w:w="9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692B1A"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ТЕН</w:t>
            </w:r>
          </w:p>
        </w:tc>
      </w:tr>
      <w:tr w:rsidR="00CA7C54" w:rsidRPr="00CA7C54" w14:paraId="601A8208" w14:textId="77777777" w:rsidTr="0055198D">
        <w:trPr>
          <w:trHeight w:val="165"/>
        </w:trPr>
        <w:tc>
          <w:tcPr>
            <w:tcW w:w="131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F53D496" w14:textId="77777777" w:rsidR="003C4E04" w:rsidRPr="001D654A" w:rsidRDefault="001E748C" w:rsidP="00CD4985">
            <w:pPr>
              <w:spacing w:before="0" w:line="288" w:lineRule="auto"/>
              <w:ind w:firstLine="0"/>
              <w:contextualSpacing/>
              <w:jc w:val="center"/>
              <w:rPr>
                <w:rFonts w:ascii="Arial" w:eastAsia="Arial" w:hAnsi="Arial" w:cs="Arial"/>
                <w:i/>
                <w:color w:val="000000" w:themeColor="text1"/>
                <w:sz w:val="20"/>
                <w:szCs w:val="20"/>
                <w:highlight w:val="white"/>
              </w:rPr>
            </w:pPr>
            <w:r w:rsidRPr="001D654A">
              <w:rPr>
                <w:rFonts w:ascii="Arial" w:eastAsia="Arial" w:hAnsi="Arial" w:cs="Arial"/>
                <w:i/>
                <w:color w:val="000000" w:themeColor="text1"/>
                <w:sz w:val="20"/>
                <w:szCs w:val="20"/>
                <w:highlight w:val="white"/>
              </w:rPr>
              <w:t>К</w:t>
            </w:r>
            <w:r w:rsidRPr="001D654A">
              <w:rPr>
                <w:rFonts w:ascii="Arial" w:eastAsia="Arial" w:hAnsi="Arial" w:cs="Arial"/>
                <w:i/>
                <w:color w:val="000000" w:themeColor="text1"/>
                <w:sz w:val="20"/>
                <w:szCs w:val="20"/>
                <w:highlight w:val="white"/>
                <w:vertAlign w:val="subscript"/>
              </w:rPr>
              <w:t>еф</w:t>
            </w:r>
          </w:p>
        </w:tc>
        <w:tc>
          <w:tcPr>
            <w:tcW w:w="10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E0F83A3"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0,9</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439FBE0"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0,94</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F809D5D"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0,97</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421BC38"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D3E9C77"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1,08</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055F43"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1,28</w:t>
            </w:r>
          </w:p>
        </w:tc>
        <w:tc>
          <w:tcPr>
            <w:tcW w:w="9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7248BF8"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1,35</w:t>
            </w:r>
          </w:p>
        </w:tc>
      </w:tr>
    </w:tbl>
    <w:p w14:paraId="73FB5E0C" w14:textId="77777777" w:rsidR="003C4E04" w:rsidRPr="00CA7C54" w:rsidRDefault="001E748C">
      <w:pPr>
        <w:spacing w:line="230" w:lineRule="auto"/>
        <w:ind w:firstLine="0"/>
        <w:jc w:val="center"/>
        <w:rPr>
          <w:rFonts w:ascii="Times New Roman" w:eastAsia="Times New Roman" w:hAnsi="Times New Roman" w:cs="Times New Roman"/>
          <w:color w:val="000000" w:themeColor="text1"/>
          <w:sz w:val="24"/>
          <w:szCs w:val="24"/>
        </w:rPr>
      </w:pPr>
      <w:r w:rsidRPr="00CA7C54">
        <w:rPr>
          <w:noProof/>
          <w:color w:val="000000" w:themeColor="text1"/>
          <w:lang w:eastAsia="uk-UA"/>
        </w:rPr>
        <w:drawing>
          <wp:inline distT="0" distB="0" distL="0" distR="0" wp14:anchorId="2BA0FD4F" wp14:editId="5A2294E4">
            <wp:extent cx="6318327" cy="2889504"/>
            <wp:effectExtent l="19050" t="0" r="6273" b="0"/>
            <wp:docPr id="213052445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3"/>
                    <a:srcRect/>
                    <a:stretch>
                      <a:fillRect/>
                    </a:stretch>
                  </pic:blipFill>
                  <pic:spPr>
                    <a:xfrm>
                      <a:off x="0" y="0"/>
                      <a:ext cx="6319441" cy="2890014"/>
                    </a:xfrm>
                    <a:prstGeom prst="rect">
                      <a:avLst/>
                    </a:prstGeom>
                    <a:ln/>
                  </pic:spPr>
                </pic:pic>
              </a:graphicData>
            </a:graphic>
          </wp:inline>
        </w:drawing>
      </w:r>
    </w:p>
    <w:p w14:paraId="0D53D6D7" w14:textId="77777777" w:rsidR="003C4E04" w:rsidRPr="00CA7C54" w:rsidRDefault="001E748C">
      <w:pPr>
        <w:spacing w:before="0" w:line="230" w:lineRule="auto"/>
        <w:ind w:right="142"/>
        <w:rPr>
          <w:rFonts w:ascii="Times New Roman" w:eastAsia="Times New Roman" w:hAnsi="Times New Roman" w:cs="Times New Roman"/>
          <w:color w:val="000000" w:themeColor="text1"/>
          <w:sz w:val="21"/>
          <w:szCs w:val="21"/>
        </w:rPr>
      </w:pPr>
      <w:r w:rsidRPr="00CA7C54">
        <w:rPr>
          <w:color w:val="000000" w:themeColor="text1"/>
          <w:sz w:val="21"/>
          <w:szCs w:val="21"/>
        </w:rPr>
        <w:t>де</w:t>
      </w:r>
    </w:p>
    <w:p w14:paraId="6465BFE8" w14:textId="77777777" w:rsidR="003C4E04" w:rsidRPr="00CA7C54" w:rsidRDefault="001E748C" w:rsidP="004232B7">
      <w:pPr>
        <w:spacing w:before="0"/>
        <w:ind w:right="142"/>
        <w:contextualSpacing/>
        <w:rPr>
          <w:rFonts w:ascii="Times New Roman" w:eastAsia="Times New Roman" w:hAnsi="Times New Roman" w:cs="Times New Roman"/>
          <w:color w:val="000000" w:themeColor="text1"/>
          <w:sz w:val="21"/>
          <w:szCs w:val="21"/>
        </w:rPr>
      </w:pPr>
      <w:r w:rsidRPr="00CA7C54">
        <w:rPr>
          <w:i/>
          <w:color w:val="000000" w:themeColor="text1"/>
          <w:sz w:val="21"/>
          <w:szCs w:val="21"/>
        </w:rPr>
        <w:t>L</w:t>
      </w:r>
      <w:r w:rsidRPr="00CA7C54">
        <w:rPr>
          <w:color w:val="000000" w:themeColor="text1"/>
          <w:sz w:val="21"/>
          <w:szCs w:val="21"/>
        </w:rPr>
        <w:t xml:space="preserve"> – мінімальна відстані від захисних споруд до ємностей, м;</w:t>
      </w:r>
    </w:p>
    <w:p w14:paraId="2E802443" w14:textId="77777777" w:rsidR="003C4E04" w:rsidRPr="00CA7C54" w:rsidRDefault="001E748C" w:rsidP="004232B7">
      <w:pPr>
        <w:spacing w:before="0"/>
        <w:ind w:right="142"/>
        <w:contextualSpacing/>
        <w:rPr>
          <w:rFonts w:ascii="Times New Roman" w:eastAsia="Times New Roman" w:hAnsi="Times New Roman" w:cs="Times New Roman"/>
          <w:color w:val="000000" w:themeColor="text1"/>
          <w:sz w:val="21"/>
          <w:szCs w:val="21"/>
        </w:rPr>
      </w:pPr>
      <w:r w:rsidRPr="00032589">
        <w:rPr>
          <w:i/>
          <w:color w:val="000000" w:themeColor="text1"/>
          <w:sz w:val="21"/>
          <w:szCs w:val="21"/>
        </w:rPr>
        <w:t>Q</w:t>
      </w:r>
      <w:r w:rsidRPr="00CA7C54">
        <w:rPr>
          <w:color w:val="000000" w:themeColor="text1"/>
          <w:sz w:val="21"/>
          <w:szCs w:val="21"/>
        </w:rPr>
        <w:t xml:space="preserve"> – маса вибухонебезпечної речовини, т;</w:t>
      </w:r>
    </w:p>
    <w:p w14:paraId="04FBF749" w14:textId="77777777" w:rsidR="00455C3E" w:rsidRPr="00CA7C54" w:rsidRDefault="00DC31F3" w:rsidP="004232B7">
      <w:pPr>
        <w:spacing w:before="0"/>
        <w:ind w:right="142"/>
        <w:contextualSpacing/>
        <w:rPr>
          <w:color w:val="000000" w:themeColor="text1"/>
          <w:sz w:val="21"/>
          <w:szCs w:val="21"/>
        </w:rPr>
      </w:pPr>
      <w:sdt>
        <w:sdtPr>
          <w:rPr>
            <w:color w:val="000000" w:themeColor="text1"/>
            <w:sz w:val="21"/>
            <w:szCs w:val="21"/>
          </w:rPr>
          <w:tag w:val="goog_rdk_0"/>
          <w:id w:val="99143956"/>
        </w:sdtPr>
        <w:sdtEndPr/>
        <w:sdtContent>
          <w:r w:rsidR="001E748C" w:rsidRPr="00CA7C54">
            <w:rPr>
              <w:rFonts w:eastAsia="Arial Unicode MS"/>
              <w:iCs/>
              <w:color w:val="000000" w:themeColor="text1"/>
              <w:sz w:val="21"/>
              <w:szCs w:val="21"/>
            </w:rPr>
            <w:t>∆Р</w:t>
          </w:r>
        </w:sdtContent>
      </w:sdt>
      <w:r w:rsidR="001E748C" w:rsidRPr="00CA7C54">
        <w:rPr>
          <w:color w:val="000000" w:themeColor="text1"/>
          <w:sz w:val="21"/>
          <w:szCs w:val="21"/>
        </w:rPr>
        <w:t xml:space="preserve"> – надмірний тиск ударної хвилі кПа (кгс/см</w:t>
      </w:r>
      <w:r w:rsidR="001E748C" w:rsidRPr="00CA7C54">
        <w:rPr>
          <w:color w:val="000000" w:themeColor="text1"/>
          <w:sz w:val="21"/>
          <w:szCs w:val="21"/>
          <w:vertAlign w:val="superscript"/>
        </w:rPr>
        <w:t>2</w:t>
      </w:r>
      <w:r w:rsidR="001E748C" w:rsidRPr="00CA7C54">
        <w:rPr>
          <w:color w:val="000000" w:themeColor="text1"/>
          <w:sz w:val="21"/>
          <w:szCs w:val="21"/>
        </w:rPr>
        <w:t>), у місці розташування захисної споруди та СПП, що виникає в результаті вибуху ємності з вибухонебезпечними речовинами.</w:t>
      </w:r>
    </w:p>
    <w:p w14:paraId="514A4FEF" w14:textId="77777777" w:rsidR="0004159F" w:rsidRPr="00CA7C54" w:rsidRDefault="001E748C" w:rsidP="004232B7">
      <w:pPr>
        <w:spacing w:before="0"/>
        <w:ind w:right="140" w:firstLine="0"/>
        <w:contextualSpacing/>
        <w:jc w:val="center"/>
        <w:rPr>
          <w:color w:val="000000" w:themeColor="text1"/>
          <w:sz w:val="21"/>
          <w:szCs w:val="21"/>
        </w:rPr>
      </w:pPr>
      <w:r w:rsidRPr="00CA7C54">
        <w:rPr>
          <w:b/>
          <w:color w:val="000000" w:themeColor="text1"/>
          <w:sz w:val="21"/>
          <w:szCs w:val="21"/>
          <w:highlight w:val="white"/>
        </w:rPr>
        <w:t xml:space="preserve">Рисунок 6.1 </w:t>
      </w:r>
      <w:r w:rsidRPr="00CA7C54">
        <w:rPr>
          <w:color w:val="000000" w:themeColor="text1"/>
          <w:sz w:val="21"/>
          <w:szCs w:val="21"/>
          <w:highlight w:val="white"/>
        </w:rPr>
        <w:t> – Норми віддаленості захисних споруд та СПП від ємностей із вибухо</w:t>
      </w:r>
      <w:r w:rsidRPr="00CA7C54">
        <w:rPr>
          <w:color w:val="000000" w:themeColor="text1"/>
          <w:sz w:val="21"/>
          <w:szCs w:val="21"/>
        </w:rPr>
        <w:t>небезпечними речовинами</w:t>
      </w:r>
    </w:p>
    <w:p w14:paraId="2AE9684E" w14:textId="77777777" w:rsidR="00395598" w:rsidRDefault="00395598" w:rsidP="004232B7">
      <w:pPr>
        <w:suppressAutoHyphens w:val="0"/>
        <w:spacing w:before="0"/>
        <w:contextualSpacing/>
        <w:rPr>
          <w:rFonts w:ascii="Times New Roman" w:eastAsia="Times New Roman" w:hAnsi="Times New Roman" w:cs="Times New Roman"/>
          <w:color w:val="000000" w:themeColor="text1"/>
          <w:sz w:val="21"/>
          <w:szCs w:val="21"/>
        </w:rPr>
      </w:pPr>
    </w:p>
    <w:p w14:paraId="57534210" w14:textId="77777777" w:rsidR="003C4E04" w:rsidRPr="00CA7C54" w:rsidRDefault="001E748C">
      <w:pPr>
        <w:spacing w:before="0" w:line="240" w:lineRule="auto"/>
        <w:ind w:firstLine="566"/>
        <w:jc w:val="left"/>
        <w:rPr>
          <w:rFonts w:ascii="Times New Roman" w:eastAsia="Times New Roman" w:hAnsi="Times New Roman" w:cs="Times New Roman"/>
          <w:color w:val="000000" w:themeColor="text1"/>
          <w:sz w:val="24"/>
          <w:szCs w:val="24"/>
        </w:rPr>
      </w:pPr>
      <w:r w:rsidRPr="00CA7C54">
        <w:rPr>
          <w:noProof/>
          <w:color w:val="000000" w:themeColor="text1"/>
          <w:lang w:eastAsia="uk-UA"/>
        </w:rPr>
        <w:lastRenderedPageBreak/>
        <w:drawing>
          <wp:inline distT="0" distB="0" distL="0" distR="0" wp14:anchorId="7BB6DCD2" wp14:editId="31425701">
            <wp:extent cx="5817054" cy="3147526"/>
            <wp:effectExtent l="0" t="0" r="0" b="0"/>
            <wp:docPr id="213052445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4"/>
                    <a:srcRect/>
                    <a:stretch>
                      <a:fillRect/>
                    </a:stretch>
                  </pic:blipFill>
                  <pic:spPr>
                    <a:xfrm>
                      <a:off x="0" y="0"/>
                      <a:ext cx="5823760" cy="3151155"/>
                    </a:xfrm>
                    <a:prstGeom prst="rect">
                      <a:avLst/>
                    </a:prstGeom>
                    <a:ln/>
                  </pic:spPr>
                </pic:pic>
              </a:graphicData>
            </a:graphic>
          </wp:inline>
        </w:drawing>
      </w:r>
    </w:p>
    <w:p w14:paraId="301A55D3"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color w:val="000000" w:themeColor="text1"/>
          <w:sz w:val="21"/>
          <w:szCs w:val="21"/>
        </w:rPr>
        <w:t>де</w:t>
      </w:r>
    </w:p>
    <w:p w14:paraId="7D5B5CB6"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i/>
          <w:color w:val="000000" w:themeColor="text1"/>
          <w:sz w:val="21"/>
          <w:szCs w:val="21"/>
        </w:rPr>
        <w:t>L</w:t>
      </w:r>
      <w:r w:rsidRPr="00CA7C54">
        <w:rPr>
          <w:color w:val="000000" w:themeColor="text1"/>
          <w:sz w:val="21"/>
          <w:szCs w:val="21"/>
        </w:rPr>
        <w:t xml:space="preserve"> – мінімальна відстані від захисних споруд до складу, м;</w:t>
      </w:r>
    </w:p>
    <w:p w14:paraId="3500A2E3" w14:textId="77777777" w:rsidR="00687A64" w:rsidRDefault="00DC31F3">
      <w:pPr>
        <w:spacing w:before="0" w:line="240" w:lineRule="auto"/>
        <w:ind w:right="142"/>
        <w:rPr>
          <w:color w:val="000000" w:themeColor="text1"/>
          <w:sz w:val="21"/>
          <w:szCs w:val="21"/>
        </w:rPr>
      </w:pPr>
      <w:sdt>
        <w:sdtPr>
          <w:rPr>
            <w:color w:val="000000" w:themeColor="text1"/>
            <w:sz w:val="21"/>
            <w:szCs w:val="21"/>
          </w:rPr>
          <w:tag w:val="goog_rdk_1"/>
          <w:id w:val="1183935500"/>
        </w:sdtPr>
        <w:sdtEndPr/>
        <w:sdtContent>
          <w:r w:rsidR="001E748C" w:rsidRPr="00CA7C54">
            <w:rPr>
              <w:rFonts w:eastAsia="Arial Unicode MS"/>
              <w:i/>
              <w:color w:val="000000" w:themeColor="text1"/>
              <w:sz w:val="20"/>
              <w:szCs w:val="20"/>
            </w:rPr>
            <w:t>∆</w:t>
          </w:r>
          <w:r w:rsidR="001E748C" w:rsidRPr="00CA7C54">
            <w:rPr>
              <w:rFonts w:eastAsia="Arial Unicode MS"/>
              <w:i/>
              <w:color w:val="000000" w:themeColor="text1"/>
              <w:sz w:val="21"/>
              <w:szCs w:val="21"/>
            </w:rPr>
            <w:t>Р</w:t>
          </w:r>
        </w:sdtContent>
      </w:sdt>
      <w:r w:rsidR="001E748C" w:rsidRPr="00CA7C54">
        <w:rPr>
          <w:color w:val="000000" w:themeColor="text1"/>
          <w:sz w:val="21"/>
          <w:szCs w:val="21"/>
        </w:rPr>
        <w:t xml:space="preserve"> – надмірний тиск ударної хвилі у місці розташування захисної споруди та СПП,</w:t>
      </w:r>
    </w:p>
    <w:p w14:paraId="7475A02D" w14:textId="77777777" w:rsidR="003C4E04" w:rsidRPr="00CA7C54" w:rsidRDefault="001E748C" w:rsidP="00687A64">
      <w:pPr>
        <w:spacing w:before="0" w:line="240" w:lineRule="auto"/>
        <w:ind w:right="142" w:firstLine="0"/>
        <w:rPr>
          <w:rFonts w:ascii="Times New Roman" w:eastAsia="Times New Roman" w:hAnsi="Times New Roman" w:cs="Times New Roman"/>
          <w:color w:val="000000" w:themeColor="text1"/>
          <w:sz w:val="21"/>
          <w:szCs w:val="21"/>
        </w:rPr>
      </w:pPr>
      <w:r w:rsidRPr="00AD7A30">
        <w:rPr>
          <w:color w:val="000000" w:themeColor="text1"/>
          <w:sz w:val="21"/>
          <w:szCs w:val="21"/>
        </w:rPr>
        <w:t>кПа (кгс/см</w:t>
      </w:r>
      <w:r w:rsidRPr="00AD7A30">
        <w:rPr>
          <w:color w:val="000000" w:themeColor="text1"/>
          <w:sz w:val="21"/>
          <w:szCs w:val="21"/>
          <w:vertAlign w:val="superscript"/>
        </w:rPr>
        <w:t>2</w:t>
      </w:r>
      <w:r w:rsidRPr="00AD7A30">
        <w:rPr>
          <w:color w:val="000000" w:themeColor="text1"/>
          <w:sz w:val="21"/>
          <w:szCs w:val="21"/>
        </w:rPr>
        <w:t>),</w:t>
      </w:r>
      <w:r w:rsidRPr="00CA7C54">
        <w:rPr>
          <w:color w:val="000000" w:themeColor="text1"/>
          <w:sz w:val="21"/>
          <w:szCs w:val="21"/>
        </w:rPr>
        <w:t xml:space="preserve"> що виникає в результаті вибуху вибухової речовин</w:t>
      </w:r>
      <w:r w:rsidR="00F446B8" w:rsidRPr="00CA7C54">
        <w:rPr>
          <w:color w:val="000000" w:themeColor="text1"/>
          <w:sz w:val="21"/>
          <w:szCs w:val="21"/>
        </w:rPr>
        <w:t xml:space="preserve">; </w:t>
      </w:r>
    </w:p>
    <w:p w14:paraId="5F8EC3A6"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i/>
          <w:color w:val="000000" w:themeColor="text1"/>
          <w:sz w:val="21"/>
          <w:szCs w:val="21"/>
        </w:rPr>
        <w:t>q</w:t>
      </w:r>
      <w:r w:rsidRPr="00CA7C54">
        <w:rPr>
          <w:i/>
          <w:color w:val="000000" w:themeColor="text1"/>
          <w:sz w:val="21"/>
          <w:szCs w:val="21"/>
          <w:vertAlign w:val="subscript"/>
        </w:rPr>
        <w:t>еф</w:t>
      </w:r>
      <w:r w:rsidRPr="00CA7C54">
        <w:rPr>
          <w:color w:val="000000" w:themeColor="text1"/>
          <w:sz w:val="21"/>
          <w:szCs w:val="21"/>
        </w:rPr>
        <w:t xml:space="preserve"> – ефективна потужність вибухової речовини, т;</w:t>
      </w:r>
    </w:p>
    <w:p w14:paraId="02F4A754"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i/>
          <w:color w:val="000000" w:themeColor="text1"/>
          <w:sz w:val="21"/>
          <w:szCs w:val="21"/>
        </w:rPr>
        <w:t>q</w:t>
      </w:r>
      <w:r w:rsidRPr="00CA7C54">
        <w:rPr>
          <w:i/>
          <w:color w:val="000000" w:themeColor="text1"/>
          <w:sz w:val="21"/>
          <w:szCs w:val="21"/>
          <w:vertAlign w:val="subscript"/>
        </w:rPr>
        <w:t>еф</w:t>
      </w:r>
      <w:r w:rsidRPr="00CA7C54">
        <w:rPr>
          <w:i/>
          <w:color w:val="000000" w:themeColor="text1"/>
          <w:sz w:val="21"/>
          <w:szCs w:val="21"/>
        </w:rPr>
        <w:t xml:space="preserve"> = К</w:t>
      </w:r>
      <w:r w:rsidRPr="00CA7C54">
        <w:rPr>
          <w:i/>
          <w:color w:val="000000" w:themeColor="text1"/>
          <w:sz w:val="21"/>
          <w:szCs w:val="21"/>
          <w:vertAlign w:val="subscript"/>
        </w:rPr>
        <w:t>еф</w:t>
      </w:r>
      <w:r w:rsidRPr="00CA7C54">
        <w:rPr>
          <w:i/>
          <w:color w:val="000000" w:themeColor="text1"/>
          <w:sz w:val="21"/>
          <w:szCs w:val="21"/>
        </w:rPr>
        <w:t xml:space="preserve">  q;</w:t>
      </w:r>
      <w:r w:rsidRPr="00CA7C54">
        <w:rPr>
          <w:color w:val="000000" w:themeColor="text1"/>
          <w:sz w:val="21"/>
          <w:szCs w:val="21"/>
        </w:rPr>
        <w:t xml:space="preserve">        </w:t>
      </w:r>
    </w:p>
    <w:p w14:paraId="7EC3E3D4"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i/>
          <w:color w:val="000000" w:themeColor="text1"/>
          <w:sz w:val="21"/>
          <w:szCs w:val="21"/>
        </w:rPr>
        <w:t>q</w:t>
      </w:r>
      <w:r w:rsidRPr="00CA7C54">
        <w:rPr>
          <w:color w:val="000000" w:themeColor="text1"/>
          <w:sz w:val="21"/>
          <w:szCs w:val="21"/>
        </w:rPr>
        <w:t xml:space="preserve"> – маса вибухової речовини, т;</w:t>
      </w:r>
    </w:p>
    <w:p w14:paraId="3C084390" w14:textId="77777777" w:rsidR="003C4E04" w:rsidRPr="00CA7C54" w:rsidRDefault="001E748C" w:rsidP="00E73815">
      <w:pPr>
        <w:spacing w:before="0" w:after="120" w:line="240" w:lineRule="auto"/>
        <w:ind w:right="142"/>
        <w:rPr>
          <w:color w:val="000000" w:themeColor="text1"/>
          <w:sz w:val="21"/>
          <w:szCs w:val="21"/>
          <w:highlight w:val="white"/>
        </w:rPr>
      </w:pPr>
      <w:r w:rsidRPr="00CA7C54">
        <w:rPr>
          <w:i/>
          <w:color w:val="000000" w:themeColor="text1"/>
          <w:sz w:val="21"/>
          <w:szCs w:val="21"/>
          <w:highlight w:val="white"/>
        </w:rPr>
        <w:t>К</w:t>
      </w:r>
      <w:r w:rsidRPr="00CA7C54">
        <w:rPr>
          <w:i/>
          <w:color w:val="000000" w:themeColor="text1"/>
          <w:sz w:val="21"/>
          <w:szCs w:val="21"/>
          <w:highlight w:val="white"/>
          <w:vertAlign w:val="subscript"/>
        </w:rPr>
        <w:t>еф</w:t>
      </w:r>
      <w:r w:rsidRPr="00CA7C54">
        <w:rPr>
          <w:color w:val="000000" w:themeColor="text1"/>
          <w:sz w:val="21"/>
          <w:szCs w:val="21"/>
          <w:highlight w:val="white"/>
        </w:rPr>
        <w:t xml:space="preserve"> – коефіцієнт ефективності, який приймається згідно з таблицею 6.</w:t>
      </w:r>
      <w:r w:rsidR="00A50F83">
        <w:rPr>
          <w:color w:val="000000" w:themeColor="text1"/>
          <w:sz w:val="21"/>
          <w:szCs w:val="21"/>
          <w:highlight w:val="white"/>
        </w:rPr>
        <w:t>1</w:t>
      </w:r>
    </w:p>
    <w:p w14:paraId="2414CC59" w14:textId="0EB10E85" w:rsidR="00455C3E" w:rsidRPr="00CA7C54" w:rsidRDefault="001E748C" w:rsidP="004232B7">
      <w:pPr>
        <w:spacing w:before="0" w:line="288" w:lineRule="auto"/>
        <w:ind w:firstLine="0"/>
        <w:contextualSpacing/>
        <w:jc w:val="center"/>
        <w:rPr>
          <w:color w:val="000000" w:themeColor="text1"/>
          <w:sz w:val="21"/>
          <w:szCs w:val="21"/>
          <w:highlight w:val="white"/>
        </w:rPr>
      </w:pPr>
      <w:r w:rsidRPr="00CA7C54">
        <w:rPr>
          <w:b/>
          <w:color w:val="000000" w:themeColor="text1"/>
          <w:sz w:val="21"/>
          <w:szCs w:val="21"/>
          <w:highlight w:val="white"/>
        </w:rPr>
        <w:t>Рисунок</w:t>
      </w:r>
      <w:r w:rsidR="007D72FD">
        <w:rPr>
          <w:b/>
          <w:color w:val="000000" w:themeColor="text1"/>
          <w:sz w:val="21"/>
          <w:szCs w:val="21"/>
          <w:highlight w:val="white"/>
        </w:rPr>
        <w:t xml:space="preserve"> </w:t>
      </w:r>
      <w:r w:rsidRPr="00CA7C54">
        <w:rPr>
          <w:b/>
          <w:color w:val="000000" w:themeColor="text1"/>
          <w:sz w:val="21"/>
          <w:szCs w:val="21"/>
          <w:highlight w:val="white"/>
        </w:rPr>
        <w:t>6.2</w:t>
      </w:r>
      <w:r w:rsidRPr="00CA7C54">
        <w:rPr>
          <w:color w:val="000000" w:themeColor="text1"/>
          <w:sz w:val="21"/>
          <w:szCs w:val="21"/>
          <w:highlight w:val="white"/>
        </w:rPr>
        <w:t> – Норми віддаленості захисних споруд та СПП від складів із вибуховими матеріалами</w:t>
      </w:r>
    </w:p>
    <w:p w14:paraId="4CF02E6D" w14:textId="77777777" w:rsidR="003C4E04" w:rsidRPr="00CA7C54" w:rsidRDefault="001E748C" w:rsidP="004232B7">
      <w:pP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rPr>
        <w:t>6.</w:t>
      </w:r>
      <w:r w:rsidRPr="00CA7C54">
        <w:rPr>
          <w:b/>
          <w:color w:val="000000" w:themeColor="text1"/>
          <w:sz w:val="21"/>
          <w:szCs w:val="21"/>
        </w:rPr>
        <w:t>7</w:t>
      </w:r>
      <w:r w:rsidRPr="00CA7C54">
        <w:rPr>
          <w:color w:val="000000" w:themeColor="text1"/>
          <w:sz w:val="21"/>
          <w:szCs w:val="21"/>
        </w:rPr>
        <w:t xml:space="preserve"> Захисні споруди та СПП повинні бути захищені від можливого затоплення дощовими  водами, а також іншими рідинами при руйнуванні ємностей, розташованих на поверхні землі або на вищих поверхах будівель або споруд.</w:t>
      </w:r>
    </w:p>
    <w:p w14:paraId="3531D900" w14:textId="77777777" w:rsidR="003C4E04" w:rsidRPr="00CA7C54" w:rsidRDefault="001E748C" w:rsidP="004232B7">
      <w:pPr>
        <w:spacing w:before="0" w:line="288" w:lineRule="auto"/>
        <w:ind w:right="141"/>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6.8</w:t>
      </w:r>
      <w:r w:rsidRPr="00CA7C54">
        <w:rPr>
          <w:color w:val="000000" w:themeColor="text1"/>
          <w:spacing w:val="-4"/>
          <w:sz w:val="21"/>
          <w:szCs w:val="21"/>
        </w:rPr>
        <w:t>Захисні споруди та СПП рекомендується розташовувати на відстані не менше ніж 5 м</w:t>
      </w:r>
      <w:r w:rsidRPr="00CA7C54">
        <w:rPr>
          <w:color w:val="000000" w:themeColor="text1"/>
          <w:spacing w:val="-4"/>
          <w:sz w:val="21"/>
          <w:szCs w:val="21"/>
        </w:rPr>
        <w:br/>
      </w:r>
      <w:r w:rsidRPr="00CA7C54">
        <w:rPr>
          <w:color w:val="000000" w:themeColor="text1"/>
          <w:sz w:val="21"/>
          <w:szCs w:val="21"/>
        </w:rPr>
        <w:t>(у просвіті) від зовнішніх мереж водопостачання, теплопостачання та напірної каналізації діаметром не більше ніж 200 мм. При діаметрі більше</w:t>
      </w:r>
      <w:r w:rsidR="00433B4B" w:rsidRPr="00CA7C54">
        <w:rPr>
          <w:color w:val="000000" w:themeColor="text1"/>
          <w:sz w:val="21"/>
          <w:szCs w:val="21"/>
        </w:rPr>
        <w:t xml:space="preserve"> ніж</w:t>
      </w:r>
      <w:r w:rsidRPr="00CA7C54">
        <w:rPr>
          <w:color w:val="000000" w:themeColor="text1"/>
          <w:sz w:val="21"/>
          <w:szCs w:val="21"/>
        </w:rPr>
        <w:t xml:space="preserve"> 200 мм відстань захисних споруд та СПП до мереж водопостачання, теплопостачання та напірних каналізаційних магістралей повинна бути не менше</w:t>
      </w:r>
      <w:r w:rsidR="00433B4B" w:rsidRPr="00CA7C54">
        <w:rPr>
          <w:color w:val="000000" w:themeColor="text1"/>
          <w:sz w:val="21"/>
          <w:szCs w:val="21"/>
        </w:rPr>
        <w:t xml:space="preserve"> ніж</w:t>
      </w:r>
      <w:r w:rsidRPr="00CA7C54">
        <w:rPr>
          <w:color w:val="000000" w:themeColor="text1"/>
          <w:sz w:val="21"/>
          <w:szCs w:val="21"/>
        </w:rPr>
        <w:t xml:space="preserve"> 15 м.</w:t>
      </w:r>
    </w:p>
    <w:p w14:paraId="545EA0D4" w14:textId="77777777" w:rsidR="003C4E04" w:rsidRPr="00CA7C54" w:rsidRDefault="001E748C" w:rsidP="004232B7">
      <w:pPr>
        <w:spacing w:before="0" w:line="288" w:lineRule="auto"/>
        <w:ind w:right="141"/>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6.9</w:t>
      </w:r>
      <w:r w:rsidRPr="00CA7C54">
        <w:rPr>
          <w:color w:val="000000" w:themeColor="text1"/>
          <w:sz w:val="21"/>
          <w:szCs w:val="21"/>
        </w:rPr>
        <w:t xml:space="preserve"> На підприємствах, пов’язаних із використанням небезпечних хімічних речовин (НХР) захисні споруди та СПП повинні</w:t>
      </w:r>
      <w:r w:rsidR="00433B4B" w:rsidRPr="00CA7C54">
        <w:rPr>
          <w:color w:val="000000" w:themeColor="text1"/>
          <w:sz w:val="21"/>
          <w:szCs w:val="21"/>
        </w:rPr>
        <w:t>(о)</w:t>
      </w:r>
      <w:r w:rsidRPr="00CA7C54">
        <w:rPr>
          <w:color w:val="000000" w:themeColor="text1"/>
          <w:sz w:val="21"/>
          <w:szCs w:val="21"/>
        </w:rPr>
        <w:t xml:space="preserve"> розташовуватися та про</w:t>
      </w:r>
      <w:r w:rsidR="00C2566A" w:rsidRPr="00CA7C54">
        <w:rPr>
          <w:color w:val="000000" w:themeColor="text1"/>
          <w:sz w:val="21"/>
          <w:szCs w:val="21"/>
        </w:rPr>
        <w:t>є</w:t>
      </w:r>
      <w:r w:rsidRPr="00CA7C54">
        <w:rPr>
          <w:color w:val="000000" w:themeColor="text1"/>
          <w:sz w:val="21"/>
          <w:szCs w:val="21"/>
        </w:rPr>
        <w:t>ктуватися відповідно до рекомендацій розділу ОВНС (ОВД).</w:t>
      </w:r>
    </w:p>
    <w:p w14:paraId="4D4CB7F6" w14:textId="77777777" w:rsidR="003C4E04" w:rsidRPr="00CA7C54" w:rsidRDefault="001E748C" w:rsidP="004232B7">
      <w:pP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Розміщення захисних споруд та СПП на території суб’єктів господарювання, що зберігають або використовують у технологічному процесі небезпечні хімічні речовини, має здійснюватися з урахуванням фізико-хімічних властивостей таких речовин відповідно на підвищених або понижених ділянках місцевості.</w:t>
      </w:r>
    </w:p>
    <w:p w14:paraId="133A3522" w14:textId="77777777" w:rsidR="003C4E04" w:rsidRPr="00CA7C54" w:rsidRDefault="001E748C" w:rsidP="004232B7">
      <w:pPr>
        <w:spacing w:before="0" w:line="288" w:lineRule="auto"/>
        <w:contextualSpacing/>
        <w:jc w:val="left"/>
        <w:rPr>
          <w:rFonts w:ascii="Times New Roman" w:eastAsia="Times New Roman" w:hAnsi="Times New Roman" w:cs="Times New Roman"/>
          <w:color w:val="000000" w:themeColor="text1"/>
          <w:sz w:val="21"/>
          <w:szCs w:val="21"/>
        </w:rPr>
      </w:pPr>
      <w:r w:rsidRPr="00CA7C54">
        <w:rPr>
          <w:b/>
          <w:color w:val="000000" w:themeColor="text1"/>
          <w:sz w:val="21"/>
          <w:szCs w:val="21"/>
        </w:rPr>
        <w:t>6.10</w:t>
      </w:r>
      <w:r w:rsidRPr="00CA7C54">
        <w:rPr>
          <w:color w:val="000000" w:themeColor="text1"/>
          <w:sz w:val="21"/>
          <w:szCs w:val="21"/>
        </w:rPr>
        <w:t xml:space="preserve">  </w:t>
      </w:r>
      <w:r w:rsidRPr="00B75AAD">
        <w:rPr>
          <w:color w:val="000000" w:themeColor="text1"/>
          <w:spacing w:val="10"/>
          <w:sz w:val="21"/>
          <w:szCs w:val="21"/>
        </w:rPr>
        <w:t>Прокладання транзитних внутрішньобудинкових трубопроводів опалення,</w:t>
      </w:r>
      <w:r w:rsidRPr="00CA7C54">
        <w:rPr>
          <w:color w:val="000000" w:themeColor="text1"/>
          <w:sz w:val="21"/>
          <w:szCs w:val="21"/>
        </w:rPr>
        <w:t xml:space="preserve"> електромереж (вище 0,4 кВ) водопроводу та каналізації крізь приміщення захисної споруди або СПП допускається за умови розміщення їх у технічних інженерних коридорах, відокремлених від приміщення захисної споруди або СПП стінами (перегородками) з класом вогнестійкості ЕІ 45 та герметизацією, для якої використовують вогнетривкі однокомпонентні матеріали (піни, герметики тощо) на поліуретановій, силікатній або іншій основі з  підтвердженням класу вогнестійкості не менше ЕІ 45.</w:t>
      </w:r>
    </w:p>
    <w:p w14:paraId="3B1507E2"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Прокладання зовнішних транзитних мереж та  магістральних мереж через приміщення захисних споруд та СПП не допускається.</w:t>
      </w:r>
    </w:p>
    <w:p w14:paraId="30DC3B39" w14:textId="77777777" w:rsidR="003C4E04" w:rsidRDefault="001E748C" w:rsidP="00A528B8">
      <w:pPr>
        <w:spacing w:before="0" w:line="288" w:lineRule="auto"/>
        <w:contextualSpacing/>
        <w:rPr>
          <w:color w:val="000000" w:themeColor="text1"/>
          <w:sz w:val="21"/>
          <w:szCs w:val="21"/>
        </w:rPr>
      </w:pPr>
      <w:r w:rsidRPr="00CA7C54">
        <w:rPr>
          <w:color w:val="000000" w:themeColor="text1"/>
          <w:sz w:val="21"/>
          <w:szCs w:val="21"/>
        </w:rPr>
        <w:lastRenderedPageBreak/>
        <w:t>Мережі для обслуговування захисної споруди або СПП мають мати можливість відключитись безпосередньо із захисної споруди  або СПП.</w:t>
      </w:r>
    </w:p>
    <w:p w14:paraId="4D87A7E7" w14:textId="247C0A90" w:rsidR="009B1EAB" w:rsidRDefault="009B1EAB" w:rsidP="00A528B8">
      <w:pPr>
        <w:spacing w:before="0" w:line="288" w:lineRule="auto"/>
        <w:contextualSpacing/>
        <w:rPr>
          <w:rFonts w:eastAsia="Calibri"/>
          <w:bCs/>
          <w:sz w:val="21"/>
          <w:szCs w:val="21"/>
        </w:rPr>
      </w:pPr>
      <w:r w:rsidRPr="00B173EB">
        <w:rPr>
          <w:rFonts w:eastAsia="Calibri"/>
          <w:bCs/>
          <w:sz w:val="21"/>
          <w:szCs w:val="21"/>
        </w:rPr>
        <w:t>Прокладання внутрішніх мереж каналізації через приміщення захисних споруд та СПП допускається</w:t>
      </w:r>
      <w:r>
        <w:rPr>
          <w:rFonts w:eastAsia="Calibri"/>
          <w:bCs/>
          <w:sz w:val="21"/>
          <w:szCs w:val="21"/>
        </w:rPr>
        <w:t xml:space="preserve"> за </w:t>
      </w:r>
      <w:r w:rsidRPr="00B173EB">
        <w:rPr>
          <w:rFonts w:eastAsia="Calibri"/>
          <w:bCs/>
          <w:sz w:val="21"/>
          <w:szCs w:val="21"/>
        </w:rPr>
        <w:t>умов</w:t>
      </w:r>
      <w:r>
        <w:rPr>
          <w:rFonts w:eastAsia="Calibri"/>
          <w:bCs/>
          <w:sz w:val="21"/>
          <w:szCs w:val="21"/>
        </w:rPr>
        <w:t>и</w:t>
      </w:r>
      <w:r w:rsidRPr="00B173EB">
        <w:rPr>
          <w:rFonts w:eastAsia="Calibri"/>
          <w:bCs/>
          <w:sz w:val="21"/>
          <w:szCs w:val="21"/>
        </w:rPr>
        <w:t xml:space="preserve"> дотримання вимог </w:t>
      </w:r>
      <w:hyperlink r:id="rId115" w:history="1">
        <w:r w:rsidRPr="00722483">
          <w:rPr>
            <w:rStyle w:val="ac"/>
            <w:rFonts w:eastAsia="Calibri" w:cs="Arial"/>
            <w:bCs/>
            <w:sz w:val="21"/>
            <w:szCs w:val="21"/>
          </w:rPr>
          <w:t>ДБН В.2.5-64</w:t>
        </w:r>
      </w:hyperlink>
      <w:r w:rsidRPr="00B173EB">
        <w:rPr>
          <w:rFonts w:eastAsia="Calibri"/>
          <w:bCs/>
          <w:sz w:val="21"/>
          <w:szCs w:val="21"/>
        </w:rPr>
        <w:t xml:space="preserve"> та захисту їх від зовнішніх впливів </w:t>
      </w:r>
      <w:r>
        <w:rPr>
          <w:rFonts w:eastAsia="Calibri"/>
          <w:bCs/>
          <w:sz w:val="21"/>
          <w:szCs w:val="21"/>
        </w:rPr>
        <w:t xml:space="preserve">шляхом </w:t>
      </w:r>
      <w:r w:rsidRPr="00B173EB">
        <w:rPr>
          <w:rFonts w:eastAsia="Calibri"/>
          <w:bCs/>
          <w:sz w:val="21"/>
          <w:szCs w:val="21"/>
        </w:rPr>
        <w:t>влаштування захисних футлярів або коробів, що забезпечують можливість доступ</w:t>
      </w:r>
      <w:r>
        <w:rPr>
          <w:rFonts w:eastAsia="Calibri"/>
          <w:bCs/>
          <w:sz w:val="21"/>
          <w:szCs w:val="21"/>
        </w:rPr>
        <w:t>у</w:t>
      </w:r>
      <w:r w:rsidRPr="00B173EB">
        <w:rPr>
          <w:rFonts w:eastAsia="Calibri"/>
          <w:bCs/>
          <w:sz w:val="21"/>
          <w:szCs w:val="21"/>
        </w:rPr>
        <w:t xml:space="preserve"> до </w:t>
      </w:r>
      <w:r>
        <w:rPr>
          <w:rFonts w:eastAsia="Calibri"/>
          <w:bCs/>
          <w:sz w:val="21"/>
          <w:szCs w:val="21"/>
        </w:rPr>
        <w:t xml:space="preserve">складових частин </w:t>
      </w:r>
      <w:r w:rsidRPr="00B173EB">
        <w:rPr>
          <w:rFonts w:eastAsia="Calibri"/>
          <w:bCs/>
          <w:sz w:val="21"/>
          <w:szCs w:val="21"/>
        </w:rPr>
        <w:t xml:space="preserve">системи каналізації, які потребують втручання </w:t>
      </w:r>
      <w:r>
        <w:rPr>
          <w:rFonts w:eastAsia="Calibri"/>
          <w:bCs/>
          <w:sz w:val="21"/>
          <w:szCs w:val="21"/>
        </w:rPr>
        <w:t>обслугов</w:t>
      </w:r>
      <w:r w:rsidRPr="00B173EB">
        <w:rPr>
          <w:rFonts w:eastAsia="Calibri"/>
          <w:bCs/>
          <w:sz w:val="21"/>
          <w:szCs w:val="21"/>
        </w:rPr>
        <w:t>уючого персоналу (прочи</w:t>
      </w:r>
      <w:r>
        <w:rPr>
          <w:rFonts w:eastAsia="Calibri"/>
          <w:bCs/>
          <w:sz w:val="21"/>
          <w:szCs w:val="21"/>
        </w:rPr>
        <w:t>стки</w:t>
      </w:r>
      <w:r w:rsidRPr="00B173EB">
        <w:rPr>
          <w:rFonts w:eastAsia="Calibri"/>
          <w:bCs/>
          <w:sz w:val="21"/>
          <w:szCs w:val="21"/>
        </w:rPr>
        <w:t>, ревізії, упори т</w:t>
      </w:r>
      <w:r>
        <w:rPr>
          <w:rFonts w:eastAsia="Calibri"/>
          <w:bCs/>
          <w:sz w:val="21"/>
          <w:szCs w:val="21"/>
        </w:rPr>
        <w:t>ощо)</w:t>
      </w:r>
      <w:r w:rsidRPr="00B173EB">
        <w:rPr>
          <w:rFonts w:eastAsia="Calibri"/>
          <w:bCs/>
          <w:sz w:val="21"/>
          <w:szCs w:val="21"/>
        </w:rPr>
        <w:t>.</w:t>
      </w:r>
    </w:p>
    <w:p w14:paraId="48EA6E1C" w14:textId="373FD9C9" w:rsidR="009B1EAB" w:rsidRPr="00F6335A" w:rsidRDefault="009B1EAB" w:rsidP="00A528B8">
      <w:pPr>
        <w:spacing w:before="0" w:line="288" w:lineRule="auto"/>
        <w:contextualSpacing/>
        <w:rPr>
          <w:rFonts w:ascii="Times New Roman" w:eastAsia="Times New Roman" w:hAnsi="Times New Roman" w:cs="Times New Roman"/>
          <w:b/>
          <w:i/>
          <w:iCs/>
          <w:color w:val="00B050"/>
          <w:sz w:val="21"/>
          <w:szCs w:val="21"/>
        </w:rPr>
      </w:pPr>
      <w:r w:rsidRPr="00F6335A">
        <w:rPr>
          <w:rFonts w:eastAsia="Calibri"/>
          <w:b/>
          <w:i/>
          <w:iCs/>
          <w:color w:val="00B050"/>
          <w:sz w:val="21"/>
          <w:szCs w:val="21"/>
        </w:rPr>
        <w:t>(Пункт 6.10 змінено, Зміна № 2)</w:t>
      </w:r>
    </w:p>
    <w:p w14:paraId="0BD8D68C"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6.11 </w:t>
      </w:r>
      <w:r w:rsidRPr="00CA7C54">
        <w:rPr>
          <w:color w:val="000000" w:themeColor="text1"/>
          <w:sz w:val="21"/>
          <w:szCs w:val="21"/>
        </w:rPr>
        <w:t>Необхідна кількість та місткість кожної захисно</w:t>
      </w:r>
      <w:r w:rsidR="00C03CAA">
        <w:rPr>
          <w:color w:val="000000" w:themeColor="text1"/>
          <w:sz w:val="21"/>
          <w:szCs w:val="21"/>
        </w:rPr>
        <w:t>ї</w:t>
      </w:r>
      <w:r w:rsidRPr="00CA7C54">
        <w:rPr>
          <w:color w:val="000000" w:themeColor="text1"/>
          <w:sz w:val="21"/>
          <w:szCs w:val="21"/>
        </w:rPr>
        <w:t xml:space="preserve"> споруди та СПП визначається завданням на проєктування, виходячи з розрахункової кількості осіб, що підлягають укриттю, а саме: </w:t>
      </w:r>
    </w:p>
    <w:p w14:paraId="18AB6E5C"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а) при реалізації вимог розділу ІТЗ ЦЗ у містобудівній документації відповідного рівня;</w:t>
      </w:r>
    </w:p>
    <w:p w14:paraId="03B58D6D"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б) при реалізації вимог розділу ІТЗ ЦЗ у проєктній документації на будівництво об'єктів різного призначення; </w:t>
      </w:r>
    </w:p>
    <w:p w14:paraId="66FF4571"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в) відповідно до кількості осіб, що постійно та/або періодично перебувають на об'єкті – залежн</w:t>
      </w:r>
      <w:r w:rsidRPr="00CA7C54">
        <w:rPr>
          <w:color w:val="000000" w:themeColor="text1"/>
          <w:sz w:val="21"/>
          <w:szCs w:val="21"/>
          <w:highlight w:val="white"/>
        </w:rPr>
        <w:t xml:space="preserve">о від функціонального призначення об'єкта, для якого проєктується захисна споруда або СПП, з урахуванням положень 6.12 – 6.19 цих </w:t>
      </w:r>
      <w:r w:rsidR="00C2566A" w:rsidRPr="00CA7C54">
        <w:rPr>
          <w:color w:val="000000" w:themeColor="text1"/>
          <w:sz w:val="21"/>
          <w:szCs w:val="21"/>
          <w:highlight w:val="white"/>
        </w:rPr>
        <w:t>н</w:t>
      </w:r>
      <w:r w:rsidRPr="00CA7C54">
        <w:rPr>
          <w:color w:val="000000" w:themeColor="text1"/>
          <w:sz w:val="21"/>
          <w:szCs w:val="21"/>
          <w:highlight w:val="white"/>
        </w:rPr>
        <w:t>орм</w:t>
      </w:r>
      <w:r w:rsidRPr="00CA7C54">
        <w:rPr>
          <w:color w:val="000000" w:themeColor="text1"/>
          <w:sz w:val="21"/>
          <w:szCs w:val="21"/>
        </w:rPr>
        <w:t>.</w:t>
      </w:r>
    </w:p>
    <w:p w14:paraId="6A17FEC1"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6.12  </w:t>
      </w:r>
      <w:r w:rsidRPr="00CA7C54">
        <w:rPr>
          <w:color w:val="000000" w:themeColor="text1"/>
          <w:sz w:val="21"/>
          <w:szCs w:val="21"/>
        </w:rPr>
        <w:t>Загальна місткість захисних споруд цивільного захисту та СПП закладів охорони здоров’я визначається з урахуванням максимальної кількості осіб, що можуть одночасно (постійно та тимчасово) перебувати на об'єкті, в тому числі осіб, що  перебувають у приміщеннях, необх</w:t>
      </w:r>
      <w:r w:rsidRPr="00CA7C54">
        <w:rPr>
          <w:color w:val="000000" w:themeColor="text1"/>
          <w:sz w:val="21"/>
          <w:szCs w:val="21"/>
          <w:highlight w:val="white"/>
        </w:rPr>
        <w:t xml:space="preserve">ідних для можливості забезпечення надання безперервної медичної допомоги відповідно до 8.1.1-8.1.3 цих </w:t>
      </w:r>
      <w:r w:rsidR="00C2566A" w:rsidRPr="00CA7C54">
        <w:rPr>
          <w:color w:val="000000" w:themeColor="text1"/>
          <w:sz w:val="21"/>
          <w:szCs w:val="21"/>
          <w:highlight w:val="white"/>
        </w:rPr>
        <w:t>н</w:t>
      </w:r>
      <w:r w:rsidRPr="00CA7C54">
        <w:rPr>
          <w:color w:val="000000" w:themeColor="text1"/>
          <w:sz w:val="21"/>
          <w:szCs w:val="21"/>
          <w:highlight w:val="white"/>
        </w:rPr>
        <w:t>орм, але</w:t>
      </w:r>
      <w:r w:rsidRPr="00CA7C54">
        <w:rPr>
          <w:color w:val="000000" w:themeColor="text1"/>
          <w:sz w:val="21"/>
          <w:szCs w:val="21"/>
        </w:rPr>
        <w:t xml:space="preserve"> не менше найбільш чисельної робочої зміни медичного та обслуговуючого персоналу та планової чисельності хворих таких закладів.</w:t>
      </w:r>
    </w:p>
    <w:p w14:paraId="359511DF"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6.13</w:t>
      </w:r>
      <w:r w:rsidRPr="00CA7C54">
        <w:rPr>
          <w:color w:val="000000" w:themeColor="text1"/>
          <w:sz w:val="21"/>
          <w:szCs w:val="21"/>
        </w:rPr>
        <w:t xml:space="preserve"> Загальна місткість захисних споруд та СПП  закладів дошкільної освіти визначається можливістю укриття 100% учасників освітнього процесу (вихованців, педагогічних працівників, помічників вихователів, медичних працівників, асистентів дітей з особливими освітніми потребами) та інших працівників закладу дошкільної освіти.</w:t>
      </w:r>
    </w:p>
    <w:p w14:paraId="32DB7719"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При реконструкції вбудованих та при новому будівництві окремо розташованих та прибудованих захисних споруд або СПП в межах земельної ділянки існуючих закладів освіти, допускається зменшувати місткість захисних споруд та СПП до 60% від загальної місткості закладу освіти за умови, що укриттю підлягають всі особи, які можуть одночасно перебувати у будівлі відповідно до режиму роботи закладу у найбільш чисельну зміну.</w:t>
      </w:r>
    </w:p>
    <w:p w14:paraId="2874C0D1"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6.14</w:t>
      </w:r>
      <w:r w:rsidRPr="00CA7C54">
        <w:rPr>
          <w:color w:val="000000" w:themeColor="text1"/>
          <w:sz w:val="21"/>
          <w:szCs w:val="21"/>
          <w:highlight w:val="white"/>
        </w:rPr>
        <w:t xml:space="preserve"> Загальна місткість захисних споруд та СПП закладів загальної середньої освіти визначається можливістю укриття 100% учасників освітнього процесу та інших працівників закладу.</w:t>
      </w:r>
    </w:p>
    <w:p w14:paraId="2215D763"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При реконструкції вбудованих та при новому будівництві окремо розташованих та прибудованих захисних споруд або СПП в межах земельної ділянки існуючих закладів освіти,  допускається зменшувати місткість захисних споруд та СПП до 50% від загальної місткості закладу освіти за умови, що укриттю підлягають всі особи, які можуть одночасно перебувати у будівлі відповідно до режиму роботи закладу у найбільш чисельну зміну.</w:t>
      </w:r>
    </w:p>
    <w:p w14:paraId="3AF4B30D"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6.15</w:t>
      </w:r>
      <w:r w:rsidRPr="00CA7C54">
        <w:rPr>
          <w:color w:val="000000" w:themeColor="text1"/>
          <w:sz w:val="21"/>
          <w:szCs w:val="21"/>
          <w:highlight w:val="white"/>
        </w:rPr>
        <w:t xml:space="preserve"> Загальна місткість захисних споруд та СПП  закладів вищої, фахової передвищої, професійної (професійно-технічної) та післядипломної освіти визначається можливістю укриття 100% здобувачів освіти, педагогічних і науково-педагогічних та інших працівників закладу відповідно до розрахункової місткості однієї зміни для конкретної будівлі.</w:t>
      </w:r>
    </w:p>
    <w:p w14:paraId="5885DB81"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При реконструкції вбудованих та при новому будівництві окремо розташованих та прибудованих захисних споруд або СПП в межах земельної ділянки існуючих закладів освіти,  допускається зменшувати місткість захисних споруд та СПП до 60% від загальної місткості закладу освіти, відповідно до розрахункової місткості однієї зміни для конкретної будівлі за умови, що укриттю підлягають всі особи, які можуть одночасно перебувати в будівлі відповідно до режиму роботи закладу.</w:t>
      </w:r>
    </w:p>
    <w:p w14:paraId="2242BF47"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lastRenderedPageBreak/>
        <w:t>6.16</w:t>
      </w:r>
      <w:r w:rsidRPr="00CA7C54">
        <w:rPr>
          <w:color w:val="000000" w:themeColor="text1"/>
          <w:sz w:val="21"/>
          <w:szCs w:val="21"/>
          <w:highlight w:val="white"/>
        </w:rPr>
        <w:t xml:space="preserve"> Загальна місткість захисних споруд та СПП  закладів позашкільної освіти визначається можливістю укриття 100% учасників освітнього процесу та інших працівників закладу.</w:t>
      </w:r>
    </w:p>
    <w:p w14:paraId="75B0D158"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При реконструкції вбудованих та при новому будівництві окреморозташованих та прибудованих захисних споруд або СПП в межах земельної ділянки існуючих закладів освіти,  допускається зменшувати місткість захисних споруд до 60% від загальної місткості закладу освіти за умови, що ук</w:t>
      </w:r>
      <w:r w:rsidRPr="00CA7C54">
        <w:rPr>
          <w:color w:val="000000" w:themeColor="text1"/>
          <w:sz w:val="21"/>
          <w:szCs w:val="21"/>
        </w:rPr>
        <w:t>риттю підлягають всі особи, які можуть одночасно перебувати в будівлі відповідно до режиму роботи закладу.</w:t>
      </w:r>
    </w:p>
    <w:p w14:paraId="1B5C12E9"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6.17</w:t>
      </w:r>
      <w:r w:rsidRPr="00CA7C54">
        <w:rPr>
          <w:color w:val="000000" w:themeColor="text1"/>
          <w:sz w:val="21"/>
          <w:szCs w:val="21"/>
        </w:rPr>
        <w:t xml:space="preserve"> Загальна місткість захисних споруд та СПП громадських будівель визначається можливістю укриття 100% розрахункової кількості осіб, що періодично перебувають на об'єкті.</w:t>
      </w:r>
    </w:p>
    <w:p w14:paraId="364E2486"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0"/>
          <w:szCs w:val="20"/>
        </w:rPr>
      </w:pPr>
      <w:r w:rsidRPr="00CA7C54">
        <w:rPr>
          <w:b/>
          <w:color w:val="000000" w:themeColor="text1"/>
          <w:sz w:val="20"/>
          <w:szCs w:val="20"/>
        </w:rPr>
        <w:t>Примітка</w:t>
      </w:r>
      <w:r w:rsidRPr="00CA7C54">
        <w:rPr>
          <w:color w:val="000000" w:themeColor="text1"/>
          <w:sz w:val="20"/>
          <w:szCs w:val="20"/>
        </w:rPr>
        <w:t>. Розрахунок кількості осіб, що періодично перебувають на об'єкті здійснюється відповідно до ДСТУ 8855.</w:t>
      </w:r>
    </w:p>
    <w:p w14:paraId="6EDC0523"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6.18</w:t>
      </w:r>
      <w:r w:rsidRPr="00CA7C54">
        <w:rPr>
          <w:color w:val="000000" w:themeColor="text1"/>
          <w:sz w:val="21"/>
          <w:szCs w:val="21"/>
        </w:rPr>
        <w:t xml:space="preserve"> Загальна місткість захисних споруд та СПП житлових будинків визначається можливістю укриття 100% розрахункової кількості осіб, що постійно перебувають на об'єкті.</w:t>
      </w:r>
    </w:p>
    <w:p w14:paraId="09BE1577" w14:textId="4CD3A77B"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0"/>
          <w:szCs w:val="20"/>
        </w:rPr>
      </w:pPr>
      <w:r w:rsidRPr="00CA7C54">
        <w:rPr>
          <w:b/>
          <w:color w:val="000000" w:themeColor="text1"/>
          <w:sz w:val="20"/>
          <w:szCs w:val="20"/>
        </w:rPr>
        <w:t>Примітка</w:t>
      </w:r>
      <w:r w:rsidRPr="00CA7C54">
        <w:rPr>
          <w:color w:val="000000" w:themeColor="text1"/>
          <w:sz w:val="20"/>
          <w:szCs w:val="20"/>
        </w:rPr>
        <w:t xml:space="preserve">. Розрахунок кількості осіб, що постійно перебувають на об'єкті здійснюється відповідно до </w:t>
      </w:r>
      <w:hyperlink r:id="rId116" w:history="1">
        <w:r w:rsidRPr="00937E3F">
          <w:rPr>
            <w:rStyle w:val="ac"/>
            <w:rFonts w:cs="Arial"/>
            <w:sz w:val="20"/>
            <w:szCs w:val="20"/>
          </w:rPr>
          <w:t>ДСТУ 8855.</w:t>
        </w:r>
      </w:hyperlink>
    </w:p>
    <w:p w14:paraId="5C4A328C"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6.19 </w:t>
      </w:r>
      <w:r w:rsidRPr="00CA7C54">
        <w:rPr>
          <w:color w:val="000000" w:themeColor="text1"/>
          <w:sz w:val="21"/>
          <w:szCs w:val="21"/>
        </w:rPr>
        <w:t>Загальна місткість захисних споруд та СПП будівель виробничого та складського та адміністративно-побутового призначення визначається можливістю укриття 100% розрахункової кількості осіб, що періодично перебувають на об'єкті.</w:t>
      </w:r>
    </w:p>
    <w:p w14:paraId="2582072B"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0"/>
          <w:szCs w:val="20"/>
        </w:rPr>
      </w:pPr>
      <w:r w:rsidRPr="00CA7C54">
        <w:rPr>
          <w:b/>
          <w:color w:val="000000" w:themeColor="text1"/>
          <w:sz w:val="20"/>
          <w:szCs w:val="20"/>
        </w:rPr>
        <w:t>Примітка</w:t>
      </w:r>
      <w:r w:rsidRPr="00CA7C54">
        <w:rPr>
          <w:color w:val="000000" w:themeColor="text1"/>
          <w:sz w:val="20"/>
          <w:szCs w:val="20"/>
        </w:rPr>
        <w:t>. Розрахунок кількості осіб, що періодично перебувають на об'єкті здійснюється відповідно до ДСТУ 8855.</w:t>
      </w:r>
    </w:p>
    <w:p w14:paraId="0859BC17" w14:textId="608A6F2E"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6.20</w:t>
      </w:r>
      <w:r w:rsidRPr="00CA7C54">
        <w:rPr>
          <w:color w:val="000000" w:themeColor="text1"/>
          <w:sz w:val="21"/>
          <w:szCs w:val="21"/>
        </w:rPr>
        <w:t xml:space="preserve">  Пішохідні шляхи руху до захисних споруд та СПП повинні відповідати вимогам доступності для МГН згідно з  </w:t>
      </w:r>
      <w:hyperlink r:id="rId117" w:history="1">
        <w:r w:rsidRPr="00722483">
          <w:rPr>
            <w:rStyle w:val="ac"/>
            <w:rFonts w:cs="Arial"/>
            <w:sz w:val="21"/>
            <w:szCs w:val="21"/>
          </w:rPr>
          <w:t>ДБН В.2.3-5</w:t>
        </w:r>
      </w:hyperlink>
      <w:r w:rsidRPr="00CA7C54">
        <w:rPr>
          <w:color w:val="000000" w:themeColor="text1"/>
          <w:sz w:val="21"/>
          <w:szCs w:val="21"/>
        </w:rPr>
        <w:t xml:space="preserve"> та </w:t>
      </w:r>
      <w:hyperlink r:id="rId118" w:history="1">
        <w:r w:rsidRPr="00722483">
          <w:rPr>
            <w:rStyle w:val="ac"/>
            <w:rFonts w:cs="Arial"/>
            <w:sz w:val="21"/>
            <w:szCs w:val="21"/>
          </w:rPr>
          <w:t>ДБН В.2.2-40</w:t>
        </w:r>
      </w:hyperlink>
      <w:r w:rsidRPr="00CA7C54">
        <w:rPr>
          <w:color w:val="000000" w:themeColor="text1"/>
          <w:sz w:val="21"/>
          <w:szCs w:val="21"/>
        </w:rPr>
        <w:t xml:space="preserve"> та повинні бути облаштовані засобами безпеки, орієнтування та отримання інформації.</w:t>
      </w:r>
    </w:p>
    <w:p w14:paraId="75916C0F" w14:textId="5EE61D8B" w:rsidR="003C4E04" w:rsidRPr="00CA7C54" w:rsidRDefault="001E748C" w:rsidP="004232B7">
      <w:pPr>
        <w:spacing w:before="0" w:after="60" w:line="288" w:lineRule="auto"/>
        <w:contextualSpacing/>
        <w:rPr>
          <w:color w:val="000000" w:themeColor="text1"/>
          <w:sz w:val="21"/>
          <w:szCs w:val="21"/>
        </w:rPr>
      </w:pPr>
      <w:r w:rsidRPr="00CA7C54">
        <w:rPr>
          <w:color w:val="000000" w:themeColor="text1"/>
          <w:sz w:val="21"/>
          <w:szCs w:val="21"/>
        </w:rPr>
        <w:t xml:space="preserve">Усі входи у сховища слід обладнувати доступними елементами інформації про об’єкт згідно з вимогами  </w:t>
      </w:r>
      <w:hyperlink r:id="rId119" w:history="1">
        <w:r w:rsidRPr="00722483">
          <w:rPr>
            <w:rStyle w:val="ac"/>
            <w:rFonts w:cs="Arial"/>
            <w:sz w:val="21"/>
            <w:szCs w:val="21"/>
          </w:rPr>
          <w:t>ДБН В.2.2-40</w:t>
        </w:r>
      </w:hyperlink>
      <w:r w:rsidRPr="00CA7C54">
        <w:rPr>
          <w:color w:val="000000" w:themeColor="text1"/>
          <w:sz w:val="21"/>
          <w:szCs w:val="21"/>
        </w:rPr>
        <w:t>.</w:t>
      </w:r>
    </w:p>
    <w:p w14:paraId="66EB7402" w14:textId="77777777" w:rsidR="003C4E04" w:rsidRPr="00CA7C54" w:rsidRDefault="001E748C" w:rsidP="00F6335A">
      <w:pPr>
        <w:pStyle w:val="2"/>
        <w:spacing w:before="0" w:after="60"/>
        <w:ind w:firstLine="426"/>
        <w:contextualSpacing/>
        <w:rPr>
          <w:rFonts w:ascii="Arial" w:hAnsi="Arial"/>
          <w:color w:val="000000" w:themeColor="text1"/>
          <w:sz w:val="21"/>
          <w:szCs w:val="21"/>
        </w:rPr>
      </w:pPr>
      <w:r w:rsidRPr="00CA7C54">
        <w:rPr>
          <w:rFonts w:ascii="Arial" w:hAnsi="Arial"/>
          <w:color w:val="000000" w:themeColor="text1"/>
          <w:sz w:val="21"/>
          <w:szCs w:val="21"/>
        </w:rPr>
        <w:t>7 ОБ’ЄМНО-ПЛАНУВАЛЬНІ РІШЕННЯ</w:t>
      </w:r>
    </w:p>
    <w:p w14:paraId="71CE549A" w14:textId="77777777" w:rsidR="003C4E04" w:rsidRPr="00B271AD" w:rsidRDefault="001E748C" w:rsidP="004232B7">
      <w:pPr>
        <w:pStyle w:val="3"/>
        <w:spacing w:before="0" w:after="60" w:line="288" w:lineRule="auto"/>
        <w:ind w:firstLine="426"/>
        <w:contextualSpacing/>
        <w:rPr>
          <w:sz w:val="21"/>
          <w:szCs w:val="21"/>
        </w:rPr>
      </w:pPr>
      <w:bookmarkStart w:id="8" w:name="_heading=h.5uuo6kkbkbr" w:colFirst="0" w:colLast="0"/>
      <w:bookmarkEnd w:id="8"/>
      <w:r w:rsidRPr="00B271AD">
        <w:t xml:space="preserve">7.1 </w:t>
      </w:r>
      <w:r w:rsidRPr="00B271AD">
        <w:rPr>
          <w:sz w:val="21"/>
          <w:szCs w:val="21"/>
        </w:rPr>
        <w:t>Загальні положення</w:t>
      </w:r>
    </w:p>
    <w:p w14:paraId="13909D05" w14:textId="61A62DE2" w:rsidR="00116A50" w:rsidRPr="00B271AD" w:rsidRDefault="00116A50" w:rsidP="00116A50">
      <w:pPr>
        <w:widowControl w:val="0"/>
        <w:autoSpaceDE w:val="0"/>
        <w:autoSpaceDN w:val="0"/>
        <w:spacing w:before="0" w:line="288" w:lineRule="auto"/>
        <w:ind w:firstLine="487"/>
        <w:contextualSpacing/>
        <w:rPr>
          <w:rFonts w:eastAsia="Microsoft Sans Serif"/>
          <w:sz w:val="21"/>
          <w:szCs w:val="21"/>
        </w:rPr>
      </w:pPr>
      <w:r w:rsidRPr="00B271AD">
        <w:rPr>
          <w:rFonts w:eastAsia="Microsoft Sans Serif"/>
          <w:b/>
          <w:bCs/>
          <w:sz w:val="21"/>
          <w:szCs w:val="21"/>
        </w:rPr>
        <w:t>7.1.1</w:t>
      </w:r>
      <w:r w:rsidRPr="00B271AD">
        <w:rPr>
          <w:rFonts w:eastAsia="Microsoft Sans Serif"/>
          <w:sz w:val="21"/>
          <w:szCs w:val="21"/>
        </w:rPr>
        <w:t xml:space="preserve"> При новому будівництві, реконструкції та капітальному ремонті захисних споруд </w:t>
      </w:r>
      <w:r w:rsidRPr="00B271AD">
        <w:rPr>
          <w:rFonts w:eastAsia="Microsoft Sans Serif"/>
          <w:spacing w:val="-4"/>
          <w:sz w:val="21"/>
          <w:szCs w:val="21"/>
        </w:rPr>
        <w:t xml:space="preserve">та СПП необхідно забезпечувати доступність та безпеку МГН відповідно до вимог </w:t>
      </w:r>
      <w:hyperlink r:id="rId120" w:history="1">
        <w:r w:rsidRPr="00722483">
          <w:rPr>
            <w:rStyle w:val="ac"/>
            <w:rFonts w:eastAsia="Microsoft Sans Serif" w:cs="Arial"/>
            <w:spacing w:val="-4"/>
            <w:sz w:val="21"/>
            <w:szCs w:val="21"/>
          </w:rPr>
          <w:t>ДБН В.2.2-</w:t>
        </w:r>
        <w:r w:rsidRPr="00722483">
          <w:rPr>
            <w:rStyle w:val="ac"/>
            <w:rFonts w:eastAsia="Microsoft Sans Serif" w:cs="Arial"/>
            <w:sz w:val="21"/>
            <w:szCs w:val="21"/>
          </w:rPr>
          <w:t>40</w:t>
        </w:r>
      </w:hyperlink>
      <w:r w:rsidRPr="00B271AD">
        <w:rPr>
          <w:rFonts w:eastAsia="Microsoft Sans Serif"/>
          <w:sz w:val="21"/>
          <w:szCs w:val="21"/>
        </w:rPr>
        <w:t>, у тому числі,з</w:t>
      </w:r>
      <w:r w:rsidR="001D654A">
        <w:rPr>
          <w:rFonts w:eastAsia="Microsoft Sans Serif"/>
          <w:sz w:val="21"/>
          <w:szCs w:val="21"/>
        </w:rPr>
        <w:t xml:space="preserve"> </w:t>
      </w:r>
      <w:r w:rsidRPr="00B271AD">
        <w:rPr>
          <w:rFonts w:eastAsia="Microsoft Sans Serif"/>
          <w:sz w:val="21"/>
          <w:szCs w:val="21"/>
        </w:rPr>
        <w:t>урахуванням рівня</w:t>
      </w:r>
      <w:r w:rsidR="001D654A">
        <w:rPr>
          <w:rFonts w:eastAsia="Microsoft Sans Serif"/>
          <w:sz w:val="21"/>
          <w:szCs w:val="21"/>
        </w:rPr>
        <w:t xml:space="preserve"> </w:t>
      </w:r>
      <w:r w:rsidRPr="00B271AD">
        <w:rPr>
          <w:rFonts w:eastAsia="Microsoft Sans Serif"/>
          <w:sz w:val="21"/>
          <w:szCs w:val="21"/>
        </w:rPr>
        <w:t>мобільності осіб</w:t>
      </w:r>
      <w:r w:rsidR="001D654A">
        <w:rPr>
          <w:rFonts w:eastAsia="Microsoft Sans Serif"/>
          <w:sz w:val="21"/>
          <w:szCs w:val="21"/>
        </w:rPr>
        <w:t xml:space="preserve"> </w:t>
      </w:r>
      <w:r w:rsidRPr="00B271AD">
        <w:rPr>
          <w:rFonts w:eastAsia="Microsoft Sans Serif"/>
          <w:sz w:val="21"/>
          <w:szCs w:val="21"/>
        </w:rPr>
        <w:t>з</w:t>
      </w:r>
      <w:r w:rsidR="001D654A">
        <w:rPr>
          <w:rFonts w:eastAsia="Microsoft Sans Serif"/>
          <w:sz w:val="21"/>
          <w:szCs w:val="21"/>
        </w:rPr>
        <w:t xml:space="preserve"> </w:t>
      </w:r>
      <w:r w:rsidRPr="00B271AD">
        <w:rPr>
          <w:rFonts w:eastAsia="Microsoft Sans Serif"/>
          <w:sz w:val="21"/>
          <w:szCs w:val="21"/>
        </w:rPr>
        <w:t>інвалідністю різних категорій та</w:t>
      </w:r>
      <w:r w:rsidR="001D654A">
        <w:rPr>
          <w:rFonts w:eastAsia="Microsoft Sans Serif"/>
          <w:sz w:val="21"/>
          <w:szCs w:val="21"/>
        </w:rPr>
        <w:t xml:space="preserve"> </w:t>
      </w:r>
      <w:r w:rsidRPr="00B271AD">
        <w:rPr>
          <w:rFonts w:eastAsia="Microsoft Sans Serif"/>
          <w:sz w:val="21"/>
          <w:szCs w:val="21"/>
        </w:rPr>
        <w:t xml:space="preserve">їхньої чисельності. </w:t>
      </w:r>
    </w:p>
    <w:p w14:paraId="2DE49312" w14:textId="77777777" w:rsidR="00116A50" w:rsidRPr="00B271AD" w:rsidRDefault="00116A50" w:rsidP="00116A50">
      <w:pPr>
        <w:widowControl w:val="0"/>
        <w:autoSpaceDE w:val="0"/>
        <w:autoSpaceDN w:val="0"/>
        <w:spacing w:before="0" w:line="288" w:lineRule="auto"/>
        <w:ind w:firstLine="566"/>
        <w:contextualSpacing/>
        <w:rPr>
          <w:rFonts w:eastAsia="Microsoft Sans Serif"/>
          <w:sz w:val="21"/>
          <w:szCs w:val="21"/>
        </w:rPr>
      </w:pPr>
      <w:r w:rsidRPr="00B271AD">
        <w:rPr>
          <w:rFonts w:eastAsia="Microsoft Sans Serif"/>
          <w:spacing w:val="-1"/>
          <w:sz w:val="21"/>
          <w:szCs w:val="21"/>
        </w:rPr>
        <w:t xml:space="preserve">У разі, якщо при капітальному ремонті та реконструкції неможливо </w:t>
      </w:r>
      <w:r w:rsidRPr="00B271AD">
        <w:rPr>
          <w:rFonts w:eastAsia="Microsoft Sans Serif"/>
          <w:sz w:val="21"/>
          <w:szCs w:val="21"/>
        </w:rPr>
        <w:t>у повному обсязі забезпечити</w:t>
      </w:r>
      <w:r w:rsidR="001D654A">
        <w:rPr>
          <w:rFonts w:eastAsia="Microsoft Sans Serif"/>
          <w:sz w:val="21"/>
          <w:szCs w:val="21"/>
        </w:rPr>
        <w:t xml:space="preserve"> </w:t>
      </w:r>
      <w:r w:rsidRPr="00B271AD">
        <w:rPr>
          <w:rFonts w:eastAsia="Microsoft Sans Serif"/>
          <w:sz w:val="21"/>
          <w:szCs w:val="21"/>
        </w:rPr>
        <w:t>вимоги доступності, зручності, інформативності і безпеки для потреб осіб з інвалідністю в існуючих</w:t>
      </w:r>
      <w:r w:rsidR="001D654A">
        <w:rPr>
          <w:rFonts w:eastAsia="Microsoft Sans Serif"/>
          <w:sz w:val="21"/>
          <w:szCs w:val="21"/>
        </w:rPr>
        <w:t xml:space="preserve"> </w:t>
      </w:r>
      <w:r w:rsidRPr="00B271AD">
        <w:rPr>
          <w:rFonts w:eastAsia="Microsoft Sans Serif"/>
          <w:sz w:val="21"/>
          <w:szCs w:val="21"/>
        </w:rPr>
        <w:t>захисних спорудах</w:t>
      </w:r>
      <w:r w:rsidR="001D654A">
        <w:rPr>
          <w:rFonts w:eastAsia="Microsoft Sans Serif"/>
          <w:sz w:val="21"/>
          <w:szCs w:val="21"/>
        </w:rPr>
        <w:t xml:space="preserve"> </w:t>
      </w:r>
      <w:r w:rsidRPr="00B271AD">
        <w:rPr>
          <w:rFonts w:eastAsia="Microsoft Sans Serif"/>
          <w:sz w:val="21"/>
          <w:szCs w:val="21"/>
        </w:rPr>
        <w:t>та</w:t>
      </w:r>
      <w:r w:rsidR="001D654A">
        <w:rPr>
          <w:rFonts w:eastAsia="Microsoft Sans Serif"/>
          <w:sz w:val="21"/>
          <w:szCs w:val="21"/>
        </w:rPr>
        <w:t xml:space="preserve"> </w:t>
      </w:r>
      <w:r w:rsidRPr="00B271AD">
        <w:rPr>
          <w:rFonts w:eastAsia="Microsoft Sans Serif"/>
          <w:sz w:val="21"/>
          <w:szCs w:val="21"/>
        </w:rPr>
        <w:t>CПП,</w:t>
      </w:r>
      <w:r w:rsidR="001D654A">
        <w:rPr>
          <w:rFonts w:eastAsia="Microsoft Sans Serif"/>
          <w:sz w:val="21"/>
          <w:szCs w:val="21"/>
        </w:rPr>
        <w:t xml:space="preserve"> </w:t>
      </w:r>
      <w:r w:rsidRPr="00B271AD">
        <w:rPr>
          <w:rFonts w:eastAsia="Microsoft Sans Serif"/>
          <w:sz w:val="21"/>
          <w:szCs w:val="21"/>
        </w:rPr>
        <w:t>здійснюється</w:t>
      </w:r>
      <w:r w:rsidR="001D654A">
        <w:rPr>
          <w:rFonts w:eastAsia="Microsoft Sans Serif"/>
          <w:sz w:val="21"/>
          <w:szCs w:val="21"/>
        </w:rPr>
        <w:t xml:space="preserve"> </w:t>
      </w:r>
      <w:r w:rsidRPr="00B271AD">
        <w:rPr>
          <w:rFonts w:eastAsia="Microsoft Sans Serif"/>
          <w:sz w:val="21"/>
          <w:szCs w:val="21"/>
        </w:rPr>
        <w:t>їх</w:t>
      </w:r>
      <w:r w:rsidR="001D654A">
        <w:rPr>
          <w:rFonts w:eastAsia="Microsoft Sans Serif"/>
          <w:sz w:val="21"/>
          <w:szCs w:val="21"/>
        </w:rPr>
        <w:t xml:space="preserve"> </w:t>
      </w:r>
      <w:r w:rsidRPr="00B271AD">
        <w:rPr>
          <w:rFonts w:eastAsia="Microsoft Sans Serif"/>
          <w:sz w:val="21"/>
          <w:szCs w:val="21"/>
        </w:rPr>
        <w:t>розумне</w:t>
      </w:r>
      <w:r w:rsidR="001D654A">
        <w:rPr>
          <w:rFonts w:eastAsia="Microsoft Sans Serif"/>
          <w:sz w:val="21"/>
          <w:szCs w:val="21"/>
        </w:rPr>
        <w:t xml:space="preserve"> </w:t>
      </w:r>
      <w:r w:rsidRPr="00B271AD">
        <w:rPr>
          <w:rFonts w:eastAsia="Microsoft Sans Serif"/>
          <w:sz w:val="21"/>
          <w:szCs w:val="21"/>
        </w:rPr>
        <w:t xml:space="preserve">пристосування. </w:t>
      </w:r>
    </w:p>
    <w:p w14:paraId="34EAF39B" w14:textId="1A163490" w:rsidR="00116A50" w:rsidRPr="00B271AD" w:rsidRDefault="00116A50" w:rsidP="00116A50">
      <w:pPr>
        <w:widowControl w:val="0"/>
        <w:autoSpaceDE w:val="0"/>
        <w:autoSpaceDN w:val="0"/>
        <w:spacing w:before="0" w:line="288" w:lineRule="auto"/>
        <w:ind w:firstLine="566"/>
        <w:contextualSpacing/>
        <w:rPr>
          <w:rFonts w:eastAsia="Microsoft Sans Serif"/>
          <w:sz w:val="21"/>
          <w:szCs w:val="21"/>
        </w:rPr>
      </w:pPr>
      <w:r w:rsidRPr="00B271AD">
        <w:rPr>
          <w:rFonts w:eastAsia="Microsoft Sans Serif"/>
          <w:sz w:val="21"/>
          <w:szCs w:val="21"/>
        </w:rPr>
        <w:t>Вхідні групи, тамбури, сходи, пандуси, майданчики, приміщення, шляхи руху всередині будівель</w:t>
      </w:r>
      <w:r w:rsidR="001D654A">
        <w:rPr>
          <w:rFonts w:eastAsia="Microsoft Sans Serif"/>
          <w:sz w:val="21"/>
          <w:szCs w:val="21"/>
        </w:rPr>
        <w:t xml:space="preserve"> </w:t>
      </w:r>
      <w:r w:rsidRPr="00B271AD">
        <w:rPr>
          <w:rFonts w:eastAsia="Microsoft Sans Serif"/>
          <w:sz w:val="21"/>
          <w:szCs w:val="21"/>
        </w:rPr>
        <w:t>або споруд, елементи оздоблення та інтер’єру захисних споруд та СПП повинні відповідати вимогам</w:t>
      </w:r>
      <w:r w:rsidR="001D654A">
        <w:rPr>
          <w:rFonts w:eastAsia="Microsoft Sans Serif"/>
          <w:sz w:val="21"/>
          <w:szCs w:val="21"/>
        </w:rPr>
        <w:t xml:space="preserve"> </w:t>
      </w:r>
      <w:hyperlink r:id="rId121" w:history="1">
        <w:r w:rsidRPr="00134039">
          <w:rPr>
            <w:rStyle w:val="ac"/>
            <w:rFonts w:eastAsia="Microsoft Sans Serif" w:cs="Arial"/>
            <w:sz w:val="21"/>
            <w:szCs w:val="21"/>
          </w:rPr>
          <w:t>ДБНВ.2.2-40</w:t>
        </w:r>
      </w:hyperlink>
      <w:r w:rsidRPr="00B271AD">
        <w:rPr>
          <w:rFonts w:eastAsia="Microsoft Sans Serif"/>
          <w:sz w:val="21"/>
          <w:szCs w:val="21"/>
        </w:rPr>
        <w:t>.</w:t>
      </w:r>
      <w:r w:rsidR="001D654A">
        <w:rPr>
          <w:rFonts w:eastAsia="Microsoft Sans Serif"/>
          <w:sz w:val="21"/>
          <w:szCs w:val="21"/>
        </w:rPr>
        <w:t xml:space="preserve"> </w:t>
      </w:r>
      <w:r w:rsidRPr="00B271AD">
        <w:rPr>
          <w:rFonts w:eastAsia="Microsoft Sans Serif"/>
          <w:sz w:val="21"/>
          <w:szCs w:val="21"/>
        </w:rPr>
        <w:t>В</w:t>
      </w:r>
      <w:r w:rsidR="001D654A">
        <w:rPr>
          <w:rFonts w:eastAsia="Microsoft Sans Serif"/>
          <w:sz w:val="21"/>
          <w:szCs w:val="21"/>
        </w:rPr>
        <w:t xml:space="preserve"> </w:t>
      </w:r>
      <w:r w:rsidRPr="00B271AD">
        <w:rPr>
          <w:rFonts w:eastAsia="Microsoft Sans Serif"/>
          <w:sz w:val="21"/>
          <w:szCs w:val="21"/>
        </w:rPr>
        <w:t>разі</w:t>
      </w:r>
      <w:r w:rsidR="001D654A">
        <w:rPr>
          <w:rFonts w:eastAsia="Microsoft Sans Serif"/>
          <w:sz w:val="21"/>
          <w:szCs w:val="21"/>
        </w:rPr>
        <w:t xml:space="preserve"> </w:t>
      </w:r>
      <w:r w:rsidRPr="00B271AD">
        <w:rPr>
          <w:rFonts w:eastAsia="Microsoft Sans Serif"/>
          <w:sz w:val="21"/>
          <w:szCs w:val="21"/>
        </w:rPr>
        <w:t>необхідності</w:t>
      </w:r>
      <w:r w:rsidR="001D654A">
        <w:rPr>
          <w:rFonts w:eastAsia="Microsoft Sans Serif"/>
          <w:sz w:val="21"/>
          <w:szCs w:val="21"/>
        </w:rPr>
        <w:t xml:space="preserve"> </w:t>
      </w:r>
      <w:r w:rsidRPr="00B271AD">
        <w:rPr>
          <w:rFonts w:eastAsia="Microsoft Sans Serif"/>
          <w:sz w:val="21"/>
          <w:szCs w:val="21"/>
        </w:rPr>
        <w:t>влаштування</w:t>
      </w:r>
      <w:r w:rsidR="001D654A">
        <w:rPr>
          <w:rFonts w:eastAsia="Microsoft Sans Serif"/>
          <w:sz w:val="21"/>
          <w:szCs w:val="21"/>
        </w:rPr>
        <w:t xml:space="preserve"> </w:t>
      </w:r>
      <w:r w:rsidRPr="00B271AD">
        <w:rPr>
          <w:rFonts w:eastAsia="Microsoft Sans Serif"/>
          <w:sz w:val="21"/>
          <w:szCs w:val="21"/>
        </w:rPr>
        <w:t>порогів</w:t>
      </w:r>
      <w:r w:rsidR="001D654A">
        <w:rPr>
          <w:rFonts w:eastAsia="Microsoft Sans Serif"/>
          <w:sz w:val="21"/>
          <w:szCs w:val="21"/>
        </w:rPr>
        <w:t xml:space="preserve"> </w:t>
      </w:r>
      <w:r w:rsidRPr="00B271AD">
        <w:rPr>
          <w:rFonts w:eastAsia="Microsoft Sans Serif"/>
          <w:sz w:val="21"/>
          <w:szCs w:val="21"/>
        </w:rPr>
        <w:t>в</w:t>
      </w:r>
      <w:r w:rsidR="001D654A">
        <w:rPr>
          <w:rFonts w:eastAsia="Microsoft Sans Serif"/>
          <w:sz w:val="21"/>
          <w:szCs w:val="21"/>
        </w:rPr>
        <w:t xml:space="preserve"> </w:t>
      </w:r>
      <w:r w:rsidRPr="00B271AD">
        <w:rPr>
          <w:rFonts w:eastAsia="Microsoft Sans Serif"/>
          <w:sz w:val="21"/>
          <w:szCs w:val="21"/>
        </w:rPr>
        <w:t>дверних</w:t>
      </w:r>
      <w:r w:rsidR="001D654A">
        <w:rPr>
          <w:rFonts w:eastAsia="Microsoft Sans Serif"/>
          <w:sz w:val="21"/>
          <w:szCs w:val="21"/>
        </w:rPr>
        <w:t xml:space="preserve"> </w:t>
      </w:r>
      <w:r w:rsidRPr="00B271AD">
        <w:rPr>
          <w:rFonts w:eastAsia="Microsoft Sans Serif"/>
          <w:sz w:val="21"/>
          <w:szCs w:val="21"/>
        </w:rPr>
        <w:t>прорізах</w:t>
      </w:r>
      <w:r w:rsidR="001D654A">
        <w:rPr>
          <w:rFonts w:eastAsia="Microsoft Sans Serif"/>
          <w:sz w:val="21"/>
          <w:szCs w:val="21"/>
        </w:rPr>
        <w:t xml:space="preserve"> </w:t>
      </w:r>
      <w:r w:rsidRPr="00B271AD">
        <w:rPr>
          <w:rFonts w:eastAsia="Microsoft Sans Serif"/>
          <w:sz w:val="21"/>
          <w:szCs w:val="21"/>
        </w:rPr>
        <w:t>(вхідних</w:t>
      </w:r>
      <w:r w:rsidR="001D654A">
        <w:rPr>
          <w:rFonts w:eastAsia="Microsoft Sans Serif"/>
          <w:sz w:val="21"/>
          <w:szCs w:val="21"/>
        </w:rPr>
        <w:t xml:space="preserve"> </w:t>
      </w:r>
      <w:r w:rsidRPr="00B271AD">
        <w:rPr>
          <w:rFonts w:eastAsia="Microsoft Sans Serif"/>
          <w:sz w:val="21"/>
          <w:szCs w:val="21"/>
        </w:rPr>
        <w:t>захисних,</w:t>
      </w:r>
      <w:r w:rsidR="001D654A">
        <w:rPr>
          <w:rFonts w:eastAsia="Microsoft Sans Serif"/>
          <w:sz w:val="21"/>
          <w:szCs w:val="21"/>
        </w:rPr>
        <w:t xml:space="preserve"> </w:t>
      </w:r>
      <w:r w:rsidRPr="00B271AD">
        <w:rPr>
          <w:rFonts w:eastAsia="Microsoft Sans Serif"/>
          <w:sz w:val="21"/>
          <w:szCs w:val="21"/>
        </w:rPr>
        <w:t>герметичних</w:t>
      </w:r>
      <w:r w:rsidR="001D654A">
        <w:rPr>
          <w:rFonts w:eastAsia="Microsoft Sans Serif"/>
          <w:sz w:val="21"/>
          <w:szCs w:val="21"/>
        </w:rPr>
        <w:t xml:space="preserve"> </w:t>
      </w:r>
      <w:r w:rsidRPr="00B271AD">
        <w:rPr>
          <w:rFonts w:eastAsia="Microsoft Sans Serif"/>
          <w:sz w:val="21"/>
          <w:szCs w:val="21"/>
        </w:rPr>
        <w:t>або</w:t>
      </w:r>
      <w:r w:rsidR="001D654A">
        <w:rPr>
          <w:rFonts w:eastAsia="Microsoft Sans Serif"/>
          <w:sz w:val="21"/>
          <w:szCs w:val="21"/>
        </w:rPr>
        <w:t xml:space="preserve"> </w:t>
      </w:r>
      <w:r w:rsidRPr="00B271AD">
        <w:rPr>
          <w:rFonts w:eastAsia="Microsoft Sans Serif"/>
          <w:sz w:val="21"/>
          <w:szCs w:val="21"/>
        </w:rPr>
        <w:t>захисно-герметичних</w:t>
      </w:r>
      <w:r w:rsidR="001D654A">
        <w:rPr>
          <w:rFonts w:eastAsia="Microsoft Sans Serif"/>
          <w:sz w:val="21"/>
          <w:szCs w:val="21"/>
        </w:rPr>
        <w:t xml:space="preserve"> </w:t>
      </w:r>
      <w:r w:rsidRPr="00B271AD">
        <w:rPr>
          <w:rFonts w:eastAsia="Microsoft Sans Serif"/>
          <w:sz w:val="21"/>
          <w:szCs w:val="21"/>
        </w:rPr>
        <w:t>дверях</w:t>
      </w:r>
      <w:r w:rsidR="001D654A">
        <w:rPr>
          <w:rFonts w:eastAsia="Microsoft Sans Serif"/>
          <w:sz w:val="21"/>
          <w:szCs w:val="21"/>
        </w:rPr>
        <w:t xml:space="preserve"> </w:t>
      </w:r>
      <w:r w:rsidRPr="00B271AD">
        <w:rPr>
          <w:rFonts w:eastAsia="Microsoft Sans Serif"/>
          <w:sz w:val="21"/>
          <w:szCs w:val="21"/>
        </w:rPr>
        <w:t>тощо),вхід</w:t>
      </w:r>
      <w:r w:rsidR="001D654A">
        <w:rPr>
          <w:rFonts w:eastAsia="Microsoft Sans Serif"/>
          <w:sz w:val="21"/>
          <w:szCs w:val="21"/>
        </w:rPr>
        <w:t xml:space="preserve"> </w:t>
      </w:r>
      <w:r w:rsidRPr="00B271AD">
        <w:rPr>
          <w:rFonts w:eastAsia="Microsoft Sans Serif"/>
          <w:sz w:val="21"/>
          <w:szCs w:val="21"/>
        </w:rPr>
        <w:t>має</w:t>
      </w:r>
      <w:r w:rsidR="001D654A">
        <w:rPr>
          <w:rFonts w:eastAsia="Microsoft Sans Serif"/>
          <w:sz w:val="21"/>
          <w:szCs w:val="21"/>
        </w:rPr>
        <w:t xml:space="preserve"> </w:t>
      </w:r>
      <w:r w:rsidRPr="00B271AD">
        <w:rPr>
          <w:rFonts w:eastAsia="Microsoft Sans Serif"/>
          <w:sz w:val="21"/>
          <w:szCs w:val="21"/>
        </w:rPr>
        <w:t>бути</w:t>
      </w:r>
      <w:r w:rsidR="001D654A">
        <w:rPr>
          <w:rFonts w:eastAsia="Microsoft Sans Serif"/>
          <w:sz w:val="21"/>
          <w:szCs w:val="21"/>
        </w:rPr>
        <w:t xml:space="preserve"> </w:t>
      </w:r>
      <w:r w:rsidRPr="00B271AD">
        <w:rPr>
          <w:rFonts w:eastAsia="Microsoft Sans Serif"/>
          <w:sz w:val="21"/>
          <w:szCs w:val="21"/>
        </w:rPr>
        <w:t>обладнаний</w:t>
      </w:r>
      <w:r w:rsidR="001D654A">
        <w:rPr>
          <w:rFonts w:eastAsia="Microsoft Sans Serif"/>
          <w:sz w:val="21"/>
          <w:szCs w:val="21"/>
        </w:rPr>
        <w:t xml:space="preserve"> </w:t>
      </w:r>
      <w:r w:rsidRPr="00B271AD">
        <w:rPr>
          <w:rFonts w:eastAsia="Microsoft Sans Serif"/>
          <w:sz w:val="21"/>
          <w:szCs w:val="21"/>
        </w:rPr>
        <w:t>відкидним</w:t>
      </w:r>
      <w:r w:rsidR="001D654A">
        <w:rPr>
          <w:rFonts w:eastAsia="Microsoft Sans Serif"/>
          <w:sz w:val="21"/>
          <w:szCs w:val="21"/>
        </w:rPr>
        <w:t xml:space="preserve"> </w:t>
      </w:r>
      <w:r w:rsidRPr="00B271AD">
        <w:rPr>
          <w:rFonts w:eastAsia="Microsoft Sans Serif"/>
          <w:sz w:val="21"/>
          <w:szCs w:val="21"/>
        </w:rPr>
        <w:t>або</w:t>
      </w:r>
      <w:r w:rsidR="001D654A">
        <w:rPr>
          <w:rFonts w:eastAsia="Microsoft Sans Serif"/>
          <w:sz w:val="21"/>
          <w:szCs w:val="21"/>
        </w:rPr>
        <w:t xml:space="preserve"> </w:t>
      </w:r>
      <w:r w:rsidRPr="00B271AD">
        <w:rPr>
          <w:rFonts w:eastAsia="Microsoft Sans Serif"/>
          <w:sz w:val="21"/>
          <w:szCs w:val="21"/>
        </w:rPr>
        <w:t>переносним</w:t>
      </w:r>
      <w:r w:rsidR="001D654A">
        <w:rPr>
          <w:rFonts w:eastAsia="Microsoft Sans Serif"/>
          <w:sz w:val="21"/>
          <w:szCs w:val="21"/>
        </w:rPr>
        <w:t xml:space="preserve"> </w:t>
      </w:r>
      <w:r w:rsidRPr="00B271AD">
        <w:rPr>
          <w:rFonts w:eastAsia="Microsoft Sans Serif"/>
          <w:sz w:val="21"/>
          <w:szCs w:val="21"/>
        </w:rPr>
        <w:t>пандусом.</w:t>
      </w:r>
    </w:p>
    <w:p w14:paraId="34904186" w14:textId="77777777" w:rsidR="00116A50" w:rsidRPr="00F6335A" w:rsidRDefault="00117876" w:rsidP="00116A50">
      <w:pPr>
        <w:widowControl w:val="0"/>
        <w:autoSpaceDE w:val="0"/>
        <w:autoSpaceDN w:val="0"/>
        <w:spacing w:before="0" w:line="288" w:lineRule="auto"/>
        <w:ind w:firstLine="566"/>
        <w:contextualSpacing/>
        <w:rPr>
          <w:rFonts w:eastAsia="Microsoft Sans Serif"/>
          <w:b/>
          <w:bCs/>
          <w:i/>
          <w:iCs/>
          <w:color w:val="00B050"/>
          <w:sz w:val="21"/>
          <w:szCs w:val="21"/>
        </w:rPr>
      </w:pPr>
      <w:r w:rsidRPr="00F6335A">
        <w:rPr>
          <w:rFonts w:eastAsia="Microsoft Sans Serif"/>
          <w:b/>
          <w:bCs/>
          <w:i/>
          <w:iCs/>
          <w:color w:val="00B050"/>
          <w:sz w:val="21"/>
          <w:szCs w:val="21"/>
        </w:rPr>
        <w:t>(Пункт 7.1.1 змінено, Зміна № 1)</w:t>
      </w:r>
    </w:p>
    <w:p w14:paraId="1D2E7EB5" w14:textId="30F14A03" w:rsidR="003C4E04" w:rsidRPr="00CA7C54" w:rsidRDefault="001E748C" w:rsidP="006A40A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7.1.2</w:t>
      </w:r>
      <w:r w:rsidRPr="00CA7C54">
        <w:rPr>
          <w:color w:val="000000" w:themeColor="text1"/>
          <w:sz w:val="21"/>
          <w:szCs w:val="21"/>
        </w:rPr>
        <w:t xml:space="preserve"> Для доступу МГН до захисних споруд та СПП необхідно влаштовувати пандуси відповідно до вимог </w:t>
      </w:r>
      <w:hyperlink r:id="rId122" w:history="1">
        <w:r w:rsidRPr="00134039">
          <w:rPr>
            <w:rStyle w:val="ac"/>
            <w:rFonts w:cs="Arial"/>
            <w:sz w:val="21"/>
            <w:szCs w:val="21"/>
          </w:rPr>
          <w:t>ДБН В.2.2-40.</w:t>
        </w:r>
      </w:hyperlink>
    </w:p>
    <w:p w14:paraId="1BBFB51B"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rPr>
        <w:t>В умовах реконструкції та за н</w:t>
      </w:r>
      <w:r w:rsidRPr="00CA7C54">
        <w:rPr>
          <w:color w:val="000000" w:themeColor="text1"/>
          <w:sz w:val="21"/>
          <w:szCs w:val="21"/>
          <w:highlight w:val="white"/>
        </w:rPr>
        <w:t xml:space="preserve">аявності відповідного обґрунтування для об’єктів суб’єктів </w:t>
      </w:r>
      <w:r w:rsidRPr="00CA7C54">
        <w:rPr>
          <w:color w:val="000000" w:themeColor="text1"/>
          <w:spacing w:val="-4"/>
          <w:sz w:val="21"/>
          <w:szCs w:val="21"/>
          <w:highlight w:val="white"/>
        </w:rPr>
        <w:t>господарювання, віднесених до відповідної категорії цивільного захисту (підприємств) відповідно</w:t>
      </w:r>
      <w:r w:rsidRPr="00CA7C54">
        <w:rPr>
          <w:color w:val="000000" w:themeColor="text1"/>
          <w:sz w:val="21"/>
          <w:szCs w:val="21"/>
          <w:highlight w:val="white"/>
        </w:rPr>
        <w:t xml:space="preserve"> [1], допускається приймати ухил пандус</w:t>
      </w:r>
      <w:r w:rsidR="00CA536E" w:rsidRPr="00CA7C54">
        <w:rPr>
          <w:color w:val="000000" w:themeColor="text1"/>
          <w:sz w:val="21"/>
          <w:szCs w:val="21"/>
          <w:highlight w:val="white"/>
        </w:rPr>
        <w:t>ів</w:t>
      </w:r>
      <w:r w:rsidRPr="00CA7C54">
        <w:rPr>
          <w:color w:val="000000" w:themeColor="text1"/>
          <w:sz w:val="21"/>
          <w:szCs w:val="21"/>
          <w:highlight w:val="white"/>
        </w:rPr>
        <w:t xml:space="preserve"> не більше</w:t>
      </w:r>
      <w:r w:rsidR="00584A0A" w:rsidRPr="00CA7C54">
        <w:rPr>
          <w:color w:val="000000" w:themeColor="text1"/>
          <w:sz w:val="21"/>
          <w:szCs w:val="21"/>
          <w:highlight w:val="white"/>
        </w:rPr>
        <w:t xml:space="preserve"> ніж</w:t>
      </w:r>
      <w:r w:rsidRPr="00CA7C54">
        <w:rPr>
          <w:color w:val="000000" w:themeColor="text1"/>
          <w:sz w:val="21"/>
          <w:szCs w:val="21"/>
          <w:highlight w:val="white"/>
        </w:rPr>
        <w:t xml:space="preserve"> 1:6.</w:t>
      </w:r>
    </w:p>
    <w:p w14:paraId="24938E00" w14:textId="0D07F46A" w:rsidR="003C4E04" w:rsidRPr="00AD7DCB" w:rsidRDefault="001E748C" w:rsidP="00AD7DCB">
      <w:pPr>
        <w:pBdr>
          <w:top w:val="nil"/>
          <w:left w:val="nil"/>
          <w:bottom w:val="nil"/>
          <w:right w:val="nil"/>
          <w:between w:val="nil"/>
        </w:pBdr>
        <w:spacing w:before="0" w:line="288" w:lineRule="auto"/>
        <w:ind w:firstLine="566"/>
        <w:contextualSpacing/>
        <w:rPr>
          <w:color w:val="000000" w:themeColor="text1"/>
          <w:spacing w:val="12"/>
          <w:w w:val="105"/>
          <w:sz w:val="21"/>
          <w:szCs w:val="21"/>
          <w:highlight w:val="white"/>
        </w:rPr>
      </w:pPr>
      <w:r w:rsidRPr="00CA7C54">
        <w:rPr>
          <w:color w:val="000000" w:themeColor="text1"/>
          <w:sz w:val="21"/>
          <w:szCs w:val="21"/>
        </w:rPr>
        <w:t xml:space="preserve">У разі неможливості влаштування пандуса рекомендується застосовувати розумне пристосування, у тому числі у вигляді підйомних пристроїв, механізмів тощо згідно з вимогами </w:t>
      </w:r>
      <w:hyperlink r:id="rId123" w:history="1">
        <w:r w:rsidRPr="00937E3F">
          <w:rPr>
            <w:rStyle w:val="ac"/>
            <w:rFonts w:cs="Arial"/>
            <w:spacing w:val="12"/>
            <w:w w:val="105"/>
            <w:sz w:val="21"/>
            <w:szCs w:val="21"/>
          </w:rPr>
          <w:t>ДСТУ EN 8</w:t>
        </w:r>
        <w:r w:rsidRPr="00937E3F">
          <w:rPr>
            <w:rStyle w:val="ac"/>
            <w:rFonts w:cs="Arial"/>
            <w:spacing w:val="12"/>
            <w:w w:val="105"/>
            <w:sz w:val="21"/>
            <w:szCs w:val="21"/>
            <w:highlight w:val="white"/>
          </w:rPr>
          <w:t>1-40</w:t>
        </w:r>
      </w:hyperlink>
      <w:r w:rsidRPr="00CA7C54">
        <w:rPr>
          <w:color w:val="000000" w:themeColor="text1"/>
          <w:spacing w:val="12"/>
          <w:w w:val="105"/>
          <w:sz w:val="21"/>
          <w:szCs w:val="21"/>
          <w:highlight w:val="white"/>
        </w:rPr>
        <w:t xml:space="preserve">,  </w:t>
      </w:r>
      <w:hyperlink r:id="rId124" w:history="1">
        <w:r w:rsidRPr="00937E3F">
          <w:rPr>
            <w:rStyle w:val="ac"/>
            <w:rFonts w:cs="Arial"/>
            <w:spacing w:val="12"/>
            <w:w w:val="105"/>
            <w:sz w:val="21"/>
            <w:szCs w:val="21"/>
            <w:highlight w:val="white"/>
          </w:rPr>
          <w:t>ДСТУ EN 81-41</w:t>
        </w:r>
      </w:hyperlink>
      <w:r w:rsidRPr="00CA7C54">
        <w:rPr>
          <w:color w:val="000000" w:themeColor="text1"/>
          <w:spacing w:val="12"/>
          <w:w w:val="105"/>
          <w:sz w:val="21"/>
          <w:szCs w:val="21"/>
          <w:highlight w:val="white"/>
        </w:rPr>
        <w:t xml:space="preserve">,  </w:t>
      </w:r>
      <w:hyperlink r:id="rId125" w:history="1">
        <w:r w:rsidRPr="00937E3F">
          <w:rPr>
            <w:rStyle w:val="ac"/>
            <w:rFonts w:cs="Arial"/>
            <w:spacing w:val="12"/>
            <w:w w:val="105"/>
            <w:sz w:val="21"/>
            <w:szCs w:val="21"/>
            <w:highlight w:val="white"/>
          </w:rPr>
          <w:t>ДСТУ EN 81-22</w:t>
        </w:r>
      </w:hyperlink>
      <w:r w:rsidRPr="00CA7C54">
        <w:rPr>
          <w:color w:val="000000" w:themeColor="text1"/>
          <w:spacing w:val="12"/>
          <w:w w:val="105"/>
          <w:sz w:val="21"/>
          <w:szCs w:val="21"/>
          <w:highlight w:val="white"/>
        </w:rPr>
        <w:t xml:space="preserve">, </w:t>
      </w:r>
      <w:hyperlink r:id="rId126" w:history="1">
        <w:r w:rsidRPr="00937E3F">
          <w:rPr>
            <w:rStyle w:val="ac"/>
            <w:rFonts w:cs="Arial"/>
            <w:spacing w:val="12"/>
            <w:w w:val="105"/>
            <w:sz w:val="21"/>
            <w:szCs w:val="21"/>
            <w:highlight w:val="white"/>
          </w:rPr>
          <w:t>ДСТУ EN 81-70</w:t>
        </w:r>
      </w:hyperlink>
      <w:r w:rsidRPr="00CA7C54">
        <w:rPr>
          <w:color w:val="000000" w:themeColor="text1"/>
          <w:spacing w:val="12"/>
          <w:w w:val="105"/>
          <w:sz w:val="21"/>
          <w:szCs w:val="21"/>
          <w:highlight w:val="white"/>
        </w:rPr>
        <w:t xml:space="preserve">,  </w:t>
      </w:r>
      <w:hyperlink r:id="rId127" w:history="1">
        <w:r w:rsidRPr="00937E3F">
          <w:rPr>
            <w:rStyle w:val="ac"/>
            <w:rFonts w:cs="Arial"/>
            <w:spacing w:val="12"/>
            <w:w w:val="105"/>
            <w:sz w:val="21"/>
            <w:szCs w:val="21"/>
            <w:highlight w:val="white"/>
          </w:rPr>
          <w:t>ДСТУ EN 81-71</w:t>
        </w:r>
      </w:hyperlink>
      <w:r w:rsidRPr="00CA7C54">
        <w:rPr>
          <w:color w:val="000000" w:themeColor="text1"/>
          <w:spacing w:val="12"/>
          <w:w w:val="105"/>
          <w:sz w:val="21"/>
          <w:szCs w:val="21"/>
          <w:highlight w:val="white"/>
        </w:rPr>
        <w:t xml:space="preserve">, </w:t>
      </w:r>
      <w:hyperlink r:id="rId128" w:history="1">
        <w:r w:rsidRPr="00937E3F">
          <w:rPr>
            <w:rStyle w:val="ac"/>
            <w:rFonts w:cs="Arial"/>
            <w:sz w:val="21"/>
            <w:szCs w:val="21"/>
            <w:highlight w:val="white"/>
          </w:rPr>
          <w:t>ДСТУ CEN/TS 81-76</w:t>
        </w:r>
      </w:hyperlink>
      <w:r w:rsidRPr="00CA7C54">
        <w:rPr>
          <w:color w:val="000000" w:themeColor="text1"/>
          <w:sz w:val="21"/>
          <w:szCs w:val="21"/>
          <w:highlight w:val="white"/>
        </w:rPr>
        <w:t xml:space="preserve">,  </w:t>
      </w:r>
      <w:hyperlink r:id="rId129" w:history="1">
        <w:r w:rsidRPr="00937E3F">
          <w:rPr>
            <w:rStyle w:val="ac"/>
            <w:rFonts w:cs="Arial"/>
            <w:sz w:val="21"/>
            <w:szCs w:val="21"/>
            <w:highlight w:val="white"/>
          </w:rPr>
          <w:t>ДСТУ EN 12158-1</w:t>
        </w:r>
      </w:hyperlink>
      <w:r w:rsidRPr="00CA7C54">
        <w:rPr>
          <w:color w:val="000000" w:themeColor="text1"/>
          <w:sz w:val="21"/>
          <w:szCs w:val="21"/>
          <w:highlight w:val="white"/>
        </w:rPr>
        <w:t xml:space="preserve"> та відповідно </w:t>
      </w:r>
      <w:r w:rsidR="00937E3F">
        <w:rPr>
          <w:color w:val="000000" w:themeColor="text1"/>
          <w:sz w:val="21"/>
          <w:szCs w:val="21"/>
          <w:highlight w:val="white"/>
        </w:rPr>
        <w:t xml:space="preserve">до </w:t>
      </w:r>
      <w:r w:rsidRPr="00CA7C54">
        <w:rPr>
          <w:color w:val="000000" w:themeColor="text1"/>
          <w:sz w:val="21"/>
          <w:szCs w:val="21"/>
          <w:highlight w:val="white"/>
        </w:rPr>
        <w:t xml:space="preserve">вимог </w:t>
      </w:r>
      <w:hyperlink r:id="rId130" w:history="1">
        <w:r w:rsidRPr="00937E3F">
          <w:rPr>
            <w:rStyle w:val="ac"/>
            <w:rFonts w:cs="Arial"/>
            <w:sz w:val="21"/>
            <w:szCs w:val="21"/>
            <w:highlight w:val="white"/>
          </w:rPr>
          <w:t>ДБН В.2.2-40.</w:t>
        </w:r>
      </w:hyperlink>
    </w:p>
    <w:p w14:paraId="4BBB4A86"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Доступ МГН до захисних споруд та СПП рекомендується забезпечувати за допомогою ліфтів.</w:t>
      </w:r>
    </w:p>
    <w:p w14:paraId="6B26DD2E" w14:textId="656DC38B"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lastRenderedPageBreak/>
        <w:t>Перед вхідними дверима у захисні споруди та СПП необхідно забезпечити простір для можливості маневрування та повороту на 90 градусів на кріслі колісному відповідно до вимог</w:t>
      </w:r>
      <w:r w:rsidRPr="00CA7C54">
        <w:rPr>
          <w:color w:val="000000" w:themeColor="text1"/>
          <w:sz w:val="21"/>
          <w:szCs w:val="21"/>
        </w:rPr>
        <w:br/>
      </w:r>
      <w:hyperlink r:id="rId131" w:history="1">
        <w:r w:rsidRPr="00134039">
          <w:rPr>
            <w:rStyle w:val="ac"/>
            <w:rFonts w:cs="Arial"/>
            <w:sz w:val="21"/>
            <w:szCs w:val="21"/>
          </w:rPr>
          <w:t>ДБН В.2.2-40.</w:t>
        </w:r>
      </w:hyperlink>
    </w:p>
    <w:p w14:paraId="4D001A22" w14:textId="3C3DBA97" w:rsidR="003C4E04" w:rsidRPr="00B271AD" w:rsidRDefault="001E748C" w:rsidP="006A40A9">
      <w:pPr>
        <w:pBdr>
          <w:top w:val="nil"/>
          <w:left w:val="nil"/>
          <w:bottom w:val="nil"/>
          <w:right w:val="nil"/>
          <w:between w:val="nil"/>
        </w:pBdr>
        <w:spacing w:before="0" w:line="288" w:lineRule="auto"/>
        <w:ind w:right="2" w:firstLine="566"/>
        <w:contextualSpacing/>
        <w:rPr>
          <w:rFonts w:eastAsia="Times New Roman"/>
          <w:sz w:val="21"/>
          <w:szCs w:val="21"/>
        </w:rPr>
      </w:pPr>
      <w:r w:rsidRPr="00B271AD">
        <w:rPr>
          <w:b/>
          <w:sz w:val="21"/>
          <w:szCs w:val="21"/>
        </w:rPr>
        <w:t>7.1.3</w:t>
      </w:r>
      <w:r w:rsidRPr="00B271AD">
        <w:rPr>
          <w:sz w:val="21"/>
          <w:szCs w:val="21"/>
        </w:rPr>
        <w:t xml:space="preserve"> В приміщеннях захисних споруд та СПП повинні бути передбачені засоби безпеки, орієнтування, отримання інформації згідно з </w:t>
      </w:r>
      <w:hyperlink r:id="rId132" w:history="1">
        <w:r w:rsidRPr="00134039">
          <w:rPr>
            <w:rStyle w:val="ac"/>
            <w:rFonts w:cs="Arial"/>
            <w:sz w:val="21"/>
            <w:szCs w:val="21"/>
          </w:rPr>
          <w:t>ДБН В.2.2-40</w:t>
        </w:r>
      </w:hyperlink>
      <w:r w:rsidRPr="00B271AD">
        <w:rPr>
          <w:sz w:val="21"/>
          <w:szCs w:val="21"/>
        </w:rPr>
        <w:t>.</w:t>
      </w:r>
    </w:p>
    <w:p w14:paraId="17F75DE6" w14:textId="77777777" w:rsidR="00116A50" w:rsidRPr="00B271AD" w:rsidRDefault="00116A50" w:rsidP="00116A50">
      <w:pPr>
        <w:widowControl w:val="0"/>
        <w:autoSpaceDE w:val="0"/>
        <w:autoSpaceDN w:val="0"/>
        <w:spacing w:before="1" w:line="290" w:lineRule="auto"/>
        <w:ind w:right="-1"/>
        <w:rPr>
          <w:rFonts w:eastAsia="Microsoft Sans Serif"/>
          <w:sz w:val="21"/>
          <w:szCs w:val="21"/>
        </w:rPr>
      </w:pPr>
      <w:r w:rsidRPr="00B271AD">
        <w:rPr>
          <w:rFonts w:eastAsia="Microsoft Sans Serif"/>
          <w:sz w:val="21"/>
          <w:szCs w:val="21"/>
        </w:rPr>
        <w:t>Інформаційні</w:t>
      </w:r>
      <w:r w:rsidR="00E1684E">
        <w:rPr>
          <w:rFonts w:eastAsia="Microsoft Sans Serif"/>
          <w:sz w:val="21"/>
          <w:szCs w:val="21"/>
        </w:rPr>
        <w:t xml:space="preserve"> </w:t>
      </w:r>
      <w:r w:rsidRPr="00B271AD">
        <w:rPr>
          <w:rFonts w:eastAsia="Microsoft Sans Serif"/>
          <w:sz w:val="21"/>
          <w:szCs w:val="21"/>
        </w:rPr>
        <w:t>таблички,</w:t>
      </w:r>
      <w:r w:rsidR="00E1684E">
        <w:rPr>
          <w:rFonts w:eastAsia="Microsoft Sans Serif"/>
          <w:sz w:val="21"/>
          <w:szCs w:val="21"/>
        </w:rPr>
        <w:t xml:space="preserve"> </w:t>
      </w:r>
      <w:r w:rsidRPr="00B271AD">
        <w:rPr>
          <w:rFonts w:eastAsia="Microsoft Sans Serif"/>
          <w:sz w:val="21"/>
          <w:szCs w:val="21"/>
        </w:rPr>
        <w:t>інформатори</w:t>
      </w:r>
      <w:r w:rsidR="00E1684E">
        <w:rPr>
          <w:rFonts w:eastAsia="Microsoft Sans Serif"/>
          <w:sz w:val="21"/>
          <w:szCs w:val="21"/>
        </w:rPr>
        <w:t xml:space="preserve"> </w:t>
      </w:r>
      <w:r w:rsidRPr="00B271AD">
        <w:rPr>
          <w:rFonts w:eastAsia="Microsoft Sans Serif"/>
          <w:sz w:val="21"/>
          <w:szCs w:val="21"/>
        </w:rPr>
        <w:t>та</w:t>
      </w:r>
      <w:r w:rsidR="00E1684E">
        <w:rPr>
          <w:rFonts w:eastAsia="Microsoft Sans Serif"/>
          <w:sz w:val="21"/>
          <w:szCs w:val="21"/>
        </w:rPr>
        <w:t xml:space="preserve"> </w:t>
      </w:r>
      <w:r w:rsidRPr="00B271AD">
        <w:rPr>
          <w:rFonts w:eastAsia="Microsoft Sans Serif"/>
          <w:sz w:val="21"/>
          <w:szCs w:val="21"/>
        </w:rPr>
        <w:t>покажчики</w:t>
      </w:r>
      <w:r w:rsidR="00E1684E">
        <w:rPr>
          <w:rFonts w:eastAsia="Microsoft Sans Serif"/>
          <w:sz w:val="21"/>
          <w:szCs w:val="21"/>
        </w:rPr>
        <w:t xml:space="preserve"> </w:t>
      </w:r>
      <w:r w:rsidRPr="00B271AD">
        <w:rPr>
          <w:rFonts w:eastAsia="Microsoft Sans Serif"/>
          <w:sz w:val="21"/>
          <w:szCs w:val="21"/>
        </w:rPr>
        <w:t>повинні</w:t>
      </w:r>
      <w:r w:rsidR="00E1684E">
        <w:rPr>
          <w:rFonts w:eastAsia="Microsoft Sans Serif"/>
          <w:sz w:val="21"/>
          <w:szCs w:val="21"/>
        </w:rPr>
        <w:t xml:space="preserve"> </w:t>
      </w:r>
      <w:r w:rsidRPr="00B271AD">
        <w:rPr>
          <w:rFonts w:eastAsia="Microsoft Sans Serif"/>
          <w:sz w:val="21"/>
          <w:szCs w:val="21"/>
        </w:rPr>
        <w:t>містити</w:t>
      </w:r>
      <w:r w:rsidR="00E1684E">
        <w:rPr>
          <w:rFonts w:eastAsia="Microsoft Sans Serif"/>
          <w:sz w:val="21"/>
          <w:szCs w:val="21"/>
        </w:rPr>
        <w:t xml:space="preserve"> </w:t>
      </w:r>
      <w:r w:rsidRPr="00B271AD">
        <w:rPr>
          <w:rFonts w:eastAsia="Microsoft Sans Serif"/>
          <w:sz w:val="21"/>
          <w:szCs w:val="21"/>
        </w:rPr>
        <w:t>інформацію</w:t>
      </w:r>
      <w:r w:rsidR="00E1684E">
        <w:rPr>
          <w:rFonts w:eastAsia="Microsoft Sans Serif"/>
          <w:sz w:val="21"/>
          <w:szCs w:val="21"/>
        </w:rPr>
        <w:t xml:space="preserve"> </w:t>
      </w:r>
      <w:r w:rsidRPr="00B271AD">
        <w:rPr>
          <w:rFonts w:eastAsia="Microsoft Sans Serif"/>
          <w:sz w:val="21"/>
          <w:szCs w:val="21"/>
        </w:rPr>
        <w:t>щодо</w:t>
      </w:r>
      <w:r w:rsidR="00E1684E">
        <w:rPr>
          <w:rFonts w:eastAsia="Microsoft Sans Serif"/>
          <w:sz w:val="21"/>
          <w:szCs w:val="21"/>
        </w:rPr>
        <w:t xml:space="preserve"> </w:t>
      </w:r>
      <w:r w:rsidRPr="00B271AD">
        <w:rPr>
          <w:rFonts w:eastAsia="Microsoft Sans Serif"/>
          <w:sz w:val="21"/>
          <w:szCs w:val="21"/>
        </w:rPr>
        <w:t>призначень</w:t>
      </w:r>
      <w:r w:rsidR="00E1684E">
        <w:rPr>
          <w:rFonts w:eastAsia="Microsoft Sans Serif"/>
          <w:sz w:val="21"/>
          <w:szCs w:val="21"/>
        </w:rPr>
        <w:t xml:space="preserve"> </w:t>
      </w:r>
      <w:r w:rsidRPr="00B271AD">
        <w:rPr>
          <w:rFonts w:eastAsia="Microsoft Sans Serif"/>
          <w:sz w:val="21"/>
          <w:szCs w:val="21"/>
        </w:rPr>
        <w:t>приміщень,</w:t>
      </w:r>
      <w:r w:rsidR="00E1684E">
        <w:rPr>
          <w:rFonts w:eastAsia="Microsoft Sans Serif"/>
          <w:sz w:val="21"/>
          <w:szCs w:val="21"/>
        </w:rPr>
        <w:t xml:space="preserve">необхідних шляхів </w:t>
      </w:r>
      <w:r w:rsidRPr="00B271AD">
        <w:rPr>
          <w:rFonts w:eastAsia="Microsoft Sans Serif"/>
          <w:sz w:val="21"/>
          <w:szCs w:val="21"/>
        </w:rPr>
        <w:t xml:space="preserve">руху. </w:t>
      </w:r>
    </w:p>
    <w:p w14:paraId="07DA0857" w14:textId="77777777" w:rsidR="00116A50" w:rsidRPr="00B271AD" w:rsidRDefault="00116A50" w:rsidP="00116A50">
      <w:pPr>
        <w:widowControl w:val="0"/>
        <w:autoSpaceDE w:val="0"/>
        <w:autoSpaceDN w:val="0"/>
        <w:spacing w:before="6" w:line="290" w:lineRule="auto"/>
        <w:ind w:left="222" w:firstLine="345"/>
        <w:rPr>
          <w:rFonts w:eastAsia="Microsoft Sans Serif"/>
          <w:sz w:val="21"/>
          <w:szCs w:val="21"/>
        </w:rPr>
      </w:pPr>
      <w:r w:rsidRPr="00B271AD">
        <w:rPr>
          <w:rFonts w:eastAsia="Microsoft Sans Serif"/>
          <w:sz w:val="21"/>
          <w:szCs w:val="21"/>
        </w:rPr>
        <w:t>В захисних спорудах та СПП необхідно передбачити контрастне маркування на сходах, порогах,дверних отворах, а також звужених відносно</w:t>
      </w:r>
      <w:r w:rsidR="00E1684E">
        <w:rPr>
          <w:rFonts w:eastAsia="Microsoft Sans Serif"/>
          <w:sz w:val="21"/>
          <w:szCs w:val="21"/>
        </w:rPr>
        <w:t xml:space="preserve"> </w:t>
      </w:r>
      <w:r w:rsidRPr="00B271AD">
        <w:rPr>
          <w:rFonts w:eastAsia="Microsoft Sans Serif"/>
          <w:sz w:val="21"/>
          <w:szCs w:val="21"/>
        </w:rPr>
        <w:t>ширини коридору, проходах тощо.</w:t>
      </w:r>
    </w:p>
    <w:p w14:paraId="527EA588" w14:textId="77777777" w:rsidR="003C4E04" w:rsidRPr="00B271AD" w:rsidRDefault="001E748C" w:rsidP="006A40A9">
      <w:pPr>
        <w:pBdr>
          <w:top w:val="nil"/>
          <w:left w:val="nil"/>
          <w:bottom w:val="nil"/>
          <w:right w:val="nil"/>
          <w:between w:val="nil"/>
        </w:pBdr>
        <w:spacing w:before="0" w:line="288" w:lineRule="auto"/>
        <w:ind w:right="2"/>
        <w:contextualSpacing/>
        <w:rPr>
          <w:sz w:val="21"/>
          <w:szCs w:val="21"/>
        </w:rPr>
      </w:pPr>
      <w:r w:rsidRPr="00B271AD">
        <w:rPr>
          <w:sz w:val="21"/>
          <w:szCs w:val="21"/>
        </w:rPr>
        <w:t>Рекомендується крім контрастного співвідношення кольорів використовувати матеріали із світло відбивальними властивостями для візуальної ідентифікації під час відсутності освітлення.</w:t>
      </w:r>
    </w:p>
    <w:p w14:paraId="5FA12786" w14:textId="77777777" w:rsidR="00116A50" w:rsidRPr="00F6335A" w:rsidRDefault="00116A50" w:rsidP="00116A50">
      <w:pPr>
        <w:widowControl w:val="0"/>
        <w:autoSpaceDE w:val="0"/>
        <w:autoSpaceDN w:val="0"/>
        <w:spacing w:before="0" w:line="288" w:lineRule="auto"/>
        <w:ind w:firstLine="566"/>
        <w:contextualSpacing/>
        <w:rPr>
          <w:rFonts w:eastAsia="Microsoft Sans Serif"/>
          <w:b/>
          <w:bCs/>
          <w:i/>
          <w:iCs/>
          <w:color w:val="00B050"/>
          <w:sz w:val="21"/>
          <w:szCs w:val="21"/>
        </w:rPr>
      </w:pPr>
      <w:r w:rsidRPr="00F6335A">
        <w:rPr>
          <w:rFonts w:eastAsia="Microsoft Sans Serif"/>
          <w:b/>
          <w:bCs/>
          <w:i/>
          <w:iCs/>
          <w:color w:val="00B050"/>
          <w:sz w:val="21"/>
          <w:szCs w:val="21"/>
        </w:rPr>
        <w:t>(Пункт 7.1.3 змінено, Зміна № 1)</w:t>
      </w:r>
    </w:p>
    <w:p w14:paraId="447626B5" w14:textId="77777777" w:rsidR="003C4E04" w:rsidRPr="00CA7C54" w:rsidRDefault="001E748C" w:rsidP="006A40A9">
      <w:pPr>
        <w:pBdr>
          <w:top w:val="nil"/>
          <w:left w:val="nil"/>
          <w:bottom w:val="nil"/>
          <w:right w:val="nil"/>
          <w:between w:val="nil"/>
        </w:pBdr>
        <w:spacing w:before="0" w:line="288" w:lineRule="auto"/>
        <w:ind w:right="2"/>
        <w:contextualSpacing/>
        <w:rPr>
          <w:rFonts w:eastAsia="Times New Roman"/>
          <w:color w:val="000000" w:themeColor="text1"/>
          <w:sz w:val="21"/>
          <w:szCs w:val="21"/>
        </w:rPr>
      </w:pPr>
      <w:r w:rsidRPr="00CA7C54">
        <w:rPr>
          <w:b/>
          <w:color w:val="000000" w:themeColor="text1"/>
          <w:sz w:val="21"/>
          <w:szCs w:val="21"/>
        </w:rPr>
        <w:t>7.1.4</w:t>
      </w:r>
      <w:r w:rsidRPr="00CA7C54">
        <w:rPr>
          <w:color w:val="000000" w:themeColor="text1"/>
          <w:sz w:val="21"/>
          <w:szCs w:val="21"/>
        </w:rPr>
        <w:t xml:space="preserve"> Ширина (у просвіті) коридорів, пандусів в середині захисних споруд та СПП, що використовуються для евакуації, у тому числі МГН, має бути:</w:t>
      </w:r>
    </w:p>
    <w:p w14:paraId="03B7BE3B" w14:textId="77777777" w:rsidR="003C4E04" w:rsidRPr="00CA7C54" w:rsidRDefault="00A60480" w:rsidP="006A40A9">
      <w:pPr>
        <w:pBdr>
          <w:top w:val="nil"/>
          <w:left w:val="nil"/>
          <w:bottom w:val="nil"/>
          <w:right w:val="nil"/>
          <w:between w:val="nil"/>
        </w:pBdr>
        <w:spacing w:before="0" w:line="288" w:lineRule="auto"/>
        <w:ind w:right="-1401"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менше ніж 1,8 м – при новому будівництві;</w:t>
      </w:r>
    </w:p>
    <w:p w14:paraId="3B09940F" w14:textId="77777777" w:rsidR="003C4E04" w:rsidRPr="00CA7C54" w:rsidRDefault="00A60480" w:rsidP="006A40A9">
      <w:pPr>
        <w:pBdr>
          <w:top w:val="nil"/>
          <w:left w:val="nil"/>
          <w:bottom w:val="nil"/>
          <w:right w:val="nil"/>
          <w:between w:val="nil"/>
        </w:pBdr>
        <w:spacing w:before="0" w:line="288" w:lineRule="auto"/>
        <w:ind w:right="-1401"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менше ніж 1,5 м – при реконструкції;</w:t>
      </w:r>
    </w:p>
    <w:p w14:paraId="7981C6E2" w14:textId="77777777" w:rsidR="003C4E04" w:rsidRPr="00CA7C54" w:rsidRDefault="00A60480" w:rsidP="006A40A9">
      <w:pPr>
        <w:pBdr>
          <w:top w:val="nil"/>
          <w:left w:val="nil"/>
          <w:bottom w:val="nil"/>
          <w:right w:val="nil"/>
          <w:between w:val="nil"/>
        </w:pBdr>
        <w:spacing w:before="0" w:line="288" w:lineRule="auto"/>
        <w:ind w:right="-1401"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менше ніж 1,2 м – при капітальному ремонті.</w:t>
      </w:r>
    </w:p>
    <w:p w14:paraId="02B7B83A" w14:textId="295AF801"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На стінах ділянок коридорів, які слугують шляхами евакуації, слід влаштовувати поручні на висоті 0,9 м. Розмір та кріплення поручнів мають відповідати вимогам </w:t>
      </w:r>
      <w:hyperlink r:id="rId133" w:history="1">
        <w:r w:rsidRPr="00134039">
          <w:rPr>
            <w:rStyle w:val="ac"/>
            <w:rFonts w:cs="Arial"/>
            <w:sz w:val="21"/>
            <w:szCs w:val="21"/>
          </w:rPr>
          <w:t>ДБН В.2.2-40</w:t>
        </w:r>
      </w:hyperlink>
      <w:r w:rsidRPr="00CA7C54">
        <w:rPr>
          <w:color w:val="000000" w:themeColor="text1"/>
          <w:sz w:val="21"/>
          <w:szCs w:val="21"/>
        </w:rPr>
        <w:t>. Колір поручнів повинен бути контрастним по співвідношенню до кольору стіни, на якій його розміщено. </w:t>
      </w:r>
    </w:p>
    <w:p w14:paraId="5D2340BE"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Рекомендується наносити на поручні фарбу (матеріал) із світловідб</w:t>
      </w:r>
      <w:r w:rsidR="00011FAC" w:rsidRPr="00CA7C54">
        <w:rPr>
          <w:color w:val="000000" w:themeColor="text1"/>
          <w:sz w:val="21"/>
          <w:szCs w:val="21"/>
        </w:rPr>
        <w:t>ив</w:t>
      </w:r>
      <w:r w:rsidRPr="00CA7C54">
        <w:rPr>
          <w:color w:val="000000" w:themeColor="text1"/>
          <w:sz w:val="21"/>
          <w:szCs w:val="21"/>
        </w:rPr>
        <w:t>нимивластивостями для візуальної ідентифікації під час відсутності освітлення.  </w:t>
      </w:r>
    </w:p>
    <w:p w14:paraId="2C77914B"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7.1.5</w:t>
      </w:r>
      <w:r w:rsidRPr="00CA7C54">
        <w:rPr>
          <w:color w:val="000000" w:themeColor="text1"/>
          <w:sz w:val="21"/>
          <w:szCs w:val="21"/>
        </w:rPr>
        <w:t>  Висоту приміщень (від відмітки підлоги до низу перекриття (покриття) захисних споруд та СПП при новому будівництві слід приймати не менше</w:t>
      </w:r>
      <w:r w:rsidR="00584A0A" w:rsidRPr="00CA7C54">
        <w:rPr>
          <w:color w:val="000000" w:themeColor="text1"/>
          <w:sz w:val="21"/>
          <w:szCs w:val="21"/>
        </w:rPr>
        <w:t xml:space="preserve"> ніж</w:t>
      </w:r>
      <w:r w:rsidRPr="00CA7C54">
        <w:rPr>
          <w:color w:val="000000" w:themeColor="text1"/>
          <w:sz w:val="21"/>
          <w:szCs w:val="21"/>
        </w:rPr>
        <w:t xml:space="preserve"> 2,5 м.</w:t>
      </w:r>
    </w:p>
    <w:p w14:paraId="020DB3AE"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Зазначена вимога може застосовуватис</w:t>
      </w:r>
      <w:r w:rsidR="008215B9" w:rsidRPr="00CA7C54">
        <w:rPr>
          <w:color w:val="000000" w:themeColor="text1"/>
          <w:sz w:val="21"/>
          <w:szCs w:val="21"/>
        </w:rPr>
        <w:t>я</w:t>
      </w:r>
      <w:r w:rsidRPr="00CA7C54">
        <w:rPr>
          <w:color w:val="000000" w:themeColor="text1"/>
          <w:sz w:val="21"/>
          <w:szCs w:val="21"/>
        </w:rPr>
        <w:t xml:space="preserve"> при реконструкції існуючих захисних споруд та СПП (за технічної можливості).</w:t>
      </w:r>
    </w:p>
    <w:p w14:paraId="62B2CDFC"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При визначенні висоти приміщень СПП слід також враховувати вимоги, що висуваються до об'єктів – відпов</w:t>
      </w:r>
      <w:r w:rsidRPr="00CA7C54">
        <w:rPr>
          <w:color w:val="000000" w:themeColor="text1"/>
          <w:sz w:val="21"/>
          <w:szCs w:val="21"/>
          <w:highlight w:val="white"/>
        </w:rPr>
        <w:t>ідно їх фун</w:t>
      </w:r>
      <w:r w:rsidRPr="00CA7C54">
        <w:rPr>
          <w:color w:val="000000" w:themeColor="text1"/>
          <w:sz w:val="21"/>
          <w:szCs w:val="21"/>
        </w:rPr>
        <w:t>кціонального призначення, яке не пов’язане із забезпеченням захисту  та зменшення впливу на людей небезпечних чинників (факторів). </w:t>
      </w:r>
    </w:p>
    <w:p w14:paraId="00952A19"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7.1.6</w:t>
      </w:r>
      <w:r w:rsidRPr="00CA7C54">
        <w:rPr>
          <w:color w:val="000000" w:themeColor="text1"/>
          <w:sz w:val="21"/>
          <w:szCs w:val="21"/>
        </w:rPr>
        <w:t xml:space="preserve"> В сховищах та СПП із захисними властивостями сховищ при висоті приміщень до 2,9 м слід передбачати розташування дворівневих металевих ліжок, а при висоті понад 2,9 м – трирівневих.</w:t>
      </w:r>
    </w:p>
    <w:p w14:paraId="757CBAA0"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7.1.7</w:t>
      </w:r>
      <w:r w:rsidRPr="00CA7C54">
        <w:rPr>
          <w:color w:val="000000" w:themeColor="text1"/>
          <w:sz w:val="21"/>
          <w:szCs w:val="21"/>
        </w:rPr>
        <w:t>  Ширина просвіту внутрішніх дверей в приміщеннях має бути не менше ніж 0,9 м.</w:t>
      </w:r>
    </w:p>
    <w:p w14:paraId="4D107925"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Ширина однієї стулки двостулкових дверей в просвіті має бути не менше ніж 0,9 м.</w:t>
      </w:r>
    </w:p>
    <w:p w14:paraId="0C0470EA"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Двері рекомендується облаштовувати ручкою важільного типу.</w:t>
      </w:r>
    </w:p>
    <w:p w14:paraId="216C66C6"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Двері до приміщень, а також міжкоридорні двері, повинні бути без порогів (крім дверей до технічних приміщень – щитової, вентиляційної тощо).</w:t>
      </w:r>
    </w:p>
    <w:p w14:paraId="56AF8262" w14:textId="4BD8F184"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 xml:space="preserve">У разі технічної необхідності влаштування порогів такі пороги повинні відповідати вимогам </w:t>
      </w:r>
      <w:hyperlink r:id="rId134" w:history="1">
        <w:r w:rsidRPr="00134039">
          <w:rPr>
            <w:rStyle w:val="ac"/>
            <w:rFonts w:cs="Arial"/>
            <w:sz w:val="21"/>
            <w:szCs w:val="21"/>
          </w:rPr>
          <w:t>ДБН В.2.2-40.</w:t>
        </w:r>
      </w:hyperlink>
    </w:p>
    <w:p w14:paraId="2629DC3E"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Двері до технічних приміщень (щитової, вентиляційної тощо) допускається приймати шириною у просвіті не менше ніж 0,7 м.</w:t>
      </w:r>
    </w:p>
    <w:p w14:paraId="2EF30CEB"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highlight w:val="white"/>
        </w:rPr>
      </w:pPr>
      <w:r w:rsidRPr="00CA7C54">
        <w:rPr>
          <w:color w:val="000000" w:themeColor="text1"/>
          <w:sz w:val="21"/>
          <w:szCs w:val="21"/>
          <w:highlight w:val="white"/>
        </w:rPr>
        <w:t xml:space="preserve">При капітальному ремонту у разі відсутності технічної можливості, допускається влаштовувати дверні прорізи вхідних та внутрішніх дверей не менше </w:t>
      </w:r>
      <w:r w:rsidR="00584A0A" w:rsidRPr="00CA7C54">
        <w:rPr>
          <w:color w:val="000000" w:themeColor="text1"/>
          <w:sz w:val="21"/>
          <w:szCs w:val="21"/>
          <w:highlight w:val="white"/>
        </w:rPr>
        <w:t xml:space="preserve">ніж </w:t>
      </w:r>
      <w:r w:rsidRPr="00CA7C54">
        <w:rPr>
          <w:color w:val="000000" w:themeColor="text1"/>
          <w:sz w:val="21"/>
          <w:szCs w:val="21"/>
          <w:highlight w:val="white"/>
        </w:rPr>
        <w:t>0,8 м в просвіті.</w:t>
      </w:r>
    </w:p>
    <w:p w14:paraId="3D435768"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7.1.8</w:t>
      </w:r>
      <w:r w:rsidRPr="00CA7C54">
        <w:rPr>
          <w:color w:val="000000" w:themeColor="text1"/>
          <w:sz w:val="21"/>
          <w:szCs w:val="21"/>
        </w:rPr>
        <w:t xml:space="preserve"> Двері в основному приміщенні для укриття необхідно про</w:t>
      </w:r>
      <w:r w:rsidR="0010730F" w:rsidRPr="00CA7C54">
        <w:rPr>
          <w:color w:val="000000" w:themeColor="text1"/>
          <w:sz w:val="21"/>
          <w:szCs w:val="21"/>
        </w:rPr>
        <w:t>є</w:t>
      </w:r>
      <w:r w:rsidRPr="00CA7C54">
        <w:rPr>
          <w:color w:val="000000" w:themeColor="text1"/>
          <w:sz w:val="21"/>
          <w:szCs w:val="21"/>
        </w:rPr>
        <w:t>ктувати з відчиненням назовні. </w:t>
      </w:r>
    </w:p>
    <w:p w14:paraId="5B7D07EC"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7.1.9</w:t>
      </w:r>
      <w:r w:rsidRPr="00CA7C54">
        <w:rPr>
          <w:color w:val="000000" w:themeColor="text1"/>
          <w:sz w:val="21"/>
          <w:szCs w:val="21"/>
        </w:rPr>
        <w:t xml:space="preserve"> В місцях потенційного скупчення людей (при входах / виходах, коридорах, переходах) рекомендується передбачати проміжні зони безпеки у вигляді розширення коридорів, карманів тощо.</w:t>
      </w:r>
    </w:p>
    <w:p w14:paraId="66A5CC16" w14:textId="77777777" w:rsidR="003C4E04" w:rsidRPr="00CA7C54" w:rsidRDefault="001E748C" w:rsidP="004232B7">
      <w:pPr>
        <w:pBdr>
          <w:top w:val="nil"/>
          <w:left w:val="nil"/>
          <w:bottom w:val="nil"/>
          <w:right w:val="nil"/>
          <w:between w:val="nil"/>
        </w:pBdr>
        <w:spacing w:before="0" w:after="60"/>
        <w:contextualSpacing/>
        <w:rPr>
          <w:color w:val="000000" w:themeColor="text1"/>
          <w:sz w:val="21"/>
          <w:szCs w:val="21"/>
        </w:rPr>
      </w:pPr>
      <w:r w:rsidRPr="00CA7C54">
        <w:rPr>
          <w:color w:val="000000" w:themeColor="text1"/>
          <w:sz w:val="21"/>
          <w:szCs w:val="21"/>
        </w:rPr>
        <w:t>Проміжні зони безпеки можуть бути розташовані безпосередньо вздовж коридору.</w:t>
      </w:r>
    </w:p>
    <w:p w14:paraId="019362A7" w14:textId="77777777" w:rsidR="003C4E04" w:rsidRPr="00CA7C54" w:rsidRDefault="001E748C" w:rsidP="004232B7">
      <w:pPr>
        <w:pStyle w:val="3"/>
        <w:spacing w:before="0" w:after="60" w:line="288" w:lineRule="auto"/>
        <w:contextualSpacing/>
        <w:rPr>
          <w:color w:val="000000" w:themeColor="text1"/>
          <w:sz w:val="21"/>
          <w:szCs w:val="21"/>
        </w:rPr>
      </w:pPr>
      <w:bookmarkStart w:id="9" w:name="_heading=h.atm7w7p4oln" w:colFirst="0" w:colLast="0"/>
      <w:bookmarkEnd w:id="9"/>
      <w:r w:rsidRPr="00CA7C54">
        <w:rPr>
          <w:color w:val="000000" w:themeColor="text1"/>
          <w:sz w:val="21"/>
          <w:szCs w:val="21"/>
        </w:rPr>
        <w:lastRenderedPageBreak/>
        <w:t>7.2 Основні та допоміжні приміщення захисних споруд та СПП</w:t>
      </w:r>
    </w:p>
    <w:p w14:paraId="0E3C6169" w14:textId="77777777" w:rsidR="003C4E04" w:rsidRPr="00CA7C54" w:rsidRDefault="001E748C" w:rsidP="006A40A9">
      <w:pPr>
        <w:pStyle w:val="4"/>
        <w:spacing w:before="0" w:after="0" w:line="288" w:lineRule="auto"/>
        <w:ind w:left="425" w:firstLine="141"/>
        <w:contextualSpacing/>
        <w:rPr>
          <w:rFonts w:cs="Arial"/>
          <w:color w:val="000000" w:themeColor="text1"/>
          <w:sz w:val="21"/>
          <w:szCs w:val="21"/>
        </w:rPr>
      </w:pPr>
      <w:bookmarkStart w:id="10" w:name="_heading=h.7b2bns7auw6j" w:colFirst="0" w:colLast="0"/>
      <w:bookmarkEnd w:id="10"/>
      <w:r w:rsidRPr="00CA7C54">
        <w:rPr>
          <w:rFonts w:cs="Arial"/>
          <w:color w:val="000000" w:themeColor="text1"/>
          <w:sz w:val="21"/>
          <w:szCs w:val="21"/>
        </w:rPr>
        <w:t>7.2.1Сховища та СПП із захисними властивостями сховищ</w:t>
      </w:r>
    </w:p>
    <w:p w14:paraId="3D71AA39" w14:textId="77777777" w:rsidR="003C4E04" w:rsidRPr="00CA7C54" w:rsidRDefault="001E748C" w:rsidP="006A40A9">
      <w:pPr>
        <w:spacing w:before="0" w:line="288" w:lineRule="auto"/>
        <w:ind w:firstLine="566"/>
        <w:contextualSpacing/>
        <w:rPr>
          <w:rFonts w:eastAsia="Times New Roman"/>
          <w:color w:val="000000" w:themeColor="text1"/>
          <w:sz w:val="21"/>
          <w:szCs w:val="21"/>
        </w:rPr>
      </w:pPr>
      <w:bookmarkStart w:id="11" w:name="_heading=h.1mrcu09" w:colFirst="0" w:colLast="0"/>
      <w:bookmarkEnd w:id="11"/>
      <w:r w:rsidRPr="00CA7C54">
        <w:rPr>
          <w:b/>
          <w:color w:val="000000" w:themeColor="text1"/>
          <w:sz w:val="21"/>
          <w:szCs w:val="21"/>
        </w:rPr>
        <w:t>7.2.1.1</w:t>
      </w:r>
      <w:r w:rsidRPr="00CA7C54">
        <w:rPr>
          <w:color w:val="000000" w:themeColor="text1"/>
          <w:sz w:val="21"/>
          <w:szCs w:val="21"/>
        </w:rPr>
        <w:t xml:space="preserve"> У сховищах та СПП із захисними властивостями сховищ слід передбачати основні та допоміжні приміщення. </w:t>
      </w:r>
    </w:p>
    <w:p w14:paraId="4C9C3113" w14:textId="77777777" w:rsidR="003C4E04" w:rsidRPr="00B271AD" w:rsidRDefault="001E748C" w:rsidP="006A40A9">
      <w:pPr>
        <w:spacing w:before="0" w:line="288" w:lineRule="auto"/>
        <w:ind w:firstLine="566"/>
        <w:contextualSpacing/>
        <w:rPr>
          <w:rFonts w:eastAsia="Times New Roman"/>
          <w:sz w:val="21"/>
          <w:szCs w:val="21"/>
        </w:rPr>
      </w:pPr>
      <w:r w:rsidRPr="00CA7C54">
        <w:rPr>
          <w:b/>
          <w:color w:val="000000" w:themeColor="text1"/>
          <w:sz w:val="21"/>
          <w:szCs w:val="21"/>
        </w:rPr>
        <w:t>7</w:t>
      </w:r>
      <w:r w:rsidRPr="00B271AD">
        <w:rPr>
          <w:b/>
          <w:sz w:val="21"/>
          <w:szCs w:val="21"/>
        </w:rPr>
        <w:t xml:space="preserve">.2.1.2 </w:t>
      </w:r>
      <w:r w:rsidRPr="00B271AD">
        <w:rPr>
          <w:sz w:val="21"/>
          <w:szCs w:val="21"/>
        </w:rPr>
        <w:t>Слід передбачати наступні основні приміщення у сховищах та СПП із захисними властивостями сховищ: </w:t>
      </w:r>
    </w:p>
    <w:p w14:paraId="1F137853"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основне приміщення для укриття;</w:t>
      </w:r>
    </w:p>
    <w:p w14:paraId="48FBDA80"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приміщення/зона санітарного посту;</w:t>
      </w:r>
    </w:p>
    <w:p w14:paraId="00FA2BE2" w14:textId="77777777" w:rsidR="003C4E04" w:rsidRPr="00B271AD" w:rsidRDefault="00A60480" w:rsidP="006A40A9">
      <w:pPr>
        <w:spacing w:before="0" w:line="288" w:lineRule="auto"/>
        <w:ind w:firstLine="566"/>
        <w:contextualSpacing/>
        <w:rPr>
          <w:rFonts w:eastAsia="Times New Roman"/>
          <w:sz w:val="21"/>
          <w:szCs w:val="21"/>
          <w:highlight w:val="white"/>
        </w:rPr>
      </w:pPr>
      <w:r w:rsidRPr="00B271AD">
        <w:rPr>
          <w:sz w:val="21"/>
          <w:szCs w:val="21"/>
          <w:highlight w:val="white"/>
        </w:rPr>
        <w:t xml:space="preserve">- </w:t>
      </w:r>
      <w:r w:rsidR="001E748C" w:rsidRPr="00B271AD">
        <w:rPr>
          <w:sz w:val="21"/>
          <w:szCs w:val="21"/>
          <w:highlight w:val="white"/>
        </w:rPr>
        <w:t>приміщення медичного пункту (для сховищ та СПП із захисними властивостями сховищ місткістю від 601 осіб);</w:t>
      </w:r>
    </w:p>
    <w:p w14:paraId="1872263D"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пункту керування (для сховищ та СПП із захисними властивостями сховищ ,які передбачаються для укриття працівників об’єктів суб’єктів господарювання, що віднесені до відповідних категорій цивільного захисту, атомних енергетичних об’єктів, ОПН, ХНО, органів місцевого самоврядування, виконавчої, судової та законодавчої влади, а також інших сховищ, що мають перебувати у постійній готовності відповідно до [1]  та для сховищ та СПП із захисними властивостями сховищ місткістю від 301 осіб).</w:t>
      </w:r>
    </w:p>
    <w:p w14:paraId="6E31C148" w14:textId="77777777" w:rsidR="003C4E04" w:rsidRPr="00B271AD" w:rsidRDefault="001E748C" w:rsidP="006A40A9">
      <w:pPr>
        <w:spacing w:before="0" w:line="288" w:lineRule="auto"/>
        <w:ind w:firstLine="566"/>
        <w:contextualSpacing/>
        <w:rPr>
          <w:rFonts w:eastAsia="Times New Roman"/>
          <w:sz w:val="21"/>
          <w:szCs w:val="21"/>
        </w:rPr>
      </w:pPr>
      <w:r w:rsidRPr="00B271AD">
        <w:rPr>
          <w:sz w:val="21"/>
          <w:szCs w:val="21"/>
        </w:rPr>
        <w:t>Дозволяється суміщати приміщення пункту керування та приміщення пожежного поста (приміщення чергового персоналу).</w:t>
      </w:r>
    </w:p>
    <w:p w14:paraId="05D0EBAC" w14:textId="77777777" w:rsidR="003C4E04" w:rsidRPr="00B271AD" w:rsidRDefault="001E748C" w:rsidP="006A40A9">
      <w:pPr>
        <w:spacing w:before="0" w:line="288" w:lineRule="auto"/>
        <w:ind w:firstLine="566"/>
        <w:contextualSpacing/>
        <w:rPr>
          <w:rFonts w:eastAsia="Times New Roman"/>
          <w:sz w:val="21"/>
          <w:szCs w:val="21"/>
        </w:rPr>
      </w:pPr>
      <w:r w:rsidRPr="00B271AD">
        <w:rPr>
          <w:sz w:val="21"/>
          <w:szCs w:val="21"/>
        </w:rPr>
        <w:t>У разі влаштування для укриття працівників одного об’єкта на одній території декількох сховищ та СПП із захисними властивостями сховищ, пункт керування допускається влаштовувати тільки у одній із них.</w:t>
      </w:r>
    </w:p>
    <w:p w14:paraId="3AEDCEC5" w14:textId="77777777" w:rsidR="003C4E04" w:rsidRPr="00B271AD" w:rsidRDefault="001E748C" w:rsidP="006A40A9">
      <w:pPr>
        <w:spacing w:before="0" w:line="288" w:lineRule="auto"/>
        <w:ind w:firstLine="566"/>
        <w:contextualSpacing/>
        <w:rPr>
          <w:rFonts w:eastAsia="Times New Roman"/>
          <w:sz w:val="21"/>
          <w:szCs w:val="21"/>
        </w:rPr>
      </w:pPr>
      <w:r w:rsidRPr="00B271AD">
        <w:rPr>
          <w:sz w:val="21"/>
          <w:szCs w:val="21"/>
        </w:rPr>
        <w:t>Рекомендується до складу основних приміщень сховищ та СПП із захисними властивостями сховищ включати:</w:t>
      </w:r>
    </w:p>
    <w:p w14:paraId="502238A0"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пункту керування, призначені для перебування осіб, відповідальних за обслуговування сховища та СПП із захисними властивостями сховищ (місткістю до 300 осіб);</w:t>
      </w:r>
    </w:p>
    <w:p w14:paraId="4BE342E4" w14:textId="77777777" w:rsidR="003C4E04" w:rsidRPr="00B271AD" w:rsidRDefault="00A60480" w:rsidP="006A40A9">
      <w:pPr>
        <w:spacing w:before="0" w:line="288" w:lineRule="auto"/>
        <w:ind w:firstLine="566"/>
        <w:contextualSpacing/>
        <w:rPr>
          <w:sz w:val="21"/>
          <w:szCs w:val="21"/>
          <w:highlight w:val="white"/>
        </w:rPr>
      </w:pPr>
      <w:r w:rsidRPr="00B271AD">
        <w:rPr>
          <w:sz w:val="21"/>
          <w:szCs w:val="21"/>
          <w:highlight w:val="white"/>
        </w:rPr>
        <w:t xml:space="preserve">- </w:t>
      </w:r>
      <w:r w:rsidR="001E748C" w:rsidRPr="00B271AD">
        <w:rPr>
          <w:sz w:val="21"/>
          <w:szCs w:val="21"/>
          <w:highlight w:val="white"/>
        </w:rPr>
        <w:t>приміщення медичного пункту (для сховищ та СПП із захисними властивостями сховищ місткістю до 600 осіб);</w:t>
      </w:r>
    </w:p>
    <w:p w14:paraId="688A0CD4"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дітей до 11 років (за необхідністю з батьками);</w:t>
      </w:r>
    </w:p>
    <w:p w14:paraId="131AFF5A"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годування та сповивання немовлят;</w:t>
      </w:r>
    </w:p>
    <w:p w14:paraId="0DC2ED79"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приміщення/зона для підігріву та прийняття їжі;</w:t>
      </w:r>
    </w:p>
    <w:p w14:paraId="0A1D0344" w14:textId="77777777" w:rsidR="003C4E04" w:rsidRPr="00B271AD" w:rsidRDefault="00A60480" w:rsidP="00030DC4">
      <w:pPr>
        <w:tabs>
          <w:tab w:val="left" w:pos="567"/>
        </w:tabs>
        <w:spacing w:before="0" w:line="288" w:lineRule="auto"/>
        <w:ind w:firstLine="566"/>
        <w:contextualSpacing/>
        <w:jc w:val="left"/>
        <w:rPr>
          <w:spacing w:val="4"/>
          <w:sz w:val="21"/>
          <w:szCs w:val="21"/>
        </w:rPr>
      </w:pPr>
      <w:r w:rsidRPr="00B271AD">
        <w:rPr>
          <w:sz w:val="21"/>
          <w:szCs w:val="21"/>
        </w:rPr>
        <w:t>-</w:t>
      </w:r>
      <w:r w:rsidR="001E748C" w:rsidRPr="00B271AD">
        <w:rPr>
          <w:spacing w:val="4"/>
          <w:sz w:val="21"/>
          <w:szCs w:val="21"/>
        </w:rPr>
        <w:t>приміщення для тимчасового перебування домашніх тварин (за необхідністю з господарями);</w:t>
      </w:r>
    </w:p>
    <w:p w14:paraId="1613060C" w14:textId="77777777" w:rsidR="003C4E04" w:rsidRPr="00B271AD" w:rsidRDefault="00A60480" w:rsidP="006A40A9">
      <w:pPr>
        <w:spacing w:before="0" w:line="288" w:lineRule="auto"/>
        <w:ind w:firstLine="566"/>
        <w:contextualSpacing/>
        <w:rPr>
          <w:sz w:val="21"/>
          <w:szCs w:val="21"/>
        </w:rPr>
      </w:pPr>
      <w:r w:rsidRPr="00B271AD">
        <w:rPr>
          <w:sz w:val="21"/>
          <w:szCs w:val="21"/>
        </w:rPr>
        <w:t xml:space="preserve">- </w:t>
      </w:r>
      <w:r w:rsidR="001E748C" w:rsidRPr="00B271AD">
        <w:rPr>
          <w:sz w:val="21"/>
          <w:szCs w:val="21"/>
        </w:rPr>
        <w:t>приміщення для зберігання продовольства (одне приміщення на кожні 600 осіб);</w:t>
      </w:r>
    </w:p>
    <w:p w14:paraId="72DBB2A1" w14:textId="77777777" w:rsidR="003C4E04" w:rsidRPr="00B271AD" w:rsidRDefault="00A60480" w:rsidP="00D906FB">
      <w:pPr>
        <w:spacing w:before="0" w:line="288" w:lineRule="auto"/>
        <w:contextualSpacing/>
        <w:rPr>
          <w:sz w:val="21"/>
          <w:szCs w:val="21"/>
        </w:rPr>
      </w:pPr>
      <w:r w:rsidRPr="00B271AD">
        <w:rPr>
          <w:sz w:val="21"/>
          <w:szCs w:val="21"/>
        </w:rPr>
        <w:t xml:space="preserve">- </w:t>
      </w:r>
      <w:r w:rsidR="001E748C" w:rsidRPr="00B271AD">
        <w:rPr>
          <w:sz w:val="21"/>
          <w:szCs w:val="21"/>
        </w:rPr>
        <w:t>приміщення іншого призначення, що забезпечують належні умови для перебування осіб, які підлягають укриттю протягом 48 годин.</w:t>
      </w:r>
    </w:p>
    <w:p w14:paraId="7160B422" w14:textId="77777777" w:rsidR="00D906FB" w:rsidRPr="00B271AD" w:rsidRDefault="00D906FB" w:rsidP="00D906FB">
      <w:pPr>
        <w:widowControl w:val="0"/>
        <w:autoSpaceDE w:val="0"/>
        <w:autoSpaceDN w:val="0"/>
        <w:spacing w:before="0" w:line="288" w:lineRule="auto"/>
        <w:ind w:right="-1" w:firstLine="709"/>
        <w:contextualSpacing/>
        <w:rPr>
          <w:rFonts w:eastAsia="Microsoft Sans Serif"/>
          <w:sz w:val="21"/>
          <w:szCs w:val="21"/>
        </w:rPr>
      </w:pPr>
      <w:r w:rsidRPr="00B271AD">
        <w:rPr>
          <w:rFonts w:eastAsia="Microsoft Sans Serif"/>
          <w:sz w:val="21"/>
          <w:szCs w:val="21"/>
        </w:rPr>
        <w:t>В основному приміщенні для укриття сховищ таСПП із захисними властивостями сховищ</w:t>
      </w:r>
      <w:r w:rsidR="00E1684E">
        <w:rPr>
          <w:rFonts w:eastAsia="Microsoft Sans Serif"/>
          <w:sz w:val="21"/>
          <w:szCs w:val="21"/>
        </w:rPr>
        <w:t xml:space="preserve"> </w:t>
      </w:r>
      <w:r w:rsidRPr="00B271AD">
        <w:rPr>
          <w:rFonts w:eastAsia="Microsoft Sans Serif"/>
          <w:w w:val="95"/>
          <w:sz w:val="21"/>
          <w:szCs w:val="21"/>
        </w:rPr>
        <w:t>громадських будівель (крім закладів освіти) та житлових будинків необхідно передбачати відокремлену</w:t>
      </w:r>
      <w:r w:rsidR="00E1684E">
        <w:rPr>
          <w:rFonts w:eastAsia="Microsoft Sans Serif"/>
          <w:w w:val="95"/>
          <w:sz w:val="21"/>
          <w:szCs w:val="21"/>
        </w:rPr>
        <w:t xml:space="preserve"> </w:t>
      </w:r>
      <w:r w:rsidRPr="00B271AD">
        <w:rPr>
          <w:rFonts w:eastAsia="Microsoft Sans Serif"/>
          <w:sz w:val="21"/>
          <w:szCs w:val="21"/>
        </w:rPr>
        <w:t>зону для осіб з інвалідністю (за необхідн</w:t>
      </w:r>
      <w:r w:rsidR="00691CB5">
        <w:rPr>
          <w:rFonts w:eastAsia="Microsoft Sans Serif"/>
          <w:sz w:val="21"/>
          <w:szCs w:val="21"/>
        </w:rPr>
        <w:t>і</w:t>
      </w:r>
      <w:r w:rsidRPr="00B271AD">
        <w:rPr>
          <w:rFonts w:eastAsia="Microsoft Sans Serif"/>
          <w:sz w:val="21"/>
          <w:szCs w:val="21"/>
        </w:rPr>
        <w:t>стю із супроводжуючими) із розрахунку 10% від загальної</w:t>
      </w:r>
      <w:r w:rsidR="00E1684E">
        <w:rPr>
          <w:rFonts w:eastAsia="Microsoft Sans Serif"/>
          <w:sz w:val="21"/>
          <w:szCs w:val="21"/>
        </w:rPr>
        <w:t xml:space="preserve"> </w:t>
      </w:r>
      <w:r w:rsidRPr="00B271AD">
        <w:rPr>
          <w:rFonts w:eastAsia="Microsoft Sans Serif"/>
          <w:sz w:val="21"/>
          <w:szCs w:val="21"/>
        </w:rPr>
        <w:t>місткості</w:t>
      </w:r>
      <w:r w:rsidR="00E1684E">
        <w:rPr>
          <w:rFonts w:eastAsia="Microsoft Sans Serif"/>
          <w:sz w:val="21"/>
          <w:szCs w:val="21"/>
        </w:rPr>
        <w:t xml:space="preserve"> </w:t>
      </w:r>
      <w:r w:rsidRPr="00B271AD">
        <w:rPr>
          <w:rFonts w:eastAsia="Microsoft Sans Serif"/>
          <w:sz w:val="21"/>
          <w:szCs w:val="21"/>
        </w:rPr>
        <w:t>захисної</w:t>
      </w:r>
      <w:r w:rsidR="00E1684E">
        <w:rPr>
          <w:rFonts w:eastAsia="Microsoft Sans Serif"/>
          <w:sz w:val="21"/>
          <w:szCs w:val="21"/>
        </w:rPr>
        <w:t xml:space="preserve"> </w:t>
      </w:r>
      <w:r w:rsidRPr="00B271AD">
        <w:rPr>
          <w:rFonts w:eastAsia="Microsoft Sans Serif"/>
          <w:sz w:val="21"/>
          <w:szCs w:val="21"/>
        </w:rPr>
        <w:t>споруди</w:t>
      </w:r>
      <w:r w:rsidR="00E1684E">
        <w:rPr>
          <w:rFonts w:eastAsia="Microsoft Sans Serif"/>
          <w:sz w:val="21"/>
          <w:szCs w:val="21"/>
        </w:rPr>
        <w:t xml:space="preserve"> </w:t>
      </w:r>
      <w:r w:rsidRPr="00B271AD">
        <w:rPr>
          <w:rFonts w:eastAsia="Microsoft Sans Serif"/>
          <w:sz w:val="21"/>
          <w:szCs w:val="21"/>
        </w:rPr>
        <w:t>або</w:t>
      </w:r>
      <w:r w:rsidR="00E1684E">
        <w:rPr>
          <w:rFonts w:eastAsia="Microsoft Sans Serif"/>
          <w:sz w:val="21"/>
          <w:szCs w:val="21"/>
        </w:rPr>
        <w:t xml:space="preserve"> </w:t>
      </w:r>
      <w:r w:rsidRPr="00B271AD">
        <w:rPr>
          <w:rFonts w:eastAsia="Microsoft Sans Serif"/>
          <w:sz w:val="21"/>
          <w:szCs w:val="21"/>
        </w:rPr>
        <w:t xml:space="preserve">СПП. </w:t>
      </w:r>
    </w:p>
    <w:p w14:paraId="25EB810D" w14:textId="77777777" w:rsidR="00D906FB" w:rsidRPr="00B271AD" w:rsidRDefault="00D906FB" w:rsidP="00D906FB">
      <w:pPr>
        <w:widowControl w:val="0"/>
        <w:autoSpaceDE w:val="0"/>
        <w:autoSpaceDN w:val="0"/>
        <w:spacing w:before="0" w:line="288" w:lineRule="auto"/>
        <w:ind w:right="-1" w:firstLine="789"/>
        <w:contextualSpacing/>
        <w:rPr>
          <w:rFonts w:eastAsia="Microsoft Sans Serif"/>
          <w:sz w:val="21"/>
          <w:szCs w:val="21"/>
        </w:rPr>
      </w:pPr>
      <w:r w:rsidRPr="00B271AD">
        <w:rPr>
          <w:rFonts w:eastAsia="Microsoft Sans Serif"/>
          <w:sz w:val="21"/>
          <w:szCs w:val="21"/>
        </w:rPr>
        <w:t>Допускається влаштування окремого приміщення для осіб з інвалідністю замість відокремленої</w:t>
      </w:r>
      <w:r w:rsidR="00E1684E">
        <w:rPr>
          <w:rFonts w:eastAsia="Microsoft Sans Serif"/>
          <w:sz w:val="21"/>
          <w:szCs w:val="21"/>
        </w:rPr>
        <w:t xml:space="preserve"> </w:t>
      </w:r>
      <w:r w:rsidRPr="00B271AD">
        <w:rPr>
          <w:rFonts w:eastAsia="Microsoft Sans Serif"/>
          <w:sz w:val="21"/>
          <w:szCs w:val="21"/>
        </w:rPr>
        <w:t xml:space="preserve">зони. </w:t>
      </w:r>
    </w:p>
    <w:p w14:paraId="56C29D92" w14:textId="77777777" w:rsidR="00D906FB" w:rsidRPr="00B271AD" w:rsidRDefault="00D906FB" w:rsidP="00D906FB">
      <w:pPr>
        <w:widowControl w:val="0"/>
        <w:autoSpaceDE w:val="0"/>
        <w:autoSpaceDN w:val="0"/>
        <w:spacing w:before="0" w:line="288" w:lineRule="auto"/>
        <w:ind w:right="-1" w:firstLine="789"/>
        <w:contextualSpacing/>
        <w:rPr>
          <w:rFonts w:eastAsia="Microsoft Sans Serif"/>
          <w:sz w:val="21"/>
          <w:szCs w:val="21"/>
        </w:rPr>
      </w:pPr>
      <w:r w:rsidRPr="00B271AD">
        <w:rPr>
          <w:rFonts w:eastAsia="Microsoft Sans Serif"/>
          <w:sz w:val="21"/>
          <w:szCs w:val="21"/>
        </w:rPr>
        <w:t>Приміщення або відокремлені зони для осіб з інвалідністю мають бути розміщені на мінімально</w:t>
      </w:r>
      <w:r w:rsidR="00E1684E">
        <w:rPr>
          <w:rFonts w:eastAsia="Microsoft Sans Serif"/>
          <w:sz w:val="21"/>
          <w:szCs w:val="21"/>
        </w:rPr>
        <w:t xml:space="preserve"> </w:t>
      </w:r>
      <w:r w:rsidRPr="00B271AD">
        <w:rPr>
          <w:rFonts w:eastAsia="Microsoft Sans Serif"/>
          <w:sz w:val="21"/>
          <w:szCs w:val="21"/>
        </w:rPr>
        <w:t>можливих відстанях (але не більше ніж 50 м з урахуванням шляху руху) до універсальних санітарно-гігієнічних</w:t>
      </w:r>
      <w:r w:rsidR="00E1684E">
        <w:rPr>
          <w:rFonts w:eastAsia="Microsoft Sans Serif"/>
          <w:sz w:val="21"/>
          <w:szCs w:val="21"/>
        </w:rPr>
        <w:t xml:space="preserve"> </w:t>
      </w:r>
      <w:r w:rsidRPr="00B271AD">
        <w:rPr>
          <w:rFonts w:eastAsia="Microsoft Sans Serif"/>
          <w:sz w:val="21"/>
          <w:szCs w:val="21"/>
        </w:rPr>
        <w:t>приміщень та</w:t>
      </w:r>
      <w:r w:rsidR="00E1684E">
        <w:rPr>
          <w:rFonts w:eastAsia="Microsoft Sans Serif"/>
          <w:sz w:val="21"/>
          <w:szCs w:val="21"/>
        </w:rPr>
        <w:t xml:space="preserve"> </w:t>
      </w:r>
      <w:r w:rsidRPr="00B271AD">
        <w:rPr>
          <w:rFonts w:eastAsia="Microsoft Sans Serif"/>
          <w:sz w:val="21"/>
          <w:szCs w:val="21"/>
        </w:rPr>
        <w:t>позначені відповідними</w:t>
      </w:r>
      <w:r w:rsidR="00E1684E">
        <w:rPr>
          <w:rFonts w:eastAsia="Microsoft Sans Serif"/>
          <w:sz w:val="21"/>
          <w:szCs w:val="21"/>
        </w:rPr>
        <w:t xml:space="preserve"> </w:t>
      </w:r>
      <w:r w:rsidRPr="00B271AD">
        <w:rPr>
          <w:rFonts w:eastAsia="Microsoft Sans Serif"/>
          <w:sz w:val="21"/>
          <w:szCs w:val="21"/>
        </w:rPr>
        <w:t>інформаційним</w:t>
      </w:r>
      <w:r w:rsidR="00024291">
        <w:rPr>
          <w:rFonts w:eastAsia="Microsoft Sans Serif"/>
          <w:sz w:val="21"/>
          <w:szCs w:val="21"/>
        </w:rPr>
        <w:t>и</w:t>
      </w:r>
      <w:r w:rsidRPr="00B271AD">
        <w:rPr>
          <w:rFonts w:eastAsia="Microsoft Sans Serif"/>
          <w:sz w:val="21"/>
          <w:szCs w:val="21"/>
        </w:rPr>
        <w:t xml:space="preserve"> вказівниками.</w:t>
      </w:r>
    </w:p>
    <w:p w14:paraId="0323DFAE" w14:textId="77777777" w:rsidR="00030DC4" w:rsidRPr="00F6335A" w:rsidRDefault="00030DC4" w:rsidP="00D906FB">
      <w:pPr>
        <w:widowControl w:val="0"/>
        <w:autoSpaceDE w:val="0"/>
        <w:autoSpaceDN w:val="0"/>
        <w:spacing w:before="0" w:line="288" w:lineRule="auto"/>
        <w:ind w:right="-1" w:firstLine="789"/>
        <w:contextualSpacing/>
        <w:rPr>
          <w:rFonts w:eastAsia="Microsoft Sans Serif"/>
          <w:b/>
          <w:bCs/>
          <w:i/>
          <w:iCs/>
          <w:color w:val="00B050"/>
          <w:sz w:val="21"/>
          <w:szCs w:val="21"/>
        </w:rPr>
      </w:pPr>
      <w:r w:rsidRPr="00F6335A">
        <w:rPr>
          <w:rFonts w:eastAsia="Microsoft Sans Serif"/>
          <w:b/>
          <w:bCs/>
          <w:i/>
          <w:iCs/>
          <w:color w:val="00B050"/>
          <w:sz w:val="21"/>
          <w:szCs w:val="21"/>
        </w:rPr>
        <w:t>(Пункт 7.2.1.2 змінено, Зміна № 1)</w:t>
      </w:r>
    </w:p>
    <w:p w14:paraId="1248D06F" w14:textId="77777777" w:rsidR="003C4E04" w:rsidRPr="00B271AD" w:rsidRDefault="001E748C" w:rsidP="00EB41DA">
      <w:pPr>
        <w:spacing w:before="0" w:line="288" w:lineRule="auto"/>
        <w:ind w:firstLine="709"/>
        <w:contextualSpacing/>
        <w:rPr>
          <w:rFonts w:eastAsia="Times New Roman"/>
          <w:sz w:val="21"/>
          <w:szCs w:val="21"/>
        </w:rPr>
      </w:pPr>
      <w:r w:rsidRPr="00B271AD">
        <w:rPr>
          <w:b/>
          <w:sz w:val="21"/>
          <w:szCs w:val="21"/>
        </w:rPr>
        <w:t xml:space="preserve">7.2.1.3 </w:t>
      </w:r>
      <w:r w:rsidRPr="00B271AD">
        <w:rPr>
          <w:sz w:val="21"/>
          <w:szCs w:val="21"/>
        </w:rPr>
        <w:t>Слід передбачати наступні допоміжні приміщення для сховищ та СПП із захисними властивостями сховищ:</w:t>
      </w:r>
    </w:p>
    <w:p w14:paraId="0E70EAFA"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для вентиляційного та фільтровентиляційного обладнання;</w:t>
      </w:r>
    </w:p>
    <w:p w14:paraId="1CF3293A" w14:textId="77777777" w:rsidR="003C4E04" w:rsidRPr="00B271AD" w:rsidRDefault="00A60480" w:rsidP="00036FF0">
      <w:pPr>
        <w:spacing w:before="0"/>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для балонів (із киснем або стиснутим повітрям тощо для сховищ та СПП із захисним властивостями сховищ із третім режимом вентиляції (регенерації повітря);</w:t>
      </w:r>
    </w:p>
    <w:p w14:paraId="37815696" w14:textId="77777777" w:rsidR="003C4E04" w:rsidRPr="00B271AD" w:rsidRDefault="00A60480" w:rsidP="00036FF0">
      <w:pPr>
        <w:spacing w:before="0"/>
        <w:ind w:firstLine="566"/>
        <w:contextualSpacing/>
        <w:rPr>
          <w:rFonts w:eastAsia="Times New Roman"/>
          <w:sz w:val="21"/>
          <w:szCs w:val="21"/>
        </w:rPr>
      </w:pPr>
      <w:r w:rsidRPr="00B271AD">
        <w:rPr>
          <w:sz w:val="21"/>
          <w:szCs w:val="21"/>
        </w:rPr>
        <w:lastRenderedPageBreak/>
        <w:t xml:space="preserve">- </w:t>
      </w:r>
      <w:r w:rsidR="001E748C" w:rsidRPr="00B271AD">
        <w:rPr>
          <w:sz w:val="21"/>
          <w:szCs w:val="21"/>
        </w:rPr>
        <w:t>приміщення  для аварійних джерел живлення (ДЕС тощо); </w:t>
      </w:r>
    </w:p>
    <w:p w14:paraId="77E37B07"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теплового пункту/бойлерна;</w:t>
      </w:r>
    </w:p>
    <w:p w14:paraId="6CF3A0C5"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розміщення електричного обладнання, у тому числі автономних джерел енергозабезпечення (акумуляторів тощо);</w:t>
      </w:r>
    </w:p>
    <w:p w14:paraId="596B8EB1"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дренажних станцій перекачки;</w:t>
      </w:r>
    </w:p>
    <w:p w14:paraId="0E4DF026"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санітарно-гігієнічні приміщення;</w:t>
      </w:r>
    </w:p>
    <w:p w14:paraId="5F029F18" w14:textId="77777777" w:rsidR="003C4E04" w:rsidRPr="00CA7C54" w:rsidRDefault="00A60480" w:rsidP="00A60480">
      <w:pPr>
        <w:spacing w:before="0"/>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складське приміщення для зберігання інструменту, засобів індивідуального захисту, приладів для укомплектування захисної споруди цивільного захисту (для СПП) та формувань з їх обслуговування згідно з вимогами, встановленими [11] (при новому будівництві обов’язкове, а при реконструкції - рекомендоване);</w:t>
      </w:r>
    </w:p>
    <w:p w14:paraId="029E4BE4"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роздягальні та приміщення/зона для зберігання брудного одягу (дозволяється об'єднувати);</w:t>
      </w:r>
    </w:p>
    <w:p w14:paraId="0DD21A16"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приміщення/зона для зберігання води;</w:t>
      </w:r>
    </w:p>
    <w:p w14:paraId="503F7092" w14:textId="77777777" w:rsidR="003C4E04" w:rsidRPr="00CA7C54" w:rsidRDefault="00A60480" w:rsidP="00A60480">
      <w:pPr>
        <w:spacing w:before="0"/>
        <w:ind w:firstLine="566"/>
        <w:contextualSpacing/>
        <w:jc w:val="left"/>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приміщення для зберігання відходів (при новому будівництві обов’язкове, а при</w:t>
      </w:r>
      <w:r w:rsidR="001E748C" w:rsidRPr="00CA7C54">
        <w:rPr>
          <w:color w:val="000000" w:themeColor="text1"/>
          <w:sz w:val="21"/>
          <w:szCs w:val="21"/>
          <w:highlight w:val="white"/>
        </w:rPr>
        <w:br/>
        <w:t>реконструкції – рекомендоване);</w:t>
      </w:r>
    </w:p>
    <w:p w14:paraId="2CCE72D2" w14:textId="77777777" w:rsidR="003C4E04" w:rsidRPr="00CA7C54" w:rsidRDefault="00A60480" w:rsidP="00A60480">
      <w:pPr>
        <w:spacing w:before="0"/>
        <w:ind w:firstLine="566"/>
        <w:contextualSpacing/>
        <w:jc w:val="left"/>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зона для засобів протипожежного захисту (при новому будівництві обов’язкове, а при реконструкції – рекомендоване);</w:t>
      </w:r>
    </w:p>
    <w:p w14:paraId="0717BDB5" w14:textId="77777777" w:rsidR="003C4E04" w:rsidRPr="00CA7C54" w:rsidRDefault="00A60480" w:rsidP="00036FF0">
      <w:pPr>
        <w:spacing w:before="0"/>
        <w:ind w:firstLine="566"/>
        <w:contextualSpacing/>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тамбури і тамбур-шлюзи;</w:t>
      </w:r>
    </w:p>
    <w:p w14:paraId="34D56CF2" w14:textId="77777777" w:rsidR="003C4E04" w:rsidRPr="00CA7C54" w:rsidRDefault="00A60480" w:rsidP="00036FF0">
      <w:pPr>
        <w:spacing w:before="0"/>
        <w:ind w:firstLine="566"/>
        <w:contextualSpacing/>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приміщення з обладнанням для підтримання нормативної температури їжі, питного режиму та миття посуду – для закладів дошкільної освіти та для учнів 1-2 класів закладів загальної середньої освіти (при новому будівництві обов’язкове, а при реконструкції – рекомендоване);</w:t>
      </w:r>
    </w:p>
    <w:p w14:paraId="7AC14F7C" w14:textId="77777777" w:rsidR="003C4E04" w:rsidRPr="00CA7C54" w:rsidRDefault="00A60480" w:rsidP="00036FF0">
      <w:pPr>
        <w:spacing w:before="0"/>
        <w:ind w:firstLine="566"/>
        <w:contextualSpacing/>
        <w:rPr>
          <w:rFonts w:eastAsia="Times New Roman"/>
          <w:color w:val="000000" w:themeColor="text1"/>
          <w:sz w:val="21"/>
          <w:szCs w:val="21"/>
          <w:highlight w:val="white"/>
        </w:rPr>
      </w:pPr>
      <w:r>
        <w:rPr>
          <w:color w:val="000000" w:themeColor="text1"/>
          <w:sz w:val="21"/>
          <w:szCs w:val="21"/>
        </w:rPr>
        <w:t xml:space="preserve">- </w:t>
      </w:r>
      <w:r w:rsidR="001E748C" w:rsidRPr="00CA7C54">
        <w:rPr>
          <w:color w:val="000000" w:themeColor="text1"/>
          <w:sz w:val="21"/>
          <w:szCs w:val="21"/>
        </w:rPr>
        <w:t>приміщення буфету з обладнанням для підтримання нормативної температури їжі, питного режиму – для закладів загальної се</w:t>
      </w:r>
      <w:r w:rsidR="001E748C" w:rsidRPr="00CA7C54">
        <w:rPr>
          <w:color w:val="000000" w:themeColor="text1"/>
          <w:sz w:val="21"/>
          <w:szCs w:val="21"/>
          <w:highlight w:val="white"/>
        </w:rPr>
        <w:t>редньої, вищої, фахової передвищої, професійної (професійно-технічної), післядипломної  та позашкільної освіти (при новому будівництві обов’язкове, а при реконструкції – рекомендоване);</w:t>
      </w:r>
    </w:p>
    <w:p w14:paraId="65134480" w14:textId="77777777" w:rsidR="003C4E04" w:rsidRPr="00CA7C54" w:rsidRDefault="00A60480" w:rsidP="00A60480">
      <w:pPr>
        <w:spacing w:before="0"/>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дозиметричного контролю – для сховищ для АЕС, об’єктів в зоні спостереження АЕС; </w:t>
      </w:r>
    </w:p>
    <w:p w14:paraId="2F37D777"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роздягальня та приміщення чистого одягу – для сховищ для АЕС, об’єктів в зоні спостереження АЕС;</w:t>
      </w:r>
    </w:p>
    <w:p w14:paraId="0C51B877"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душові – для сховищ для АЕС, об’єктів в зоні спостереження АЕС.</w:t>
      </w:r>
    </w:p>
    <w:p w14:paraId="361E649A"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color w:val="000000" w:themeColor="text1"/>
          <w:sz w:val="21"/>
          <w:szCs w:val="21"/>
        </w:rPr>
        <w:t>Дозволяється об’єднувати приміщення з обладнанням для підтримання нормативної температури їжі, питного режиму із буфетом та замість приміщень організовувати зони, об’єднувати інші зони та приміщення, за умов виконання вимог будівельних норм, які регламентують вимоги зазначених приміщень, санітарних норм і правил.</w:t>
      </w:r>
    </w:p>
    <w:p w14:paraId="47064AB3"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b/>
          <w:color w:val="000000" w:themeColor="text1"/>
          <w:sz w:val="21"/>
          <w:szCs w:val="21"/>
        </w:rPr>
        <w:t xml:space="preserve">7.2.1.4 </w:t>
      </w:r>
      <w:r w:rsidRPr="00CA7C54">
        <w:rPr>
          <w:color w:val="000000" w:themeColor="text1"/>
          <w:sz w:val="21"/>
          <w:szCs w:val="21"/>
        </w:rPr>
        <w:t>Для сховищ та СПП із захисними властивостями сховищ місткістю до 100 осіб призначених для укриття працівників (персоналу) суб’єктів господарювання, допускається передбачення мінімальної кількості основних та допоміжних приміщень, що забезпечують їх функціонування за призначенням. </w:t>
      </w:r>
    </w:p>
    <w:p w14:paraId="576C9E4D"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color w:val="000000" w:themeColor="text1"/>
          <w:sz w:val="21"/>
          <w:szCs w:val="21"/>
        </w:rPr>
        <w:t>До таких приміщень належать: </w:t>
      </w:r>
    </w:p>
    <w:p w14:paraId="7D01D1AD" w14:textId="77777777" w:rsidR="003C4E04" w:rsidRPr="00CA7C54" w:rsidRDefault="00A60480" w:rsidP="00A60480">
      <w:pPr>
        <w:spacing w:before="0"/>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основне приміщення для укриття;</w:t>
      </w:r>
    </w:p>
    <w:p w14:paraId="49D5D4A8"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встановлення фільтровентиляційного та вентиляційного обладнання, засобів регенерації повітря;</w:t>
      </w:r>
    </w:p>
    <w:p w14:paraId="2B4BFFC8"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тамбур-шлюзи, тамбури;</w:t>
      </w:r>
    </w:p>
    <w:p w14:paraId="1DA071D4"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зберігання забрудненого одягу;</w:t>
      </w:r>
    </w:p>
    <w:p w14:paraId="2F3B8126" w14:textId="77777777" w:rsidR="003C4E04" w:rsidRPr="00CA7C54" w:rsidRDefault="00A60480" w:rsidP="00A60480">
      <w:pPr>
        <w:spacing w:before="0"/>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розміщення резервних (автономних) джерел електропостачання (акумуляторних батарей, ДЕС) та апаратів керування внутрішніми електричними мережами та електрообладнанням;</w:t>
      </w:r>
    </w:p>
    <w:p w14:paraId="18D64BF3" w14:textId="77777777" w:rsidR="003C4E04" w:rsidRPr="00CA7C54" w:rsidRDefault="00A60480" w:rsidP="006A40A9">
      <w:pP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універсальне санітарно-гігієнічне приміщення;</w:t>
      </w:r>
    </w:p>
    <w:p w14:paraId="702C6524" w14:textId="77777777" w:rsidR="003C4E04" w:rsidRPr="00CA7C54" w:rsidRDefault="00A60480" w:rsidP="006A40A9">
      <w:pP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зберігання запасу питної води;</w:t>
      </w:r>
    </w:p>
    <w:p w14:paraId="72311B4C" w14:textId="77777777" w:rsidR="003C4E04" w:rsidRPr="00CA7C54" w:rsidRDefault="00A60480" w:rsidP="006A40A9">
      <w:pP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медичний пост.</w:t>
      </w:r>
    </w:p>
    <w:p w14:paraId="60F13150" w14:textId="77777777" w:rsidR="003C4E04" w:rsidRPr="00CA7C54" w:rsidRDefault="001E748C" w:rsidP="006A40A9">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Допускається в основному приміщенні для укриття замість вище перелічених приміщень передбачати зони для розміщення:</w:t>
      </w:r>
    </w:p>
    <w:p w14:paraId="1FFDA9E6" w14:textId="77777777" w:rsidR="003C4E04" w:rsidRPr="00CA7C54" w:rsidRDefault="00A60480" w:rsidP="00A60480">
      <w:pPr>
        <w:spacing w:before="0" w:line="288" w:lineRule="auto"/>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медичного посту</w:t>
      </w:r>
      <w:r w:rsidR="00036FF0" w:rsidRPr="00CA7C54">
        <w:rPr>
          <w:color w:val="000000" w:themeColor="text1"/>
          <w:sz w:val="21"/>
          <w:szCs w:val="21"/>
        </w:rPr>
        <w:t>;</w:t>
      </w:r>
    </w:p>
    <w:p w14:paraId="616B9C3E" w14:textId="77777777" w:rsidR="003C4E04" w:rsidRPr="00A60480" w:rsidRDefault="00A60480" w:rsidP="006A40A9">
      <w:pPr>
        <w:spacing w:before="0" w:line="288" w:lineRule="auto"/>
        <w:ind w:firstLine="566"/>
        <w:contextualSpacing/>
        <w:rPr>
          <w:rFonts w:eastAsia="Times New Roman"/>
          <w:color w:val="000000" w:themeColor="text1"/>
          <w:spacing w:val="-8"/>
          <w:sz w:val="21"/>
          <w:szCs w:val="21"/>
        </w:rPr>
      </w:pPr>
      <w:r>
        <w:rPr>
          <w:color w:val="000000" w:themeColor="text1"/>
          <w:spacing w:val="-6"/>
          <w:sz w:val="21"/>
          <w:szCs w:val="21"/>
        </w:rPr>
        <w:t xml:space="preserve">- </w:t>
      </w:r>
      <w:r w:rsidR="001E748C" w:rsidRPr="00A60480">
        <w:rPr>
          <w:color w:val="000000" w:themeColor="text1"/>
          <w:spacing w:val="-8"/>
          <w:sz w:val="21"/>
          <w:szCs w:val="21"/>
        </w:rPr>
        <w:t>вентиляційного та фільтровентиляційного обладнання (у разі обладнання його глушниками звуку);</w:t>
      </w:r>
    </w:p>
    <w:p w14:paraId="7855DF7F" w14:textId="77777777" w:rsidR="00D2056C" w:rsidRPr="00CA7C54" w:rsidRDefault="00A60480" w:rsidP="006A40A9">
      <w:pPr>
        <w:spacing w:before="0" w:line="288" w:lineRule="auto"/>
        <w:ind w:firstLine="566"/>
        <w:contextualSpacing/>
        <w:rPr>
          <w:color w:val="000000" w:themeColor="text1"/>
          <w:sz w:val="21"/>
          <w:szCs w:val="21"/>
        </w:rPr>
      </w:pPr>
      <w:r>
        <w:rPr>
          <w:color w:val="000000" w:themeColor="text1"/>
          <w:sz w:val="21"/>
          <w:szCs w:val="21"/>
        </w:rPr>
        <w:lastRenderedPageBreak/>
        <w:t xml:space="preserve">- </w:t>
      </w:r>
      <w:r w:rsidR="001E748C" w:rsidRPr="00CA7C54">
        <w:rPr>
          <w:color w:val="000000" w:themeColor="text1"/>
          <w:sz w:val="21"/>
          <w:szCs w:val="21"/>
        </w:rPr>
        <w:t>для підігріву та прийняття їжі;</w:t>
      </w:r>
    </w:p>
    <w:p w14:paraId="116BF756" w14:textId="77777777" w:rsidR="003C4E04" w:rsidRPr="00CA7C54" w:rsidRDefault="00A60480" w:rsidP="003F519E">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теплового пункту (розміщення приладів опалення);</w:t>
      </w:r>
    </w:p>
    <w:p w14:paraId="75FC5CCE" w14:textId="77777777" w:rsidR="003C4E04" w:rsidRPr="00CA7C54" w:rsidRDefault="00A60480" w:rsidP="003F519E">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зберігання продовольства;</w:t>
      </w:r>
    </w:p>
    <w:p w14:paraId="6D813E5F" w14:textId="77777777" w:rsidR="003C4E04" w:rsidRPr="00CA7C54" w:rsidRDefault="00A60480" w:rsidP="003F519E">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зберігання запасів води (проточні та непроточні баки для води);</w:t>
      </w:r>
    </w:p>
    <w:p w14:paraId="1242C650" w14:textId="77777777" w:rsidR="003C4E04" w:rsidRPr="00CA7C54" w:rsidRDefault="00A60480" w:rsidP="003F519E">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ємностей з питною водою з розрахунку 2л/доба на особу;</w:t>
      </w:r>
    </w:p>
    <w:p w14:paraId="26BEB205" w14:textId="0B930A86" w:rsidR="003C4E04" w:rsidRPr="00CA7C54" w:rsidRDefault="00134039" w:rsidP="00134039">
      <w:pPr>
        <w:spacing w:before="0"/>
        <w:contextualSpacing/>
        <w:rPr>
          <w:rFonts w:eastAsia="Times New Roman"/>
          <w:color w:val="000000" w:themeColor="text1"/>
          <w:sz w:val="21"/>
          <w:szCs w:val="21"/>
        </w:rPr>
      </w:pPr>
      <w:r>
        <w:rPr>
          <w:color w:val="000000" w:themeColor="text1"/>
          <w:sz w:val="21"/>
          <w:szCs w:val="21"/>
        </w:rPr>
        <w:t>-</w:t>
      </w:r>
      <w:r w:rsidR="001E748C" w:rsidRPr="00CA7C54">
        <w:rPr>
          <w:color w:val="000000" w:themeColor="text1"/>
          <w:sz w:val="21"/>
          <w:szCs w:val="21"/>
        </w:rPr>
        <w:t>ємностей з водою для технічних потреб з розрахунку 4л/доба на особу (за умови під’єднання таких ємностей до санітарних приладів).</w:t>
      </w:r>
    </w:p>
    <w:p w14:paraId="7CC0442D" w14:textId="77777777" w:rsidR="003C4E04" w:rsidRPr="00CA7C54" w:rsidRDefault="001E748C" w:rsidP="003F519E">
      <w:pPr>
        <w:spacing w:before="0"/>
        <w:ind w:firstLine="566"/>
        <w:contextualSpacing/>
        <w:rPr>
          <w:rFonts w:eastAsia="Times New Roman"/>
          <w:color w:val="000000" w:themeColor="text1"/>
          <w:sz w:val="21"/>
          <w:szCs w:val="21"/>
        </w:rPr>
      </w:pPr>
      <w:r w:rsidRPr="00CA7C54">
        <w:rPr>
          <w:color w:val="000000" w:themeColor="text1"/>
          <w:sz w:val="21"/>
          <w:szCs w:val="21"/>
        </w:rPr>
        <w:t>Площа підлоги основного приміщення укриття, яку займає технологічне та інше обладнання, перелічені вище зони для медичного посту, теплового пункту тощо  не враховується під час розрахунку місткості сховища та СПП із захисними властивостями сховища.</w:t>
      </w:r>
    </w:p>
    <w:p w14:paraId="770474CB" w14:textId="77777777" w:rsidR="003C4E04" w:rsidRPr="00CA7C54" w:rsidRDefault="001E748C" w:rsidP="003F519E">
      <w:pPr>
        <w:spacing w:before="0"/>
        <w:ind w:firstLine="566"/>
        <w:contextualSpacing/>
        <w:rPr>
          <w:rFonts w:eastAsia="Times New Roman"/>
          <w:color w:val="000000" w:themeColor="text1"/>
          <w:sz w:val="21"/>
          <w:szCs w:val="21"/>
        </w:rPr>
      </w:pPr>
      <w:r w:rsidRPr="00CA7C54">
        <w:rPr>
          <w:color w:val="000000" w:themeColor="text1"/>
          <w:sz w:val="21"/>
          <w:szCs w:val="21"/>
        </w:rPr>
        <w:t>Місця для сидіння та лежання в сховища та СПП із захисними властивостями сховищ місткістю до 100 осіб можуть бути відкидними, що закріплені по периметру стін основного приміщення для укриття.</w:t>
      </w:r>
    </w:p>
    <w:p w14:paraId="01019918" w14:textId="77777777" w:rsidR="003C4E04" w:rsidRPr="00CA7C54" w:rsidRDefault="001E748C" w:rsidP="003F519E">
      <w:pPr>
        <w:spacing w:before="0"/>
        <w:ind w:firstLine="566"/>
        <w:contextualSpacing/>
        <w:rPr>
          <w:rFonts w:eastAsia="Times New Roman"/>
          <w:color w:val="000000" w:themeColor="text1"/>
          <w:sz w:val="21"/>
          <w:szCs w:val="21"/>
        </w:rPr>
      </w:pPr>
      <w:r w:rsidRPr="00CA7C54">
        <w:rPr>
          <w:color w:val="000000" w:themeColor="text1"/>
          <w:sz w:val="21"/>
          <w:szCs w:val="21"/>
        </w:rPr>
        <w:t>Окрім того, місця для сидіння можуть бути оснащені нішами для зберігання майна та інвентаря таких споруд.</w:t>
      </w:r>
    </w:p>
    <w:p w14:paraId="355ADF3F" w14:textId="77777777" w:rsidR="003C4E04" w:rsidRPr="00CA7C54" w:rsidRDefault="001E748C" w:rsidP="003F519E">
      <w:pPr>
        <w:spacing w:before="0"/>
        <w:ind w:firstLine="566"/>
        <w:contextualSpacing/>
        <w:rPr>
          <w:rFonts w:eastAsia="Times New Roman"/>
          <w:color w:val="000000" w:themeColor="text1"/>
          <w:sz w:val="21"/>
          <w:szCs w:val="21"/>
        </w:rPr>
      </w:pPr>
      <w:r w:rsidRPr="00CA7C54">
        <w:rPr>
          <w:b/>
          <w:color w:val="000000" w:themeColor="text1"/>
          <w:sz w:val="21"/>
          <w:szCs w:val="21"/>
        </w:rPr>
        <w:t>7.2.1.5</w:t>
      </w:r>
      <w:r w:rsidRPr="00CA7C54">
        <w:rPr>
          <w:color w:val="000000" w:themeColor="text1"/>
          <w:sz w:val="21"/>
          <w:szCs w:val="21"/>
        </w:rPr>
        <w:t xml:space="preserve"> Допускається не передбачати фільтровентиляційне приміщення і розміщувати фільтровентиляційне обладнання в основному приміщенні для укриття у сховищах та СПП із захисними властивостями сховищ місткістю менше ніж 150 осіб. У такому разі використовуються вентилятори, що обладнано глушниками звуку.</w:t>
      </w:r>
    </w:p>
    <w:p w14:paraId="7A335032"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b/>
          <w:color w:val="000000" w:themeColor="text1"/>
          <w:sz w:val="21"/>
          <w:szCs w:val="21"/>
        </w:rPr>
        <w:t>7.2.1.6</w:t>
      </w:r>
      <w:r w:rsidRPr="00CA7C54">
        <w:rPr>
          <w:color w:val="000000" w:themeColor="text1"/>
          <w:sz w:val="21"/>
          <w:szCs w:val="21"/>
        </w:rPr>
        <w:t xml:space="preserve"> Санітарно-гігієнічні приміщення сховищ та СПП із захисними властивостями сховищ місткістю 20 осіб і менше дозволяється обладнувати біотуалетами та рукомийниками, що під’єднані до ємностей з водою для технічних потреб.</w:t>
      </w:r>
    </w:p>
    <w:p w14:paraId="1D98917A"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color w:val="000000" w:themeColor="text1"/>
          <w:sz w:val="21"/>
          <w:szCs w:val="21"/>
        </w:rPr>
        <w:t>Об’єм ємності резервуар</w:t>
      </w:r>
      <w:r w:rsidR="00293EEA" w:rsidRPr="00CA7C54">
        <w:rPr>
          <w:color w:val="000000" w:themeColor="text1"/>
          <w:sz w:val="21"/>
          <w:szCs w:val="21"/>
        </w:rPr>
        <w:t>а</w:t>
      </w:r>
      <w:r w:rsidRPr="00CA7C54">
        <w:rPr>
          <w:color w:val="000000" w:themeColor="text1"/>
          <w:sz w:val="21"/>
          <w:szCs w:val="21"/>
        </w:rPr>
        <w:t xml:space="preserve"> для збору стічних вод або біотуалет</w:t>
      </w:r>
      <w:r w:rsidR="003F519E" w:rsidRPr="00CA7C54">
        <w:rPr>
          <w:color w:val="000000" w:themeColor="text1"/>
          <w:sz w:val="21"/>
          <w:szCs w:val="21"/>
        </w:rPr>
        <w:t>а</w:t>
      </w:r>
      <w:r w:rsidRPr="00CA7C54">
        <w:rPr>
          <w:color w:val="000000" w:themeColor="text1"/>
          <w:sz w:val="21"/>
          <w:szCs w:val="21"/>
        </w:rPr>
        <w:t xml:space="preserve"> повинен становити не менше ніж 6л/добу на особу. </w:t>
      </w:r>
    </w:p>
    <w:p w14:paraId="0111C892"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color w:val="000000" w:themeColor="text1"/>
          <w:sz w:val="21"/>
          <w:szCs w:val="21"/>
        </w:rPr>
        <w:t>За неможливості забезпечити відвід стічних вод до об’єктової або міської каналізаційної системи самопливом допускається передбачати для збору стічних вод резервуари, встановлені за лінією герметизації.</w:t>
      </w:r>
    </w:p>
    <w:p w14:paraId="224834F3" w14:textId="77777777" w:rsidR="003C4E04" w:rsidRPr="00CA7C54" w:rsidRDefault="001E748C" w:rsidP="00036FF0">
      <w:pPr>
        <w:spacing w:before="0"/>
        <w:ind w:firstLine="566"/>
        <w:contextualSpacing/>
        <w:rPr>
          <w:rFonts w:eastAsia="Times New Roman"/>
          <w:color w:val="000000" w:themeColor="text1"/>
          <w:sz w:val="21"/>
          <w:szCs w:val="21"/>
          <w:highlight w:val="white"/>
        </w:rPr>
      </w:pPr>
      <w:r w:rsidRPr="00CA7C54">
        <w:rPr>
          <w:b/>
          <w:color w:val="000000" w:themeColor="text1"/>
          <w:sz w:val="21"/>
          <w:szCs w:val="21"/>
        </w:rPr>
        <w:t xml:space="preserve">7.2.1.7 </w:t>
      </w:r>
      <w:r w:rsidRPr="00CA7C54">
        <w:rPr>
          <w:color w:val="000000" w:themeColor="text1"/>
          <w:sz w:val="21"/>
          <w:szCs w:val="21"/>
        </w:rPr>
        <w:t>Перелік основних та допоміжних приміщень може доповнюватись завданням на про</w:t>
      </w:r>
      <w:r w:rsidR="003F519E" w:rsidRPr="00CA7C54">
        <w:rPr>
          <w:color w:val="000000" w:themeColor="text1"/>
          <w:sz w:val="21"/>
          <w:szCs w:val="21"/>
        </w:rPr>
        <w:t>є</w:t>
      </w:r>
      <w:r w:rsidRPr="00CA7C54">
        <w:rPr>
          <w:color w:val="000000" w:themeColor="text1"/>
          <w:sz w:val="21"/>
          <w:szCs w:val="21"/>
        </w:rPr>
        <w:t>ктування.</w:t>
      </w:r>
    </w:p>
    <w:p w14:paraId="472412B0" w14:textId="77777777" w:rsidR="003C4E04" w:rsidRPr="00CA7C54" w:rsidRDefault="001E748C" w:rsidP="00036FF0">
      <w:pPr>
        <w:spacing w:before="0"/>
        <w:contextualSpacing/>
        <w:rPr>
          <w:color w:val="000000" w:themeColor="text1"/>
          <w:sz w:val="21"/>
          <w:szCs w:val="21"/>
          <w:highlight w:val="white"/>
        </w:rPr>
      </w:pPr>
      <w:r w:rsidRPr="00CA7C54">
        <w:rPr>
          <w:color w:val="000000" w:themeColor="text1"/>
          <w:sz w:val="21"/>
          <w:szCs w:val="21"/>
          <w:highlight w:val="white"/>
        </w:rPr>
        <w:t>Мінімальну площу основних та допоміжних приміщень сховищ та СПП із захисними властивостями сховищ наведено у таблиці 7.1</w:t>
      </w:r>
    </w:p>
    <w:p w14:paraId="4DEDC90F" w14:textId="77777777" w:rsidR="003C4E04" w:rsidRPr="00CA7C54" w:rsidRDefault="001E748C" w:rsidP="0049165E">
      <w:pPr>
        <w:spacing w:before="0" w:after="120"/>
        <w:ind w:firstLine="0"/>
        <w:contextualSpacing/>
        <w:rPr>
          <w:rFonts w:ascii="Times New Roman" w:eastAsia="Times New Roman" w:hAnsi="Times New Roman" w:cs="Times New Roman"/>
          <w:color w:val="000000" w:themeColor="text1"/>
          <w:sz w:val="24"/>
          <w:szCs w:val="24"/>
        </w:rPr>
      </w:pPr>
      <w:r w:rsidRPr="00CA7C54">
        <w:rPr>
          <w:b/>
          <w:color w:val="000000" w:themeColor="text1"/>
          <w:sz w:val="21"/>
          <w:szCs w:val="21"/>
          <w:highlight w:val="white"/>
        </w:rPr>
        <w:t>Таблиця 7.1</w:t>
      </w:r>
      <w:r w:rsidRPr="00EB63CF">
        <w:rPr>
          <w:bCs/>
          <w:color w:val="000000" w:themeColor="text1"/>
          <w:sz w:val="21"/>
          <w:szCs w:val="21"/>
          <w:highlight w:val="white"/>
        </w:rPr>
        <w:t>–</w:t>
      </w:r>
      <w:r w:rsidRPr="00CA7C54">
        <w:rPr>
          <w:color w:val="000000" w:themeColor="text1"/>
          <w:sz w:val="21"/>
          <w:szCs w:val="21"/>
          <w:highlight w:val="white"/>
        </w:rPr>
        <w:t>Мінімальна площа основних та допом</w:t>
      </w:r>
      <w:r w:rsidRPr="00CA7C54">
        <w:rPr>
          <w:color w:val="000000" w:themeColor="text1"/>
          <w:sz w:val="21"/>
          <w:szCs w:val="21"/>
        </w:rPr>
        <w:t>іжних приміщень</w:t>
      </w:r>
    </w:p>
    <w:tbl>
      <w:tblPr>
        <w:tblStyle w:val="affffffffffffffffffffffffffffffb"/>
        <w:tblW w:w="9634" w:type="dxa"/>
        <w:tblLayout w:type="fixed"/>
        <w:tblLook w:val="0400" w:firstRow="0" w:lastRow="0" w:firstColumn="0" w:lastColumn="0" w:noHBand="0" w:noVBand="1"/>
      </w:tblPr>
      <w:tblGrid>
        <w:gridCol w:w="421"/>
        <w:gridCol w:w="284"/>
        <w:gridCol w:w="6520"/>
        <w:gridCol w:w="2409"/>
      </w:tblGrid>
      <w:tr w:rsidR="00CA7C54" w:rsidRPr="00CA7C54" w14:paraId="7F3B5C92" w14:textId="77777777" w:rsidTr="00F6335A">
        <w:trPr>
          <w:trHeight w:hRule="exact" w:val="656"/>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64721D0" w14:textId="77777777" w:rsidR="003C4E04" w:rsidRPr="00CA7C54" w:rsidRDefault="001E748C">
            <w:pP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з/п</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1E8E879" w14:textId="77777777" w:rsidR="003C4E04" w:rsidRPr="00CA7C54" w:rsidRDefault="001E748C">
            <w:pP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Назва приміщення</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2B67D6" w14:textId="77777777" w:rsidR="003C4E04" w:rsidRPr="00CA7C54" w:rsidRDefault="001E748C">
            <w:pP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Мінімальна площа, м</w:t>
            </w:r>
            <w:r w:rsidRPr="00CA7C54">
              <w:rPr>
                <w:rFonts w:ascii="Arial" w:eastAsia="Arial" w:hAnsi="Arial" w:cs="Arial"/>
                <w:b/>
                <w:color w:val="000000" w:themeColor="text1"/>
                <w:sz w:val="20"/>
                <w:szCs w:val="20"/>
                <w:vertAlign w:val="superscript"/>
              </w:rPr>
              <w:t>2</w:t>
            </w:r>
          </w:p>
        </w:tc>
      </w:tr>
      <w:tr w:rsidR="00CA7C54" w:rsidRPr="00CA7C54" w14:paraId="638C12A5"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5B5975"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83A045"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Санітарний пост</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A8247A"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r>
      <w:tr w:rsidR="00CA7C54" w:rsidRPr="00CA7C54" w14:paraId="2FEC6E84"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B428E0"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90C031"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медичного пункту</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29CEBA"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r w:rsidRPr="00CA7C54">
              <w:rPr>
                <w:rFonts w:ascii="Arial" w:eastAsia="Arial" w:hAnsi="Arial" w:cs="Arial"/>
                <w:color w:val="000000" w:themeColor="text1"/>
                <w:sz w:val="20"/>
                <w:szCs w:val="20"/>
                <w:vertAlign w:val="superscript"/>
              </w:rPr>
              <w:t>1)</w:t>
            </w:r>
          </w:p>
        </w:tc>
      </w:tr>
      <w:tr w:rsidR="00CA7C54" w:rsidRPr="00CA7C54" w14:paraId="09F74F6F"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589998"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091551"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пункту керування</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8387A4"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r>
      <w:tr w:rsidR="00CA7C54" w:rsidRPr="00CA7C54" w14:paraId="760A3BF3"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AF1948"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69D5B2"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для дозиметричного контролю</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37CEEE"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6</w:t>
            </w:r>
          </w:p>
        </w:tc>
      </w:tr>
      <w:tr w:rsidR="00CA7C54" w:rsidRPr="00CA7C54" w14:paraId="430ECB03"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AAE207"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ADC6B1"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Роздягальня та приміщення для брудного одягу</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AC24DC"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6-8</w:t>
            </w:r>
          </w:p>
        </w:tc>
      </w:tr>
      <w:tr w:rsidR="00CA7C54" w:rsidRPr="00CA7C54" w14:paraId="0183013F"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8F09AF"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733F03"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Душова</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453806"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6</w:t>
            </w:r>
          </w:p>
        </w:tc>
      </w:tr>
      <w:tr w:rsidR="00CA7C54" w:rsidRPr="00CA7C54" w14:paraId="38DE69B8"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D370CE"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B5B0A"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для зберігання продовольства</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00698E"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r w:rsidRPr="00CA7C54">
              <w:rPr>
                <w:rFonts w:ascii="Arial" w:eastAsia="Arial" w:hAnsi="Arial" w:cs="Arial"/>
                <w:color w:val="000000" w:themeColor="text1"/>
                <w:sz w:val="20"/>
                <w:szCs w:val="20"/>
                <w:vertAlign w:val="superscript"/>
              </w:rPr>
              <w:t>2)</w:t>
            </w:r>
          </w:p>
        </w:tc>
      </w:tr>
      <w:tr w:rsidR="00CA7C54" w:rsidRPr="00CA7C54" w14:paraId="6A2DE77B"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8A785B"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3823F6"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Зона санітарного посту</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C8533B"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r>
      <w:tr w:rsidR="00CA7C54" w:rsidRPr="00CA7C54" w14:paraId="3F10D1C1"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164CD8"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8F01A4"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для зберігання забрудненого вуличного одягу</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3EBE21"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0,07 м</w:t>
            </w:r>
            <w:r w:rsidRPr="00CA7C54">
              <w:rPr>
                <w:rFonts w:ascii="Arial" w:eastAsia="Arial" w:hAnsi="Arial" w:cs="Arial"/>
                <w:color w:val="000000" w:themeColor="text1"/>
                <w:sz w:val="20"/>
                <w:szCs w:val="20"/>
                <w:vertAlign w:val="superscript"/>
              </w:rPr>
              <w:t>2</w:t>
            </w:r>
            <w:r w:rsidRPr="00CA7C54">
              <w:rPr>
                <w:rFonts w:ascii="Arial" w:eastAsia="Arial" w:hAnsi="Arial" w:cs="Arial"/>
                <w:color w:val="000000" w:themeColor="text1"/>
                <w:sz w:val="20"/>
                <w:szCs w:val="20"/>
              </w:rPr>
              <w:t xml:space="preserve"> на людину</w:t>
            </w:r>
          </w:p>
        </w:tc>
      </w:tr>
      <w:tr w:rsidR="00CA7C54" w:rsidRPr="00CA7C54" w14:paraId="13DEA48B" w14:textId="77777777" w:rsidTr="001A41CD">
        <w:trPr>
          <w:trHeight w:hRule="exact" w:val="629"/>
        </w:trPr>
        <w:tc>
          <w:tcPr>
            <w:tcW w:w="421" w:type="dxa"/>
            <w:tcBorders>
              <w:top w:val="single" w:sz="4" w:space="0" w:color="000000"/>
              <w:left w:val="single" w:sz="4" w:space="0" w:color="000000"/>
            </w:tcBorders>
          </w:tcPr>
          <w:p w14:paraId="034BA3D2"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vertAlign w:val="superscript"/>
              </w:rPr>
              <w:t>1)</w:t>
            </w:r>
          </w:p>
        </w:tc>
        <w:tc>
          <w:tcPr>
            <w:tcW w:w="9213" w:type="dxa"/>
            <w:gridSpan w:val="3"/>
            <w:tcBorders>
              <w:top w:val="single" w:sz="4" w:space="0" w:color="000000"/>
              <w:right w:val="single" w:sz="4" w:space="0" w:color="000000"/>
            </w:tcBorders>
            <w:tcMar>
              <w:top w:w="100" w:type="dxa"/>
              <w:left w:w="100" w:type="dxa"/>
              <w:bottom w:w="100" w:type="dxa"/>
              <w:right w:w="100" w:type="dxa"/>
            </w:tcMar>
          </w:tcPr>
          <w:p w14:paraId="07D86671" w14:textId="77777777" w:rsidR="003C4E04" w:rsidRPr="00CA7C54" w:rsidRDefault="001E748C" w:rsidP="00036FF0">
            <w:pPr>
              <w:spacing w:before="0"/>
              <w:ind w:firstLine="0"/>
              <w:contextualSpacing/>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 У разі місткості сховищ або СПП із захисними властивостями сховищ понад 1200 осіб, на кожні 100 осіб, які підлягають укриттю, площа повинна збільшуватись на 1 м</w:t>
            </w:r>
            <w:r w:rsidRPr="00CA7C54">
              <w:rPr>
                <w:rFonts w:ascii="Arial" w:eastAsia="Arial" w:hAnsi="Arial" w:cs="Arial"/>
                <w:color w:val="000000" w:themeColor="text1"/>
                <w:sz w:val="20"/>
                <w:szCs w:val="20"/>
                <w:vertAlign w:val="superscript"/>
              </w:rPr>
              <w:t>2</w:t>
            </w:r>
            <w:r w:rsidRPr="00CA7C54">
              <w:rPr>
                <w:rFonts w:ascii="Arial" w:eastAsia="Arial" w:hAnsi="Arial" w:cs="Arial"/>
                <w:color w:val="000000" w:themeColor="text1"/>
                <w:sz w:val="20"/>
                <w:szCs w:val="20"/>
              </w:rPr>
              <w:t>.</w:t>
            </w:r>
          </w:p>
        </w:tc>
      </w:tr>
      <w:tr w:rsidR="003C4E04" w:rsidRPr="00CA7C54" w14:paraId="27AB9104" w14:textId="77777777" w:rsidTr="001A41CD">
        <w:trPr>
          <w:trHeight w:hRule="exact" w:val="597"/>
        </w:trPr>
        <w:tc>
          <w:tcPr>
            <w:tcW w:w="421" w:type="dxa"/>
            <w:tcBorders>
              <w:left w:val="single" w:sz="4" w:space="0" w:color="000000"/>
              <w:bottom w:val="single" w:sz="4" w:space="0" w:color="000000"/>
            </w:tcBorders>
          </w:tcPr>
          <w:p w14:paraId="5F5B2866" w14:textId="77777777" w:rsidR="003C4E04" w:rsidRPr="00CA7C54" w:rsidRDefault="001E748C" w:rsidP="00036FF0">
            <w:pPr>
              <w:spacing w:before="0"/>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vertAlign w:val="superscript"/>
              </w:rPr>
              <w:t>2)</w:t>
            </w:r>
          </w:p>
        </w:tc>
        <w:tc>
          <w:tcPr>
            <w:tcW w:w="9213" w:type="dxa"/>
            <w:gridSpan w:val="3"/>
            <w:tcBorders>
              <w:bottom w:val="single" w:sz="4" w:space="0" w:color="000000"/>
              <w:right w:val="single" w:sz="4" w:space="0" w:color="000000"/>
            </w:tcBorders>
            <w:tcMar>
              <w:top w:w="100" w:type="dxa"/>
              <w:left w:w="100" w:type="dxa"/>
              <w:bottom w:w="100" w:type="dxa"/>
              <w:right w:w="100" w:type="dxa"/>
            </w:tcMar>
          </w:tcPr>
          <w:p w14:paraId="4729BFB0" w14:textId="77777777" w:rsidR="003C4E04" w:rsidRPr="00CA7C54" w:rsidRDefault="001E748C" w:rsidP="00036FF0">
            <w:pPr>
              <w:spacing w:before="0"/>
              <w:ind w:firstLine="0"/>
              <w:contextualSpacing/>
              <w:jc w:val="left"/>
              <w:rPr>
                <w:rFonts w:ascii="Arial" w:eastAsia="Arial" w:hAnsi="Arial" w:cs="Arial"/>
                <w:b/>
                <w:color w:val="000000" w:themeColor="text1"/>
                <w:sz w:val="20"/>
                <w:szCs w:val="20"/>
              </w:rPr>
            </w:pPr>
            <w:r w:rsidRPr="00CA7C54">
              <w:rPr>
                <w:rFonts w:ascii="Arial" w:eastAsia="Arial" w:hAnsi="Arial" w:cs="Arial"/>
                <w:color w:val="000000" w:themeColor="text1"/>
                <w:sz w:val="20"/>
                <w:szCs w:val="20"/>
              </w:rPr>
              <w:t>У разі місткості сховищ або СПП із захисними властивостями сховищ понад 150 осіб, на кожні 150 осіб, які підлягають укриттю, площа приміщення збільшується на 3 м</w:t>
            </w:r>
            <w:r w:rsidRPr="00CA7C54">
              <w:rPr>
                <w:rFonts w:ascii="Arial" w:eastAsia="Arial" w:hAnsi="Arial" w:cs="Arial"/>
                <w:color w:val="000000" w:themeColor="text1"/>
                <w:sz w:val="20"/>
                <w:szCs w:val="20"/>
                <w:vertAlign w:val="superscript"/>
              </w:rPr>
              <w:t>2</w:t>
            </w:r>
            <w:r w:rsidRPr="00CA7C54">
              <w:rPr>
                <w:rFonts w:ascii="Arial" w:eastAsia="Arial" w:hAnsi="Arial" w:cs="Arial"/>
                <w:color w:val="000000" w:themeColor="text1"/>
                <w:sz w:val="20"/>
                <w:szCs w:val="20"/>
              </w:rPr>
              <w:t>.</w:t>
            </w:r>
          </w:p>
        </w:tc>
      </w:tr>
    </w:tbl>
    <w:p w14:paraId="689B9F49"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lastRenderedPageBreak/>
        <w:t xml:space="preserve">7.2.1.8 </w:t>
      </w:r>
      <w:r w:rsidRPr="00CA7C54">
        <w:rPr>
          <w:color w:val="000000" w:themeColor="text1"/>
          <w:sz w:val="21"/>
          <w:szCs w:val="21"/>
        </w:rPr>
        <w:t>Приміщення дозконтролю обладнуються необхідними приладами, лавками і забезпечуються всіма необхідними засобами для надання першої медичної допомоги.</w:t>
      </w:r>
    </w:p>
    <w:p w14:paraId="353A93A7"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7.2.1.9</w:t>
      </w:r>
      <w:r w:rsidRPr="00CA7C54">
        <w:rPr>
          <w:color w:val="000000" w:themeColor="text1"/>
          <w:sz w:val="21"/>
          <w:szCs w:val="21"/>
        </w:rPr>
        <w:t xml:space="preserve"> Роздягальня та приміщення для брудної та чистої одежі обладнуються лавками, вішалками, шафками. Обладнується місце для прийому документів та речей.</w:t>
      </w:r>
    </w:p>
    <w:p w14:paraId="233F493C"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7.2.1.10</w:t>
      </w:r>
      <w:r w:rsidRPr="00CA7C54">
        <w:rPr>
          <w:color w:val="000000" w:themeColor="text1"/>
          <w:sz w:val="21"/>
          <w:szCs w:val="21"/>
        </w:rPr>
        <w:t xml:space="preserve"> Не допускається розташовувати приміщення для зберігання продовольства біля санітарних вузлів та медичного пункту.</w:t>
      </w:r>
    </w:p>
    <w:p w14:paraId="4DE934EC"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7.2.1.11</w:t>
      </w:r>
      <w:r w:rsidRPr="00CA7C54">
        <w:rPr>
          <w:color w:val="000000" w:themeColor="text1"/>
          <w:sz w:val="21"/>
          <w:szCs w:val="21"/>
        </w:rPr>
        <w:t xml:space="preserve"> Дренажні станції перекачки слід розміщувати за лінією герметизації сховищ. При вході у станцію повинен бути передбачений тамбур з двома герметичними дверима, які відчиняються у бік станції.</w:t>
      </w:r>
    </w:p>
    <w:p w14:paraId="06A02F6F"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7.2.1.12</w:t>
      </w:r>
      <w:r w:rsidRPr="00CA7C54">
        <w:rPr>
          <w:color w:val="000000" w:themeColor="text1"/>
          <w:sz w:val="21"/>
          <w:szCs w:val="21"/>
        </w:rPr>
        <w:t xml:space="preserve"> Під підлогою станції рекомендується передбачати резервуар для приймання та відкачування дренажних вод. Вхід до резервуар</w:t>
      </w:r>
      <w:r w:rsidR="00142E5A" w:rsidRPr="00CA7C54">
        <w:rPr>
          <w:color w:val="000000" w:themeColor="text1"/>
          <w:sz w:val="21"/>
          <w:szCs w:val="21"/>
        </w:rPr>
        <w:t>а</w:t>
      </w:r>
      <w:r w:rsidRPr="00CA7C54">
        <w:rPr>
          <w:color w:val="000000" w:themeColor="text1"/>
          <w:sz w:val="21"/>
          <w:szCs w:val="21"/>
        </w:rPr>
        <w:t xml:space="preserve"> – через люк у підстанції.</w:t>
      </w:r>
    </w:p>
    <w:p w14:paraId="4A4865CD"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7.2.1.13</w:t>
      </w:r>
      <w:r w:rsidRPr="00CA7C54">
        <w:rPr>
          <w:color w:val="000000" w:themeColor="text1"/>
          <w:sz w:val="21"/>
          <w:szCs w:val="21"/>
        </w:rPr>
        <w:t xml:space="preserve"> Приміщення електрощитових потрібно відокремлювати від суміжних приміщень протипожежними перегородками 1-го типу та перекриттям 3-го типу із заповненням дверних прорізів протипожежними 2-го типу, які відчиняються назовні і мають замки, що самі замикаються, та відмикаються з середини приміщення без ключа.</w:t>
      </w:r>
    </w:p>
    <w:p w14:paraId="56765751"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7.2.1.14</w:t>
      </w:r>
      <w:r w:rsidRPr="00CA7C54">
        <w:rPr>
          <w:color w:val="000000" w:themeColor="text1"/>
          <w:sz w:val="21"/>
          <w:szCs w:val="21"/>
        </w:rPr>
        <w:t xml:space="preserve"> Приміщення балонної слід передбачати у сховищах та СПП із захисними властивостями сховищ з трьома режимами вентиляції. За вибухопожежною і пожежною небезпекою воно відноситься до категорії Д. Сполучення балонної із суміжними приміщеннями необхідно передбачати через протипожежний тамбур-шлюз 1-го типу з підпором повітря під час пожежі.</w:t>
      </w:r>
    </w:p>
    <w:p w14:paraId="1500A335"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7.2.1.15 </w:t>
      </w:r>
      <w:r w:rsidRPr="00CA7C54">
        <w:rPr>
          <w:color w:val="000000" w:themeColor="text1"/>
          <w:sz w:val="21"/>
          <w:szCs w:val="21"/>
        </w:rPr>
        <w:t>Душова обладнується прохідними душовими кабінами розміром 0,9</w:t>
      </w:r>
      <w:r w:rsidR="00584A0A" w:rsidRPr="00CA7C54">
        <w:rPr>
          <w:color w:val="000000" w:themeColor="text1"/>
          <w:sz w:val="21"/>
          <w:szCs w:val="21"/>
        </w:rPr>
        <w:t xml:space="preserve"> м</w:t>
      </w:r>
      <w:r w:rsidRPr="00CA7C54">
        <w:rPr>
          <w:color w:val="000000" w:themeColor="text1"/>
          <w:sz w:val="21"/>
          <w:szCs w:val="21"/>
        </w:rPr>
        <w:t xml:space="preserve"> х 0,9 м. Допускається обладнання душової кабіни тупиковими кабінами за умови забезпечення достатнього промивання підлоги у проході біля кабін. Підлогу душової необхідно покривати дозволеними до використання синтетичними матеріалами та обладнувати решітками.</w:t>
      </w:r>
    </w:p>
    <w:p w14:paraId="5481E77E" w14:textId="721E44BB"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При новому будівництві необхідно влаштовувати зони для душу врівень з підлогою, які обладнані трапами для водовідведення, мінімум одна душова кабіна має бути обладнана відповідно вимог </w:t>
      </w:r>
      <w:hyperlink r:id="rId135" w:history="1">
        <w:r w:rsidRPr="00134039">
          <w:rPr>
            <w:rStyle w:val="ac"/>
            <w:rFonts w:cs="Arial"/>
            <w:sz w:val="21"/>
            <w:szCs w:val="21"/>
          </w:rPr>
          <w:t>ДБН В.2.2-40</w:t>
        </w:r>
      </w:hyperlink>
      <w:r w:rsidRPr="00134039">
        <w:rPr>
          <w:color w:val="000000" w:themeColor="text1"/>
          <w:sz w:val="21"/>
          <w:szCs w:val="21"/>
        </w:rPr>
        <w:t>.</w:t>
      </w:r>
    </w:p>
    <w:p w14:paraId="169AB24E" w14:textId="77777777" w:rsidR="003C4E04" w:rsidRPr="00CA7C54" w:rsidRDefault="001E748C" w:rsidP="00142E5A">
      <w:pPr>
        <w:spacing w:before="0"/>
        <w:ind w:firstLine="566"/>
        <w:contextualSpacing/>
        <w:rPr>
          <w:color w:val="000000" w:themeColor="text1"/>
          <w:highlight w:val="white"/>
        </w:rPr>
      </w:pPr>
      <w:r w:rsidRPr="00CA7C54">
        <w:rPr>
          <w:b/>
          <w:color w:val="000000" w:themeColor="text1"/>
          <w:sz w:val="21"/>
          <w:szCs w:val="21"/>
        </w:rPr>
        <w:t>7.2.1.16</w:t>
      </w:r>
      <w:r w:rsidRPr="00CA7C54">
        <w:rPr>
          <w:color w:val="000000" w:themeColor="text1"/>
          <w:sz w:val="21"/>
          <w:szCs w:val="21"/>
        </w:rPr>
        <w:t xml:space="preserve"> Фільтровентиляційне обладнання слід розміщувати у фільтровентиляційних приміщеннях (ФВП), розташованих біля зовнішніх стін. Розміри ФВП необхідно визначати в залежності від габаритів обладнання і площі, необхідної для його обслуговування. Протипилові фільтри у системах вентиляції електроручними вентиляторами повинні мати стіну (екран), яка </w:t>
      </w:r>
      <w:r w:rsidRPr="00CA7C54">
        <w:rPr>
          <w:color w:val="000000" w:themeColor="text1"/>
          <w:sz w:val="21"/>
          <w:szCs w:val="21"/>
          <w:highlight w:val="white"/>
        </w:rPr>
        <w:t xml:space="preserve">виключає можливість прямого опромінювання обслуговуючого персоналу. Товщина стін (екранів)  і стін ФВП, суміжних з внутрішніми приміщеннями сховищ, повинна </w:t>
      </w:r>
      <w:r w:rsidRPr="00CA7C54">
        <w:rPr>
          <w:color w:val="000000" w:themeColor="text1"/>
          <w:highlight w:val="white"/>
        </w:rPr>
        <w:t xml:space="preserve">бути не менше величин, вказаних  в таблиці 7.2 </w:t>
      </w:r>
    </w:p>
    <w:p w14:paraId="47B71288" w14:textId="77777777" w:rsidR="00613B23" w:rsidRPr="00CA7C54" w:rsidRDefault="00613B23" w:rsidP="00142E5A">
      <w:pPr>
        <w:pBdr>
          <w:top w:val="nil"/>
          <w:left w:val="nil"/>
          <w:bottom w:val="nil"/>
          <w:right w:val="nil"/>
          <w:between w:val="nil"/>
        </w:pBdr>
        <w:spacing w:before="0"/>
        <w:ind w:firstLine="566"/>
        <w:contextualSpacing/>
        <w:rPr>
          <w:rFonts w:ascii="Times New Roman" w:eastAsia="Times New Roman" w:hAnsi="Times New Roman" w:cs="Times New Roman"/>
          <w:color w:val="000000" w:themeColor="text1"/>
          <w:sz w:val="24"/>
          <w:szCs w:val="24"/>
        </w:rPr>
      </w:pPr>
      <w:r w:rsidRPr="00CA7C54">
        <w:rPr>
          <w:b/>
          <w:color w:val="000000" w:themeColor="text1"/>
          <w:sz w:val="21"/>
          <w:szCs w:val="21"/>
          <w:highlight w:val="white"/>
        </w:rPr>
        <w:t>7.2.1.</w:t>
      </w:r>
      <w:r w:rsidRPr="00CA7C54">
        <w:rPr>
          <w:b/>
          <w:color w:val="000000" w:themeColor="text1"/>
          <w:sz w:val="21"/>
          <w:szCs w:val="21"/>
        </w:rPr>
        <w:t xml:space="preserve">17 </w:t>
      </w:r>
      <w:r w:rsidRPr="00CA7C54">
        <w:rPr>
          <w:color w:val="000000" w:themeColor="text1"/>
          <w:sz w:val="21"/>
          <w:szCs w:val="21"/>
        </w:rPr>
        <w:t>Для</w:t>
      </w:r>
      <w:r w:rsidRPr="00CA7C54">
        <w:rPr>
          <w:color w:val="000000" w:themeColor="text1"/>
        </w:rPr>
        <w:t xml:space="preserve"> сховищ місткістю до 50 осіб допускається не передбачати ДЕС за умов передбачення у системі фільтровентиляції не менше </w:t>
      </w:r>
      <w:r w:rsidR="00337A61" w:rsidRPr="00CA7C54">
        <w:rPr>
          <w:color w:val="000000" w:themeColor="text1"/>
        </w:rPr>
        <w:t xml:space="preserve">ніж </w:t>
      </w:r>
      <w:r w:rsidRPr="00CA7C54">
        <w:rPr>
          <w:color w:val="000000" w:themeColor="text1"/>
        </w:rPr>
        <w:t>2 електроручних вентиляторів (один основний, другий – резервний), використання для систем освітлення електроживлення від акумуляторів, передбачення каналізації з відводом стічних вод самопливом, встановлення проточних ємностей з водою.</w:t>
      </w:r>
    </w:p>
    <w:p w14:paraId="554ECE16" w14:textId="77777777" w:rsidR="003A15C4" w:rsidRPr="00CA7C54" w:rsidRDefault="003A15C4" w:rsidP="00142E5A">
      <w:pPr>
        <w:spacing w:before="0"/>
        <w:ind w:firstLine="566"/>
        <w:contextualSpacing/>
        <w:rPr>
          <w:rFonts w:ascii="Times New Roman" w:eastAsia="Times New Roman" w:hAnsi="Times New Roman" w:cs="Times New Roman"/>
          <w:color w:val="000000" w:themeColor="text1"/>
          <w:sz w:val="24"/>
          <w:szCs w:val="24"/>
          <w:highlight w:val="white"/>
        </w:rPr>
      </w:pPr>
    </w:p>
    <w:p w14:paraId="4B45044C" w14:textId="77777777" w:rsidR="003C4E04" w:rsidRPr="00CA7C54" w:rsidRDefault="001E748C" w:rsidP="00142E5A">
      <w:pPr>
        <w:spacing w:before="0"/>
        <w:ind w:firstLine="284"/>
        <w:contextualSpacing/>
        <w:jc w:val="left"/>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Таблиця 7.2</w:t>
      </w:r>
      <w:r w:rsidRPr="00CA7C54">
        <w:rPr>
          <w:color w:val="000000" w:themeColor="text1"/>
          <w:sz w:val="21"/>
          <w:szCs w:val="21"/>
          <w:highlight w:val="white"/>
        </w:rPr>
        <w:t xml:space="preserve"> –Товщина</w:t>
      </w:r>
      <w:r w:rsidRPr="00CA7C54">
        <w:rPr>
          <w:color w:val="000000" w:themeColor="text1"/>
          <w:sz w:val="21"/>
          <w:szCs w:val="21"/>
        </w:rPr>
        <w:t xml:space="preserve"> стін (екранів) .</w:t>
      </w:r>
    </w:p>
    <w:tbl>
      <w:tblPr>
        <w:tblStyle w:val="affffffffffffffffffffffffffffffc"/>
        <w:tblW w:w="9781" w:type="dxa"/>
        <w:jc w:val="center"/>
        <w:tblLayout w:type="fixed"/>
        <w:tblLook w:val="0400" w:firstRow="0" w:lastRow="0" w:firstColumn="0" w:lastColumn="0" w:noHBand="0" w:noVBand="1"/>
      </w:tblPr>
      <w:tblGrid>
        <w:gridCol w:w="3823"/>
        <w:gridCol w:w="992"/>
        <w:gridCol w:w="709"/>
        <w:gridCol w:w="850"/>
        <w:gridCol w:w="992"/>
        <w:gridCol w:w="1134"/>
        <w:gridCol w:w="1281"/>
      </w:tblGrid>
      <w:tr w:rsidR="00CA7C54" w:rsidRPr="00CA7C54" w14:paraId="3482F5AD" w14:textId="77777777" w:rsidTr="00EA4D30">
        <w:trPr>
          <w:trHeight w:val="177"/>
          <w:jc w:val="center"/>
        </w:trPr>
        <w:tc>
          <w:tcPr>
            <w:tcW w:w="3823"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tcPr>
          <w:p w14:paraId="31C2BD70"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Товщина стін (екранів), мм:</w:t>
            </w:r>
          </w:p>
        </w:tc>
        <w:tc>
          <w:tcPr>
            <w:tcW w:w="5958"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EA45C3" w14:textId="77777777" w:rsidR="003C4E04" w:rsidRPr="00CA7C54" w:rsidRDefault="001E748C">
            <w:pP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Розрахункова повітроподача, м</w:t>
            </w:r>
            <w:r w:rsidRPr="00CA7C54">
              <w:rPr>
                <w:rFonts w:ascii="Arial" w:eastAsia="Arial" w:hAnsi="Arial" w:cs="Arial"/>
                <w:b/>
                <w:color w:val="000000" w:themeColor="text1"/>
                <w:sz w:val="20"/>
                <w:szCs w:val="20"/>
                <w:vertAlign w:val="superscript"/>
              </w:rPr>
              <w:t>3</w:t>
            </w:r>
            <w:r w:rsidRPr="00CA7C54">
              <w:rPr>
                <w:rFonts w:ascii="Arial" w:eastAsia="Arial" w:hAnsi="Arial" w:cs="Arial"/>
                <w:b/>
                <w:color w:val="000000" w:themeColor="text1"/>
                <w:sz w:val="20"/>
                <w:szCs w:val="20"/>
              </w:rPr>
              <w:t>/год</w:t>
            </w:r>
          </w:p>
        </w:tc>
      </w:tr>
      <w:tr w:rsidR="00CA7C54" w:rsidRPr="00CA7C54" w14:paraId="3C7AB7B5" w14:textId="77777777" w:rsidTr="00EA4D30">
        <w:trPr>
          <w:trHeight w:val="521"/>
          <w:jc w:val="center"/>
        </w:trPr>
        <w:tc>
          <w:tcPr>
            <w:tcW w:w="3823" w:type="dxa"/>
            <w:vMerge/>
            <w:tcBorders>
              <w:top w:val="single" w:sz="4" w:space="0" w:color="000000"/>
              <w:left w:val="single" w:sz="4" w:space="0" w:color="000000"/>
              <w:right w:val="single" w:sz="4" w:space="0" w:color="000000"/>
            </w:tcBorders>
            <w:tcMar>
              <w:top w:w="100" w:type="dxa"/>
              <w:left w:w="100" w:type="dxa"/>
              <w:bottom w:w="100" w:type="dxa"/>
              <w:right w:w="100" w:type="dxa"/>
            </w:tcMar>
          </w:tcPr>
          <w:p w14:paraId="1F17AB4B"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130D9F"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до 300</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FE817F"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300-600</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BAE530"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600-1000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F74C9D"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1 000-</w:t>
            </w:r>
          </w:p>
          <w:p w14:paraId="5742E558"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5 000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6557A8"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5 000-</w:t>
            </w:r>
          </w:p>
          <w:p w14:paraId="16E09715"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10 000</w:t>
            </w:r>
          </w:p>
        </w:tc>
        <w:tc>
          <w:tcPr>
            <w:tcW w:w="12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10CC4F"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більше 10 000</w:t>
            </w:r>
          </w:p>
        </w:tc>
      </w:tr>
      <w:tr w:rsidR="003C4E04" w:rsidRPr="00CA7C54" w14:paraId="0FCF5394" w14:textId="77777777" w:rsidTr="00EA4D30">
        <w:trPr>
          <w:trHeight w:val="28"/>
          <w:jc w:val="center"/>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E67FC2"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залізобетонних (бетонних) </w:t>
            </w:r>
          </w:p>
          <w:p w14:paraId="07C009A0"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армоцегляних</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3DF1ED"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p w14:paraId="7C76F0C7"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0000D8"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80</w:t>
            </w:r>
          </w:p>
          <w:p w14:paraId="6D2D56BA"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650BF0"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100</w:t>
            </w:r>
          </w:p>
          <w:p w14:paraId="6287E574"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7A894E"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170</w:t>
            </w:r>
          </w:p>
          <w:p w14:paraId="01F239F9"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A6C79E"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200</w:t>
            </w:r>
          </w:p>
          <w:p w14:paraId="4D44E126"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250</w:t>
            </w:r>
          </w:p>
        </w:tc>
        <w:tc>
          <w:tcPr>
            <w:tcW w:w="12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7E5D19"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250</w:t>
            </w:r>
          </w:p>
          <w:p w14:paraId="18C6704F"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400</w:t>
            </w:r>
          </w:p>
        </w:tc>
      </w:tr>
    </w:tbl>
    <w:p w14:paraId="1FC6162E" w14:textId="77777777" w:rsidR="00142E5A" w:rsidRPr="00CA7C54" w:rsidRDefault="00142E5A">
      <w:pPr>
        <w:pBdr>
          <w:top w:val="nil"/>
          <w:left w:val="nil"/>
          <w:bottom w:val="nil"/>
          <w:right w:val="nil"/>
          <w:between w:val="nil"/>
        </w:pBdr>
        <w:spacing w:line="240" w:lineRule="auto"/>
        <w:ind w:firstLine="566"/>
        <w:rPr>
          <w:color w:val="000000" w:themeColor="text1"/>
        </w:rPr>
      </w:pPr>
    </w:p>
    <w:p w14:paraId="0D4DAC25" w14:textId="77777777" w:rsidR="003C4E04" w:rsidRPr="00CA7C54" w:rsidRDefault="001E748C" w:rsidP="0042528B">
      <w:pPr>
        <w:pStyle w:val="4"/>
        <w:spacing w:before="0" w:after="60" w:line="288" w:lineRule="auto"/>
        <w:contextualSpacing/>
        <w:rPr>
          <w:rFonts w:cs="Arial"/>
          <w:color w:val="000000" w:themeColor="text1"/>
          <w:sz w:val="21"/>
          <w:szCs w:val="21"/>
        </w:rPr>
      </w:pPr>
      <w:r w:rsidRPr="00CA7C54">
        <w:rPr>
          <w:color w:val="000000" w:themeColor="text1"/>
        </w:rPr>
        <w:t xml:space="preserve">7.2.2 </w:t>
      </w:r>
      <w:r w:rsidRPr="00CA7C54">
        <w:rPr>
          <w:rFonts w:cs="Arial"/>
          <w:color w:val="000000" w:themeColor="text1"/>
          <w:sz w:val="21"/>
          <w:szCs w:val="21"/>
        </w:rPr>
        <w:t>ПРУ та СПП із захисними властивостями ПРУ</w:t>
      </w:r>
    </w:p>
    <w:p w14:paraId="77D1BB37"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7.2.2.1</w:t>
      </w:r>
      <w:r w:rsidRPr="00CA7C54">
        <w:rPr>
          <w:color w:val="000000" w:themeColor="text1"/>
          <w:sz w:val="21"/>
          <w:szCs w:val="21"/>
        </w:rPr>
        <w:t xml:space="preserve"> У ПРУ та СПП із захисними властивостями ПРУ необхідно передбачати основні та допоміжні приміщення.</w:t>
      </w:r>
    </w:p>
    <w:p w14:paraId="44081A87"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b/>
          <w:sz w:val="21"/>
          <w:szCs w:val="21"/>
        </w:rPr>
        <w:t>7.2.2.2</w:t>
      </w:r>
      <w:r w:rsidRPr="00B271AD">
        <w:rPr>
          <w:sz w:val="21"/>
          <w:szCs w:val="21"/>
        </w:rPr>
        <w:t xml:space="preserve"> Для всіх типів ПРУ та СПП із захисними властивостями ПРУ обов’язковими є наступні основні приміщення:</w:t>
      </w:r>
    </w:p>
    <w:p w14:paraId="05EE761A"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lastRenderedPageBreak/>
        <w:t xml:space="preserve">- </w:t>
      </w:r>
      <w:r w:rsidR="001E748C" w:rsidRPr="00B271AD">
        <w:rPr>
          <w:sz w:val="21"/>
          <w:szCs w:val="21"/>
        </w:rPr>
        <w:t>основне приміщення для укриття;</w:t>
      </w:r>
    </w:p>
    <w:p w14:paraId="28357ABF"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зона санітарного посту (ця норма є обов’язковою для ПРУ та рекомендованою для СПП із захисними властивостями ПРУ);</w:t>
      </w:r>
    </w:p>
    <w:p w14:paraId="26B2A6D0"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медичного пункту (ця норма є обов’язковою для ПРУ та СПП місткістю від 601 осіб та рекомендованою для місткості  таких споруд до 600);</w:t>
      </w:r>
    </w:p>
    <w:p w14:paraId="2EB64099"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пункту керування (ця норма є обов’язковою для ПРУ та СПП місткістю від 301 осіб та рекомендованою для місткості  таких споруд до 300)</w:t>
      </w:r>
      <w:r w:rsidRPr="00B271AD">
        <w:rPr>
          <w:sz w:val="21"/>
          <w:szCs w:val="21"/>
        </w:rPr>
        <w:t>.</w:t>
      </w:r>
    </w:p>
    <w:p w14:paraId="20D8E88E"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Дозволяється суміщати приміщення пункту керування та приміщення пожежного поста (приміщення чергового персоналу).</w:t>
      </w:r>
    </w:p>
    <w:p w14:paraId="3C5E4130"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У разі влаштування для укриття працівників одного об’єкта на одній території декількох ПРУ або СПП із захисними властивостями ПРУ, пункт керування допускається влаштовувати тільки у одній із них.</w:t>
      </w:r>
    </w:p>
    <w:p w14:paraId="06F7B1B9"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Рекомендується до складу основних приміщень ПРУ та СПП із захисними властивостями ПРУ у складі громадських та житлових будівель завданням на проєктування включати:</w:t>
      </w:r>
    </w:p>
    <w:p w14:paraId="6769AD2B" w14:textId="77777777" w:rsidR="003C4E04" w:rsidRPr="00B271AD" w:rsidRDefault="00A60480" w:rsidP="00A60480">
      <w:pPr>
        <w:pBdr>
          <w:top w:val="nil"/>
          <w:left w:val="nil"/>
          <w:bottom w:val="nil"/>
          <w:right w:val="nil"/>
          <w:between w:val="nil"/>
        </w:pBdr>
        <w:spacing w:before="0" w:line="288" w:lineRule="auto"/>
        <w:ind w:firstLine="566"/>
        <w:contextualSpacing/>
        <w:jc w:val="left"/>
        <w:rPr>
          <w:rFonts w:eastAsia="Times New Roman"/>
          <w:sz w:val="21"/>
          <w:szCs w:val="21"/>
        </w:rPr>
      </w:pPr>
      <w:r w:rsidRPr="00B271AD">
        <w:rPr>
          <w:sz w:val="21"/>
          <w:szCs w:val="21"/>
        </w:rPr>
        <w:t xml:space="preserve">- </w:t>
      </w:r>
      <w:r w:rsidR="001E748C" w:rsidRPr="00B271AD">
        <w:rPr>
          <w:spacing w:val="-6"/>
          <w:sz w:val="21"/>
          <w:szCs w:val="21"/>
        </w:rPr>
        <w:t>приміщення/зони пункту керування - призначені для перебування осіб, відповідальних за обслуговування ПРУ та СПП (для ПРУ та СПП із захисними властивостями ПРУ до 300 осіб включно);</w:t>
      </w:r>
    </w:p>
    <w:p w14:paraId="5C2535D8"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дітей до 11 років;</w:t>
      </w:r>
    </w:p>
    <w:p w14:paraId="1A8F768A"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годування та сповивання немовлят;</w:t>
      </w:r>
    </w:p>
    <w:p w14:paraId="0CC34229"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підігріву та прийняття їжі;</w:t>
      </w:r>
    </w:p>
    <w:p w14:paraId="39CDD0F3" w14:textId="77777777" w:rsidR="003C4E04" w:rsidRPr="00B271AD" w:rsidRDefault="00A60480" w:rsidP="00030DC4">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для тимчасового перебування домашніх тварин;</w:t>
      </w:r>
    </w:p>
    <w:p w14:paraId="27D5BAA4" w14:textId="77777777" w:rsidR="003C4E04" w:rsidRPr="00B271AD" w:rsidRDefault="00A60480" w:rsidP="00030DC4">
      <w:pPr>
        <w:pBdr>
          <w:top w:val="nil"/>
          <w:left w:val="nil"/>
          <w:bottom w:val="nil"/>
          <w:right w:val="nil"/>
          <w:between w:val="nil"/>
        </w:pBdr>
        <w:spacing w:before="0" w:line="288" w:lineRule="auto"/>
        <w:ind w:firstLine="566"/>
        <w:contextualSpacing/>
        <w:rPr>
          <w:b/>
          <w:sz w:val="21"/>
          <w:szCs w:val="21"/>
        </w:rPr>
      </w:pPr>
      <w:r w:rsidRPr="00B271AD">
        <w:rPr>
          <w:sz w:val="21"/>
          <w:szCs w:val="21"/>
        </w:rPr>
        <w:t xml:space="preserve">- </w:t>
      </w:r>
      <w:r w:rsidR="001E748C" w:rsidRPr="00B271AD">
        <w:rPr>
          <w:sz w:val="21"/>
          <w:szCs w:val="21"/>
        </w:rPr>
        <w:t>приміщення іншого призначення, що забезпечують належні умови для перебування осіб, які підлягають укриттю протягом 48 годин</w:t>
      </w:r>
      <w:r w:rsidR="001E748C" w:rsidRPr="00B271AD">
        <w:rPr>
          <w:b/>
          <w:sz w:val="21"/>
          <w:szCs w:val="21"/>
        </w:rPr>
        <w:t>.</w:t>
      </w:r>
    </w:p>
    <w:p w14:paraId="4D66008A" w14:textId="77777777" w:rsidR="00030DC4" w:rsidRPr="00B271AD" w:rsidRDefault="00030DC4" w:rsidP="00030DC4">
      <w:pPr>
        <w:widowControl w:val="0"/>
        <w:autoSpaceDE w:val="0"/>
        <w:autoSpaceDN w:val="0"/>
        <w:spacing w:before="0" w:line="288" w:lineRule="auto"/>
        <w:ind w:right="-1"/>
        <w:contextualSpacing/>
        <w:rPr>
          <w:rFonts w:eastAsia="Microsoft Sans Serif"/>
          <w:sz w:val="21"/>
          <w:szCs w:val="21"/>
        </w:rPr>
      </w:pPr>
      <w:r w:rsidRPr="00B271AD">
        <w:rPr>
          <w:rFonts w:eastAsia="Microsoft Sans Serif"/>
          <w:spacing w:val="-1"/>
          <w:sz w:val="21"/>
          <w:szCs w:val="21"/>
        </w:rPr>
        <w:t>В</w:t>
      </w:r>
      <w:r w:rsidR="00495462">
        <w:rPr>
          <w:rFonts w:eastAsia="Microsoft Sans Serif"/>
          <w:spacing w:val="-1"/>
          <w:sz w:val="21"/>
          <w:szCs w:val="21"/>
        </w:rPr>
        <w:t xml:space="preserve"> </w:t>
      </w:r>
      <w:r w:rsidRPr="00B271AD">
        <w:rPr>
          <w:rFonts w:eastAsia="Microsoft Sans Serif"/>
          <w:spacing w:val="-1"/>
          <w:sz w:val="21"/>
          <w:szCs w:val="21"/>
        </w:rPr>
        <w:t>основному</w:t>
      </w:r>
      <w:r w:rsidR="00495462">
        <w:rPr>
          <w:rFonts w:eastAsia="Microsoft Sans Serif"/>
          <w:spacing w:val="-1"/>
          <w:sz w:val="21"/>
          <w:szCs w:val="21"/>
        </w:rPr>
        <w:t xml:space="preserve"> </w:t>
      </w:r>
      <w:r w:rsidRPr="00B271AD">
        <w:rPr>
          <w:rFonts w:eastAsia="Microsoft Sans Serif"/>
          <w:spacing w:val="-1"/>
          <w:sz w:val="21"/>
          <w:szCs w:val="21"/>
        </w:rPr>
        <w:t>приміщенні</w:t>
      </w:r>
      <w:r w:rsidR="00495462">
        <w:rPr>
          <w:rFonts w:eastAsia="Microsoft Sans Serif"/>
          <w:spacing w:val="-1"/>
          <w:sz w:val="21"/>
          <w:szCs w:val="21"/>
        </w:rPr>
        <w:t xml:space="preserve"> </w:t>
      </w:r>
      <w:r w:rsidRPr="00B271AD">
        <w:rPr>
          <w:rFonts w:eastAsia="Microsoft Sans Serif"/>
          <w:spacing w:val="-1"/>
          <w:sz w:val="21"/>
          <w:szCs w:val="21"/>
        </w:rPr>
        <w:t>для</w:t>
      </w:r>
      <w:r w:rsidR="00495462">
        <w:rPr>
          <w:rFonts w:eastAsia="Microsoft Sans Serif"/>
          <w:spacing w:val="-1"/>
          <w:sz w:val="21"/>
          <w:szCs w:val="21"/>
        </w:rPr>
        <w:t xml:space="preserve"> </w:t>
      </w:r>
      <w:r w:rsidRPr="00B271AD">
        <w:rPr>
          <w:rFonts w:eastAsia="Microsoft Sans Serif"/>
          <w:sz w:val="21"/>
          <w:szCs w:val="21"/>
        </w:rPr>
        <w:t>укриття</w:t>
      </w:r>
      <w:r w:rsidR="00495462">
        <w:rPr>
          <w:rFonts w:eastAsia="Microsoft Sans Serif"/>
          <w:sz w:val="21"/>
          <w:szCs w:val="21"/>
        </w:rPr>
        <w:t xml:space="preserve"> </w:t>
      </w:r>
      <w:r w:rsidRPr="00B271AD">
        <w:rPr>
          <w:rFonts w:eastAsia="Microsoft Sans Serif"/>
          <w:sz w:val="21"/>
          <w:szCs w:val="21"/>
        </w:rPr>
        <w:t>ПРУ</w:t>
      </w:r>
      <w:r w:rsidR="00495462">
        <w:rPr>
          <w:rFonts w:eastAsia="Microsoft Sans Serif"/>
          <w:sz w:val="21"/>
          <w:szCs w:val="21"/>
        </w:rPr>
        <w:t xml:space="preserve"> </w:t>
      </w:r>
      <w:r w:rsidRPr="00B271AD">
        <w:rPr>
          <w:rFonts w:eastAsia="Microsoft Sans Serif"/>
          <w:sz w:val="21"/>
          <w:szCs w:val="21"/>
        </w:rPr>
        <w:t>та</w:t>
      </w:r>
      <w:r w:rsidR="00495462">
        <w:rPr>
          <w:rFonts w:eastAsia="Microsoft Sans Serif"/>
          <w:sz w:val="21"/>
          <w:szCs w:val="21"/>
        </w:rPr>
        <w:t xml:space="preserve"> </w:t>
      </w:r>
      <w:r w:rsidRPr="00B271AD">
        <w:rPr>
          <w:rFonts w:eastAsia="Microsoft Sans Serif"/>
          <w:sz w:val="21"/>
          <w:szCs w:val="21"/>
        </w:rPr>
        <w:t>СПП</w:t>
      </w:r>
      <w:r w:rsidR="00495462">
        <w:rPr>
          <w:rFonts w:eastAsia="Microsoft Sans Serif"/>
          <w:sz w:val="21"/>
          <w:szCs w:val="21"/>
        </w:rPr>
        <w:t xml:space="preserve"> </w:t>
      </w:r>
      <w:r w:rsidRPr="00B271AD">
        <w:rPr>
          <w:rFonts w:eastAsia="Microsoft Sans Serif"/>
          <w:sz w:val="21"/>
          <w:szCs w:val="21"/>
        </w:rPr>
        <w:t>із</w:t>
      </w:r>
      <w:r w:rsidR="00495462">
        <w:rPr>
          <w:rFonts w:eastAsia="Microsoft Sans Serif"/>
          <w:sz w:val="21"/>
          <w:szCs w:val="21"/>
        </w:rPr>
        <w:t xml:space="preserve"> </w:t>
      </w:r>
      <w:r w:rsidRPr="00B271AD">
        <w:rPr>
          <w:rFonts w:eastAsia="Microsoft Sans Serif"/>
          <w:sz w:val="21"/>
          <w:szCs w:val="21"/>
        </w:rPr>
        <w:t>захисними</w:t>
      </w:r>
      <w:r w:rsidR="00495462">
        <w:rPr>
          <w:rFonts w:eastAsia="Microsoft Sans Serif"/>
          <w:sz w:val="21"/>
          <w:szCs w:val="21"/>
        </w:rPr>
        <w:t xml:space="preserve"> </w:t>
      </w:r>
      <w:r w:rsidRPr="00B271AD">
        <w:rPr>
          <w:rFonts w:eastAsia="Microsoft Sans Serif"/>
          <w:sz w:val="21"/>
          <w:szCs w:val="21"/>
        </w:rPr>
        <w:t>властивостями</w:t>
      </w:r>
      <w:r w:rsidR="00495462">
        <w:rPr>
          <w:rFonts w:eastAsia="Microsoft Sans Serif"/>
          <w:sz w:val="21"/>
          <w:szCs w:val="21"/>
        </w:rPr>
        <w:t xml:space="preserve"> </w:t>
      </w:r>
      <w:r w:rsidRPr="00B271AD">
        <w:rPr>
          <w:rFonts w:eastAsia="Microsoft Sans Serif"/>
          <w:sz w:val="21"/>
          <w:szCs w:val="21"/>
        </w:rPr>
        <w:t>ПРУ</w:t>
      </w:r>
      <w:r w:rsidR="00495462">
        <w:rPr>
          <w:rFonts w:eastAsia="Microsoft Sans Serif"/>
          <w:sz w:val="21"/>
          <w:szCs w:val="21"/>
        </w:rPr>
        <w:t xml:space="preserve"> </w:t>
      </w:r>
      <w:r w:rsidRPr="00B271AD">
        <w:rPr>
          <w:rFonts w:eastAsia="Microsoft Sans Serif"/>
          <w:sz w:val="21"/>
          <w:szCs w:val="21"/>
        </w:rPr>
        <w:t>громадських</w:t>
      </w:r>
      <w:r w:rsidR="00495462">
        <w:rPr>
          <w:rFonts w:eastAsia="Microsoft Sans Serif"/>
          <w:sz w:val="21"/>
          <w:szCs w:val="21"/>
        </w:rPr>
        <w:t xml:space="preserve"> </w:t>
      </w:r>
      <w:r w:rsidRPr="00B271AD">
        <w:rPr>
          <w:rFonts w:eastAsia="Microsoft Sans Serif"/>
          <w:sz w:val="21"/>
          <w:szCs w:val="21"/>
        </w:rPr>
        <w:t>будівель (крім закладів освіти) та житлових будинків необхідно передбачати відокремлену зону для</w:t>
      </w:r>
      <w:r w:rsidR="00495462">
        <w:rPr>
          <w:rFonts w:eastAsia="Microsoft Sans Serif"/>
          <w:sz w:val="21"/>
          <w:szCs w:val="21"/>
        </w:rPr>
        <w:t xml:space="preserve"> </w:t>
      </w:r>
      <w:r w:rsidRPr="00B271AD">
        <w:rPr>
          <w:rFonts w:eastAsia="Microsoft Sans Serif"/>
          <w:sz w:val="21"/>
          <w:szCs w:val="21"/>
        </w:rPr>
        <w:t>осіб з інвалідністю (за необхідн</w:t>
      </w:r>
      <w:r w:rsidR="00691CB5">
        <w:rPr>
          <w:rFonts w:eastAsia="Microsoft Sans Serif"/>
          <w:sz w:val="21"/>
          <w:szCs w:val="21"/>
        </w:rPr>
        <w:t>і</w:t>
      </w:r>
      <w:r w:rsidRPr="00B271AD">
        <w:rPr>
          <w:rFonts w:eastAsia="Microsoft Sans Serif"/>
          <w:sz w:val="21"/>
          <w:szCs w:val="21"/>
        </w:rPr>
        <w:t>стю із супроводжуючими) із розрахунку 10% від загальної місткості</w:t>
      </w:r>
      <w:r w:rsidR="00495462">
        <w:rPr>
          <w:rFonts w:eastAsia="Microsoft Sans Serif"/>
          <w:sz w:val="21"/>
          <w:szCs w:val="21"/>
        </w:rPr>
        <w:t xml:space="preserve"> </w:t>
      </w:r>
      <w:r w:rsidRPr="00B271AD">
        <w:rPr>
          <w:rFonts w:eastAsia="Microsoft Sans Serif"/>
          <w:sz w:val="21"/>
          <w:szCs w:val="21"/>
        </w:rPr>
        <w:t>захисної</w:t>
      </w:r>
      <w:r w:rsidR="00495462">
        <w:rPr>
          <w:rFonts w:eastAsia="Microsoft Sans Serif"/>
          <w:sz w:val="21"/>
          <w:szCs w:val="21"/>
        </w:rPr>
        <w:t xml:space="preserve"> </w:t>
      </w:r>
      <w:r w:rsidRPr="00B271AD">
        <w:rPr>
          <w:rFonts w:eastAsia="Microsoft Sans Serif"/>
          <w:sz w:val="21"/>
          <w:szCs w:val="21"/>
        </w:rPr>
        <w:t>споруди</w:t>
      </w:r>
      <w:r w:rsidR="00495462">
        <w:rPr>
          <w:rFonts w:eastAsia="Microsoft Sans Serif"/>
          <w:sz w:val="21"/>
          <w:szCs w:val="21"/>
        </w:rPr>
        <w:t xml:space="preserve"> </w:t>
      </w:r>
      <w:r w:rsidRPr="00B271AD">
        <w:rPr>
          <w:rFonts w:eastAsia="Microsoft Sans Serif"/>
          <w:sz w:val="21"/>
          <w:szCs w:val="21"/>
        </w:rPr>
        <w:t>або</w:t>
      </w:r>
      <w:r w:rsidR="00495462">
        <w:rPr>
          <w:rFonts w:eastAsia="Microsoft Sans Serif"/>
          <w:sz w:val="21"/>
          <w:szCs w:val="21"/>
        </w:rPr>
        <w:t xml:space="preserve"> </w:t>
      </w:r>
      <w:r w:rsidRPr="00B271AD">
        <w:rPr>
          <w:rFonts w:eastAsia="Microsoft Sans Serif"/>
          <w:sz w:val="21"/>
          <w:szCs w:val="21"/>
        </w:rPr>
        <w:t xml:space="preserve">СПП. </w:t>
      </w:r>
    </w:p>
    <w:p w14:paraId="5D2F9B9A" w14:textId="77777777" w:rsidR="00030DC4" w:rsidRPr="00B271AD" w:rsidRDefault="00030DC4" w:rsidP="00030DC4">
      <w:pPr>
        <w:widowControl w:val="0"/>
        <w:autoSpaceDE w:val="0"/>
        <w:autoSpaceDN w:val="0"/>
        <w:spacing w:before="0" w:line="288" w:lineRule="auto"/>
        <w:ind w:right="-1"/>
        <w:contextualSpacing/>
        <w:rPr>
          <w:rFonts w:eastAsia="Microsoft Sans Serif"/>
          <w:sz w:val="21"/>
          <w:szCs w:val="21"/>
        </w:rPr>
      </w:pPr>
      <w:r w:rsidRPr="00B271AD">
        <w:rPr>
          <w:rFonts w:eastAsia="Microsoft Sans Serif"/>
          <w:sz w:val="21"/>
          <w:szCs w:val="21"/>
        </w:rPr>
        <w:t>Допускається</w:t>
      </w:r>
      <w:r w:rsidR="00495462">
        <w:rPr>
          <w:rFonts w:eastAsia="Microsoft Sans Serif"/>
          <w:sz w:val="21"/>
          <w:szCs w:val="21"/>
        </w:rPr>
        <w:t xml:space="preserve"> </w:t>
      </w:r>
      <w:r w:rsidRPr="00B271AD">
        <w:rPr>
          <w:rFonts w:eastAsia="Microsoft Sans Serif"/>
          <w:sz w:val="21"/>
          <w:szCs w:val="21"/>
        </w:rPr>
        <w:t>влаштування</w:t>
      </w:r>
      <w:r w:rsidR="00495462">
        <w:rPr>
          <w:rFonts w:eastAsia="Microsoft Sans Serif"/>
          <w:sz w:val="21"/>
          <w:szCs w:val="21"/>
        </w:rPr>
        <w:t xml:space="preserve"> </w:t>
      </w:r>
      <w:r w:rsidRPr="00B271AD">
        <w:rPr>
          <w:rFonts w:eastAsia="Microsoft Sans Serif"/>
          <w:sz w:val="21"/>
          <w:szCs w:val="21"/>
        </w:rPr>
        <w:t>окремого</w:t>
      </w:r>
      <w:r w:rsidR="00495462">
        <w:rPr>
          <w:rFonts w:eastAsia="Microsoft Sans Serif"/>
          <w:sz w:val="21"/>
          <w:szCs w:val="21"/>
        </w:rPr>
        <w:t xml:space="preserve"> </w:t>
      </w:r>
      <w:r w:rsidRPr="00B271AD">
        <w:rPr>
          <w:rFonts w:eastAsia="Microsoft Sans Serif"/>
          <w:sz w:val="21"/>
          <w:szCs w:val="21"/>
        </w:rPr>
        <w:t>приміщення</w:t>
      </w:r>
      <w:r w:rsidR="00495462">
        <w:rPr>
          <w:rFonts w:eastAsia="Microsoft Sans Serif"/>
          <w:sz w:val="21"/>
          <w:szCs w:val="21"/>
        </w:rPr>
        <w:t xml:space="preserve"> </w:t>
      </w:r>
      <w:r w:rsidRPr="00B271AD">
        <w:rPr>
          <w:rFonts w:eastAsia="Microsoft Sans Serif"/>
          <w:sz w:val="21"/>
          <w:szCs w:val="21"/>
        </w:rPr>
        <w:t>для</w:t>
      </w:r>
      <w:r w:rsidR="00495462">
        <w:rPr>
          <w:rFonts w:eastAsia="Microsoft Sans Serif"/>
          <w:sz w:val="21"/>
          <w:szCs w:val="21"/>
        </w:rPr>
        <w:t xml:space="preserve"> </w:t>
      </w:r>
      <w:r w:rsidRPr="00B271AD">
        <w:rPr>
          <w:rFonts w:eastAsia="Microsoft Sans Serif"/>
          <w:sz w:val="21"/>
          <w:szCs w:val="21"/>
        </w:rPr>
        <w:t>осіб</w:t>
      </w:r>
      <w:r w:rsidR="00495462">
        <w:rPr>
          <w:rFonts w:eastAsia="Microsoft Sans Serif"/>
          <w:sz w:val="21"/>
          <w:szCs w:val="21"/>
        </w:rPr>
        <w:t xml:space="preserve"> </w:t>
      </w:r>
      <w:r w:rsidRPr="00B271AD">
        <w:rPr>
          <w:rFonts w:eastAsia="Microsoft Sans Serif"/>
          <w:sz w:val="21"/>
          <w:szCs w:val="21"/>
        </w:rPr>
        <w:t>з</w:t>
      </w:r>
      <w:r w:rsidR="00495462">
        <w:rPr>
          <w:rFonts w:eastAsia="Microsoft Sans Serif"/>
          <w:sz w:val="21"/>
          <w:szCs w:val="21"/>
        </w:rPr>
        <w:t xml:space="preserve"> </w:t>
      </w:r>
      <w:r w:rsidRPr="00B271AD">
        <w:rPr>
          <w:rFonts w:eastAsia="Microsoft Sans Serif"/>
          <w:sz w:val="21"/>
          <w:szCs w:val="21"/>
        </w:rPr>
        <w:t>інвалідністю</w:t>
      </w:r>
      <w:r w:rsidR="00495462">
        <w:rPr>
          <w:rFonts w:eastAsia="Microsoft Sans Serif"/>
          <w:sz w:val="21"/>
          <w:szCs w:val="21"/>
        </w:rPr>
        <w:t xml:space="preserve"> </w:t>
      </w:r>
      <w:r w:rsidRPr="00B271AD">
        <w:rPr>
          <w:rFonts w:eastAsia="Microsoft Sans Serif"/>
          <w:sz w:val="21"/>
          <w:szCs w:val="21"/>
        </w:rPr>
        <w:t>замість</w:t>
      </w:r>
      <w:r w:rsidR="00495462">
        <w:rPr>
          <w:rFonts w:eastAsia="Microsoft Sans Serif"/>
          <w:sz w:val="21"/>
          <w:szCs w:val="21"/>
        </w:rPr>
        <w:t xml:space="preserve"> </w:t>
      </w:r>
      <w:r w:rsidRPr="00B271AD">
        <w:rPr>
          <w:rFonts w:eastAsia="Microsoft Sans Serif"/>
          <w:sz w:val="21"/>
          <w:szCs w:val="21"/>
        </w:rPr>
        <w:t>відокремленої</w:t>
      </w:r>
      <w:r w:rsidR="00495462">
        <w:rPr>
          <w:rFonts w:eastAsia="Microsoft Sans Serif"/>
          <w:sz w:val="21"/>
          <w:szCs w:val="21"/>
        </w:rPr>
        <w:t xml:space="preserve"> </w:t>
      </w:r>
      <w:r w:rsidRPr="00B271AD">
        <w:rPr>
          <w:rFonts w:eastAsia="Microsoft Sans Serif"/>
          <w:sz w:val="21"/>
          <w:szCs w:val="21"/>
        </w:rPr>
        <w:t>зони</w:t>
      </w:r>
      <w:r w:rsidR="00495462">
        <w:rPr>
          <w:rFonts w:eastAsia="Microsoft Sans Serif"/>
          <w:sz w:val="21"/>
          <w:szCs w:val="21"/>
        </w:rPr>
        <w:t xml:space="preserve"> </w:t>
      </w:r>
      <w:r w:rsidRPr="00B271AD">
        <w:rPr>
          <w:rFonts w:eastAsia="Microsoft Sans Serif"/>
          <w:sz w:val="21"/>
          <w:szCs w:val="21"/>
        </w:rPr>
        <w:t>в</w:t>
      </w:r>
      <w:r w:rsidR="00495462">
        <w:rPr>
          <w:rFonts w:eastAsia="Microsoft Sans Serif"/>
          <w:sz w:val="21"/>
          <w:szCs w:val="21"/>
        </w:rPr>
        <w:t xml:space="preserve"> </w:t>
      </w:r>
      <w:r w:rsidRPr="00B271AD">
        <w:rPr>
          <w:rFonts w:eastAsia="Microsoft Sans Serif"/>
          <w:sz w:val="21"/>
          <w:szCs w:val="21"/>
        </w:rPr>
        <w:t>основному</w:t>
      </w:r>
      <w:r w:rsidR="00495462">
        <w:rPr>
          <w:rFonts w:eastAsia="Microsoft Sans Serif"/>
          <w:sz w:val="21"/>
          <w:szCs w:val="21"/>
        </w:rPr>
        <w:t xml:space="preserve"> </w:t>
      </w:r>
      <w:r w:rsidRPr="00B271AD">
        <w:rPr>
          <w:rFonts w:eastAsia="Microsoft Sans Serif"/>
          <w:sz w:val="21"/>
          <w:szCs w:val="21"/>
        </w:rPr>
        <w:t>приміщенні</w:t>
      </w:r>
      <w:r w:rsidR="00495462">
        <w:rPr>
          <w:rFonts w:eastAsia="Microsoft Sans Serif"/>
          <w:sz w:val="21"/>
          <w:szCs w:val="21"/>
        </w:rPr>
        <w:t xml:space="preserve"> </w:t>
      </w:r>
      <w:r w:rsidRPr="00B271AD">
        <w:rPr>
          <w:rFonts w:eastAsia="Microsoft Sans Serif"/>
          <w:sz w:val="21"/>
          <w:szCs w:val="21"/>
        </w:rPr>
        <w:t>для</w:t>
      </w:r>
      <w:r w:rsidR="00495462">
        <w:rPr>
          <w:rFonts w:eastAsia="Microsoft Sans Serif"/>
          <w:sz w:val="21"/>
          <w:szCs w:val="21"/>
        </w:rPr>
        <w:t xml:space="preserve"> </w:t>
      </w:r>
      <w:r w:rsidRPr="00B271AD">
        <w:rPr>
          <w:rFonts w:eastAsia="Microsoft Sans Serif"/>
          <w:sz w:val="21"/>
          <w:szCs w:val="21"/>
        </w:rPr>
        <w:t xml:space="preserve">укриття. </w:t>
      </w:r>
    </w:p>
    <w:p w14:paraId="06714B40" w14:textId="77777777" w:rsidR="00030DC4" w:rsidRPr="00B271AD" w:rsidRDefault="00030DC4" w:rsidP="00EB41DA">
      <w:pPr>
        <w:widowControl w:val="0"/>
        <w:autoSpaceDE w:val="0"/>
        <w:autoSpaceDN w:val="0"/>
        <w:spacing w:before="0" w:line="288" w:lineRule="auto"/>
        <w:ind w:right="-1"/>
        <w:contextualSpacing/>
        <w:rPr>
          <w:rFonts w:eastAsia="Microsoft Sans Serif"/>
          <w:sz w:val="21"/>
          <w:szCs w:val="21"/>
        </w:rPr>
      </w:pPr>
      <w:r w:rsidRPr="00B271AD">
        <w:rPr>
          <w:rFonts w:eastAsia="Microsoft Sans Serif"/>
          <w:sz w:val="21"/>
          <w:szCs w:val="21"/>
        </w:rPr>
        <w:t>Приміщення або відокремлені зони для осіб з інвалідністю мають бути розміщені на мінімально</w:t>
      </w:r>
      <w:r w:rsidR="00495462">
        <w:rPr>
          <w:rFonts w:eastAsia="Microsoft Sans Serif"/>
          <w:sz w:val="21"/>
          <w:szCs w:val="21"/>
        </w:rPr>
        <w:t xml:space="preserve"> </w:t>
      </w:r>
      <w:r w:rsidRPr="00B271AD">
        <w:rPr>
          <w:rFonts w:eastAsia="Microsoft Sans Serif"/>
          <w:sz w:val="21"/>
          <w:szCs w:val="21"/>
        </w:rPr>
        <w:t>можливих відстанях (але не більше ніж 50 м з урахуванням шляху руху) до універсальних санітарно-гігієнічних</w:t>
      </w:r>
      <w:r w:rsidR="00495462">
        <w:rPr>
          <w:rFonts w:eastAsia="Microsoft Sans Serif"/>
          <w:sz w:val="21"/>
          <w:szCs w:val="21"/>
        </w:rPr>
        <w:t xml:space="preserve"> </w:t>
      </w:r>
      <w:r w:rsidRPr="00B271AD">
        <w:rPr>
          <w:rFonts w:eastAsia="Microsoft Sans Serif"/>
          <w:sz w:val="21"/>
          <w:szCs w:val="21"/>
        </w:rPr>
        <w:t>приміщень</w:t>
      </w:r>
      <w:r w:rsidR="00495462">
        <w:rPr>
          <w:rFonts w:eastAsia="Microsoft Sans Serif"/>
          <w:sz w:val="21"/>
          <w:szCs w:val="21"/>
        </w:rPr>
        <w:t xml:space="preserve"> </w:t>
      </w:r>
      <w:r w:rsidRPr="00B271AD">
        <w:rPr>
          <w:rFonts w:eastAsia="Microsoft Sans Serif"/>
          <w:sz w:val="21"/>
          <w:szCs w:val="21"/>
        </w:rPr>
        <w:t>та</w:t>
      </w:r>
      <w:r w:rsidR="00495462">
        <w:rPr>
          <w:rFonts w:eastAsia="Microsoft Sans Serif"/>
          <w:sz w:val="21"/>
          <w:szCs w:val="21"/>
        </w:rPr>
        <w:t xml:space="preserve"> </w:t>
      </w:r>
      <w:r w:rsidRPr="00B271AD">
        <w:rPr>
          <w:rFonts w:eastAsia="Microsoft Sans Serif"/>
          <w:sz w:val="21"/>
          <w:szCs w:val="21"/>
        </w:rPr>
        <w:t>позначені</w:t>
      </w:r>
      <w:r w:rsidR="00495462">
        <w:rPr>
          <w:rFonts w:eastAsia="Microsoft Sans Serif"/>
          <w:sz w:val="21"/>
          <w:szCs w:val="21"/>
        </w:rPr>
        <w:t xml:space="preserve"> </w:t>
      </w:r>
      <w:r w:rsidRPr="00B271AD">
        <w:rPr>
          <w:rFonts w:eastAsia="Microsoft Sans Serif"/>
          <w:sz w:val="21"/>
          <w:szCs w:val="21"/>
        </w:rPr>
        <w:t>відповідними інформаційним</w:t>
      </w:r>
      <w:r w:rsidR="001406BF">
        <w:rPr>
          <w:rFonts w:eastAsia="Microsoft Sans Serif"/>
          <w:sz w:val="21"/>
          <w:szCs w:val="21"/>
        </w:rPr>
        <w:t>и</w:t>
      </w:r>
      <w:r w:rsidR="00495462">
        <w:rPr>
          <w:rFonts w:eastAsia="Microsoft Sans Serif"/>
          <w:sz w:val="21"/>
          <w:szCs w:val="21"/>
        </w:rPr>
        <w:t xml:space="preserve"> </w:t>
      </w:r>
      <w:r w:rsidRPr="00B271AD">
        <w:rPr>
          <w:rFonts w:eastAsia="Microsoft Sans Serif"/>
          <w:sz w:val="21"/>
          <w:szCs w:val="21"/>
        </w:rPr>
        <w:t>вказівниками.</w:t>
      </w:r>
    </w:p>
    <w:p w14:paraId="436083BB" w14:textId="77777777" w:rsidR="00030DC4" w:rsidRPr="00F6335A" w:rsidRDefault="00030DC4" w:rsidP="00EB41DA">
      <w:pPr>
        <w:widowControl w:val="0"/>
        <w:autoSpaceDE w:val="0"/>
        <w:autoSpaceDN w:val="0"/>
        <w:spacing w:before="0" w:line="288" w:lineRule="auto"/>
        <w:ind w:right="-1"/>
        <w:contextualSpacing/>
        <w:rPr>
          <w:rFonts w:eastAsia="Microsoft Sans Serif"/>
          <w:b/>
          <w:bCs/>
          <w:i/>
          <w:iCs/>
          <w:color w:val="00B050"/>
          <w:sz w:val="21"/>
          <w:szCs w:val="21"/>
        </w:rPr>
      </w:pPr>
      <w:r w:rsidRPr="00F6335A">
        <w:rPr>
          <w:rFonts w:eastAsia="Microsoft Sans Serif"/>
          <w:b/>
          <w:bCs/>
          <w:i/>
          <w:iCs/>
          <w:color w:val="00B050"/>
          <w:sz w:val="21"/>
          <w:szCs w:val="21"/>
        </w:rPr>
        <w:t>(Пункт 7.2.2.2 змінено, Зміна № 1)</w:t>
      </w:r>
    </w:p>
    <w:p w14:paraId="68AA8096"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b/>
          <w:sz w:val="21"/>
          <w:szCs w:val="21"/>
        </w:rPr>
        <w:t>7.2.2.3</w:t>
      </w:r>
      <w:r w:rsidRPr="00B271AD">
        <w:rPr>
          <w:sz w:val="21"/>
          <w:szCs w:val="21"/>
        </w:rPr>
        <w:t xml:space="preserve"> Обов’язковими є наступні допоміжні приміщення для ПРУ та СПП із захисними властивостями ПРУ:</w:t>
      </w:r>
    </w:p>
    <w:p w14:paraId="7013EAA8"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санітарно-гігієнічні приміщення;</w:t>
      </w:r>
    </w:p>
    <w:p w14:paraId="471E2C03"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вентиляційного та фільтровентиляційного обладнання;</w:t>
      </w:r>
    </w:p>
    <w:p w14:paraId="6B8B4807" w14:textId="3C2862AA"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зберігання забрудненого одягу (ця норма для ПРУ є обов'язковою, а для СПП із захисними властивостями ПРУ є</w:t>
      </w:r>
      <w:r w:rsidR="00722483">
        <w:rPr>
          <w:color w:val="000000" w:themeColor="text1"/>
          <w:sz w:val="21"/>
          <w:szCs w:val="21"/>
        </w:rPr>
        <w:t xml:space="preserve"> </w:t>
      </w:r>
      <w:r w:rsidR="00EB2FB3" w:rsidRPr="00CA7C54">
        <w:rPr>
          <w:color w:val="000000" w:themeColor="text1"/>
          <w:sz w:val="21"/>
          <w:szCs w:val="21"/>
        </w:rPr>
        <w:t>рекомендованою</w:t>
      </w:r>
      <w:r w:rsidR="00011FAC" w:rsidRPr="00CA7C54">
        <w:rPr>
          <w:color w:val="000000" w:themeColor="text1"/>
          <w:sz w:val="21"/>
          <w:szCs w:val="21"/>
        </w:rPr>
        <w:t>.</w:t>
      </w:r>
    </w:p>
    <w:p w14:paraId="595725AF"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Рекомендується до складу допоміжних приміщень ПРУ та СПП із захисними властивостями ПРУ у складі громадських та житлових будівель завданням на проєктування включати:</w:t>
      </w:r>
    </w:p>
    <w:p w14:paraId="7F4D8F33" w14:textId="77777777" w:rsidR="003C4E04" w:rsidRPr="00CA7C54" w:rsidRDefault="00A60480" w:rsidP="00A60480">
      <w:pPr>
        <w:pBdr>
          <w:top w:val="nil"/>
          <w:left w:val="nil"/>
          <w:bottom w:val="nil"/>
          <w:right w:val="nil"/>
          <w:between w:val="nil"/>
        </w:pBdr>
        <w:spacing w:before="0" w:line="288" w:lineRule="auto"/>
        <w:ind w:firstLine="566"/>
        <w:contextualSpacing/>
        <w:jc w:val="left"/>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приміщення для аварійних джерел живлення (в тому числі акумуляторних батарей, дизельної електростанції); </w:t>
      </w:r>
    </w:p>
    <w:p w14:paraId="5D7B958E"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складське приміщення (для меблів, інвентарю);</w:t>
      </w:r>
    </w:p>
    <w:p w14:paraId="69255681"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зберігання продовольства (одне приміщення на 500 осіб);</w:t>
      </w:r>
    </w:p>
    <w:p w14:paraId="58747E9C"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приміщення/зона для зберігання води (в ПРУ та СПП із захисними властивостями ПРУ місткістю до 200 осіб – зони відокремлені в основному приміщенні укриття, місткістю від 201 осіб – окремі приміщення);</w:t>
      </w:r>
    </w:p>
    <w:p w14:paraId="082A0828"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зберігання відходів;</w:t>
      </w:r>
    </w:p>
    <w:p w14:paraId="4F87A612"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приміщення/зона для підігріву та видачі їжі, питного режиму та миття посуду;</w:t>
      </w:r>
    </w:p>
    <w:p w14:paraId="21FADB94"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Pr>
          <w:color w:val="000000" w:themeColor="text1"/>
          <w:sz w:val="21"/>
          <w:szCs w:val="21"/>
        </w:rPr>
        <w:lastRenderedPageBreak/>
        <w:t xml:space="preserve">- </w:t>
      </w:r>
      <w:r w:rsidR="001E748C" w:rsidRPr="00CA7C54">
        <w:rPr>
          <w:color w:val="000000" w:themeColor="text1"/>
          <w:sz w:val="21"/>
          <w:szCs w:val="21"/>
        </w:rPr>
        <w:t xml:space="preserve">для закладів дошкільної освіти та для учнів 1-2 класів закладів загальної середньої освіти – приміщення з обладнанням для підтримання нормативної температури їжі, питного режиму та миття посуду </w:t>
      </w:r>
      <w:r w:rsidR="001E748C" w:rsidRPr="00CA7C54">
        <w:rPr>
          <w:color w:val="000000" w:themeColor="text1"/>
          <w:sz w:val="21"/>
          <w:szCs w:val="21"/>
          <w:highlight w:val="white"/>
        </w:rPr>
        <w:t xml:space="preserve">(ця норма при новому будівництві є обов’язковою, а при реконструкції – </w:t>
      </w:r>
      <w:r w:rsidR="002410C7" w:rsidRPr="00CA7C54">
        <w:rPr>
          <w:color w:val="000000" w:themeColor="text1"/>
          <w:sz w:val="21"/>
          <w:szCs w:val="21"/>
        </w:rPr>
        <w:t>рекомендованою</w:t>
      </w:r>
      <w:r w:rsidR="001E748C" w:rsidRPr="006652CB">
        <w:rPr>
          <w:color w:val="000000" w:themeColor="text1"/>
          <w:sz w:val="21"/>
          <w:szCs w:val="21"/>
          <w:highlight w:val="white"/>
        </w:rPr>
        <w:t>)</w:t>
      </w:r>
      <w:r w:rsidR="001E748C" w:rsidRPr="00CA7C54">
        <w:rPr>
          <w:color w:val="000000" w:themeColor="text1"/>
          <w:sz w:val="21"/>
          <w:szCs w:val="21"/>
          <w:highlight w:val="white"/>
        </w:rPr>
        <w:t>;</w:t>
      </w:r>
    </w:p>
    <w:p w14:paraId="2FC68AD8" w14:textId="77777777" w:rsidR="003C4E04" w:rsidRPr="00CA7C54" w:rsidRDefault="006652CB"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 xml:space="preserve">для закладів загальної середньої, вищої, фахової передвищої, професійної (професійно-технічної), післядипломної  та позашкільної освіти – приміщення буфету з обладнанням для підтримання нормативної температури їжі, питного режиму (ця норма при новому будівництві є обов’язковою, а при реконструкції </w:t>
      </w:r>
      <w:r w:rsidR="002410C7" w:rsidRPr="00CA7C54">
        <w:rPr>
          <w:color w:val="000000" w:themeColor="text1"/>
          <w:sz w:val="21"/>
          <w:szCs w:val="21"/>
        </w:rPr>
        <w:t>рекомендованою</w:t>
      </w:r>
      <w:r w:rsidR="001E748C" w:rsidRPr="00CA7C54">
        <w:rPr>
          <w:color w:val="000000" w:themeColor="text1"/>
          <w:sz w:val="21"/>
          <w:szCs w:val="21"/>
          <w:highlight w:val="white"/>
        </w:rPr>
        <w:t>)</w:t>
      </w:r>
      <w:r>
        <w:rPr>
          <w:color w:val="000000" w:themeColor="text1"/>
          <w:sz w:val="21"/>
          <w:szCs w:val="21"/>
          <w:highlight w:val="white"/>
        </w:rPr>
        <w:t>.</w:t>
      </w:r>
    </w:p>
    <w:p w14:paraId="6EC93E48"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Дозволяється об’єднувати приміщення з обладнанням для підтримання нормативної температури їжі, питного режиму із буфетом та замість приміщень організовувати зони, об’єднувати інші зони та приміщення, за умов виконання вимог будівельних норм, санітарних норм і правил, які регламентують вимоги зазначених приміщень. </w:t>
      </w:r>
    </w:p>
    <w:p w14:paraId="39674ABD" w14:textId="77777777" w:rsidR="003C4E04" w:rsidRPr="00CA7C54" w:rsidRDefault="001E748C" w:rsidP="00C675B3">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7.2.2.4 </w:t>
      </w:r>
      <w:r w:rsidRPr="00CA7C54">
        <w:rPr>
          <w:color w:val="000000" w:themeColor="text1"/>
          <w:sz w:val="21"/>
          <w:szCs w:val="21"/>
        </w:rPr>
        <w:t>У разі відсутності в складі допоміжних приміщень ПРУ та СПП із захисними властивостями ПРУ приміщення для аварійних джерел живлення допускається електрообладнання приміщень таких споруд підключати до ДЕС, розташованої за межами захисної споруди</w:t>
      </w:r>
      <w:r w:rsidR="006652CB">
        <w:rPr>
          <w:color w:val="000000" w:themeColor="text1"/>
          <w:sz w:val="21"/>
          <w:szCs w:val="21"/>
        </w:rPr>
        <w:t>.</w:t>
      </w:r>
    </w:p>
    <w:p w14:paraId="4AAB14CB" w14:textId="77777777" w:rsidR="003C4E04" w:rsidRPr="00CA7C54" w:rsidRDefault="00613B23"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7.2.2.5</w:t>
      </w:r>
      <w:r w:rsidR="001E748C" w:rsidRPr="00CA7C54">
        <w:rPr>
          <w:color w:val="000000" w:themeColor="text1"/>
          <w:sz w:val="21"/>
          <w:szCs w:val="21"/>
        </w:rPr>
        <w:t xml:space="preserve"> Приміщення для зберігання забрудненого вуличного одягу слід передбачати при одному з виходів і відділяти від суміжних приміщень протипожежними перегородками 1-го типу,  із заповненням двірних прорізів протипожежними дверима 2 -го типу.</w:t>
      </w:r>
    </w:p>
    <w:p w14:paraId="20498B50"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Приміщення обладнується лавами, вішалками.</w:t>
      </w:r>
    </w:p>
    <w:p w14:paraId="40722E31"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ПРУ та СПП місткістю до 50 осіб замість приміщення для забрудненого одягу допускається передбачати влаштування при входах вішалок, які розміщуються за завісами.</w:t>
      </w:r>
    </w:p>
    <w:p w14:paraId="7762D521" w14:textId="77777777" w:rsidR="003C4E04" w:rsidRPr="00CA7C54" w:rsidRDefault="00613B23"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7.2.2.6</w:t>
      </w:r>
      <w:r w:rsidR="001E748C" w:rsidRPr="00CA7C54">
        <w:rPr>
          <w:color w:val="000000" w:themeColor="text1"/>
          <w:sz w:val="21"/>
          <w:szCs w:val="21"/>
        </w:rPr>
        <w:t xml:space="preserve"> У ПРУ та СПП із захисними властивостями ПРУ, що мають вентиляцію з механічним спонуканням, слід передбачати вентиляційні приміщення, розміри яких визначаються габаритами обладнання і площею, яка необхідна для його обслуговування.</w:t>
      </w:r>
    </w:p>
    <w:p w14:paraId="25975032"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При ручному приводі вентилятора протипилові фільтри повинні мати ст</w:t>
      </w:r>
      <w:r w:rsidR="002D7461" w:rsidRPr="00CA7C54">
        <w:rPr>
          <w:color w:val="000000" w:themeColor="text1"/>
          <w:sz w:val="21"/>
          <w:szCs w:val="21"/>
        </w:rPr>
        <w:t>і</w:t>
      </w:r>
      <w:r w:rsidRPr="00CA7C54">
        <w:rPr>
          <w:color w:val="000000" w:themeColor="text1"/>
          <w:sz w:val="21"/>
          <w:szCs w:val="21"/>
        </w:rPr>
        <w:t>нку(екран), який виключає можливість прямого опромінювання обслуговуючого персоналу.</w:t>
      </w:r>
    </w:p>
    <w:p w14:paraId="38EC55B9"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rPr>
        <w:t>Товщина стінки (екранів) і стін вентиляційних приміщень, суміжних з основним приміщенням для укриття, приймається відпов</w:t>
      </w:r>
      <w:r w:rsidRPr="00CA7C54">
        <w:rPr>
          <w:color w:val="000000" w:themeColor="text1"/>
          <w:sz w:val="21"/>
          <w:szCs w:val="21"/>
          <w:highlight w:val="white"/>
        </w:rPr>
        <w:t>ідно до таблиці 7.2</w:t>
      </w:r>
    </w:p>
    <w:p w14:paraId="5DA15F97" w14:textId="2D1C88E2" w:rsidR="003C4E04" w:rsidRDefault="00613B23" w:rsidP="0042528B">
      <w:pPr>
        <w:pBdr>
          <w:top w:val="nil"/>
          <w:left w:val="nil"/>
          <w:bottom w:val="nil"/>
          <w:right w:val="nil"/>
          <w:between w:val="nil"/>
        </w:pBdr>
        <w:spacing w:before="0" w:after="60" w:line="288" w:lineRule="auto"/>
        <w:contextualSpacing/>
        <w:rPr>
          <w:color w:val="000000" w:themeColor="text1"/>
          <w:sz w:val="21"/>
          <w:szCs w:val="21"/>
        </w:rPr>
      </w:pPr>
      <w:r w:rsidRPr="00CA7C54">
        <w:rPr>
          <w:b/>
          <w:color w:val="000000" w:themeColor="text1"/>
          <w:sz w:val="21"/>
          <w:szCs w:val="21"/>
        </w:rPr>
        <w:t>7.2.</w:t>
      </w:r>
      <w:r w:rsidR="005C01C6">
        <w:rPr>
          <w:b/>
          <w:color w:val="000000" w:themeColor="text1"/>
          <w:sz w:val="21"/>
          <w:szCs w:val="21"/>
        </w:rPr>
        <w:t>2</w:t>
      </w:r>
      <w:r w:rsidRPr="00CA7C54">
        <w:rPr>
          <w:b/>
          <w:color w:val="000000" w:themeColor="text1"/>
          <w:sz w:val="21"/>
          <w:szCs w:val="21"/>
        </w:rPr>
        <w:t>.7</w:t>
      </w:r>
      <w:r w:rsidR="00134039">
        <w:rPr>
          <w:b/>
          <w:color w:val="000000" w:themeColor="text1"/>
          <w:sz w:val="21"/>
          <w:szCs w:val="21"/>
        </w:rPr>
        <w:t xml:space="preserve"> </w:t>
      </w:r>
      <w:r w:rsidR="001E748C" w:rsidRPr="00CA7C54">
        <w:rPr>
          <w:color w:val="000000" w:themeColor="text1"/>
          <w:sz w:val="21"/>
          <w:szCs w:val="21"/>
        </w:rPr>
        <w:t>У складі ПРУ та СПП із захисними властивостями ПРУ місткістю 20 осіб і менше, може передбачатися мінімальна кількість основних та допоміжних приміщень, а саме: основне приміщення для укриття та приміщення для встановлення біо-, хімічних туалетів або виносної тари, що щільно закривається. Зберігання запасів питної води та продовольства може передбачатися в основному приміщенні.</w:t>
      </w:r>
    </w:p>
    <w:p w14:paraId="12DD0557" w14:textId="77777777" w:rsidR="003C4E04" w:rsidRPr="00CA7C54" w:rsidRDefault="001E748C" w:rsidP="0042528B">
      <w:pPr>
        <w:pStyle w:val="3"/>
        <w:spacing w:before="0" w:after="60" w:line="288" w:lineRule="auto"/>
        <w:contextualSpacing/>
        <w:rPr>
          <w:color w:val="000000" w:themeColor="text1"/>
          <w:sz w:val="21"/>
          <w:szCs w:val="21"/>
        </w:rPr>
      </w:pPr>
      <w:r w:rsidRPr="00CA7C54">
        <w:rPr>
          <w:color w:val="000000" w:themeColor="text1"/>
          <w:sz w:val="21"/>
          <w:szCs w:val="21"/>
        </w:rPr>
        <w:t>7.3 Основне приміщення для укриття</w:t>
      </w:r>
    </w:p>
    <w:p w14:paraId="44229A25"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bookmarkStart w:id="12" w:name="_heading=h.46r0co2" w:colFirst="0" w:colLast="0"/>
      <w:bookmarkEnd w:id="12"/>
      <w:r w:rsidRPr="00CA7C54">
        <w:rPr>
          <w:b/>
          <w:color w:val="000000" w:themeColor="text1"/>
          <w:sz w:val="21"/>
          <w:szCs w:val="21"/>
        </w:rPr>
        <w:t xml:space="preserve">7.3.1 </w:t>
      </w:r>
      <w:r w:rsidRPr="00CA7C54">
        <w:rPr>
          <w:color w:val="000000" w:themeColor="text1"/>
          <w:sz w:val="21"/>
          <w:szCs w:val="21"/>
          <w:highlight w:val="white"/>
        </w:rPr>
        <w:t>Нормим</w:t>
      </w:r>
      <w:r w:rsidRPr="00CA7C54">
        <w:rPr>
          <w:color w:val="000000" w:themeColor="text1"/>
          <w:sz w:val="21"/>
          <w:szCs w:val="21"/>
        </w:rPr>
        <w:t>інімальної площі на одну особу, що підлягає укриттю в основному приміщенні для укриття захисних споруд та СПП, наве</w:t>
      </w:r>
      <w:r w:rsidRPr="00CA7C54">
        <w:rPr>
          <w:color w:val="000000" w:themeColor="text1"/>
          <w:sz w:val="21"/>
          <w:szCs w:val="21"/>
          <w:highlight w:val="white"/>
        </w:rPr>
        <w:t>дено у Додатку Б.</w:t>
      </w:r>
    </w:p>
    <w:p w14:paraId="7E80587A"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w:t>
      </w:r>
      <w:r w:rsidRPr="00CA7C54">
        <w:rPr>
          <w:color w:val="000000" w:themeColor="text1"/>
          <w:sz w:val="21"/>
          <w:szCs w:val="21"/>
          <w:highlight w:val="white"/>
        </w:rPr>
        <w:t xml:space="preserve"> норму мінім</w:t>
      </w:r>
      <w:r w:rsidRPr="00CA7C54">
        <w:rPr>
          <w:color w:val="000000" w:themeColor="text1"/>
          <w:sz w:val="21"/>
          <w:szCs w:val="21"/>
        </w:rPr>
        <w:t>альної площі на одну особу, що підлягає укриттю в основному приміщенні, не входять площі інших приміщень, коридорів тощо.</w:t>
      </w:r>
    </w:p>
    <w:p w14:paraId="1CCF34C3" w14:textId="1B9D731E"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Дозволяється збільшувати площу на одну особу з урахуванням планувальних рішень, розташування меблів, забезпечення додаткових вимог щодо інклюзивності відповідно до вимог</w:t>
      </w:r>
      <w:r w:rsidRPr="00CA7C54">
        <w:rPr>
          <w:color w:val="000000" w:themeColor="text1"/>
          <w:sz w:val="21"/>
          <w:szCs w:val="21"/>
        </w:rPr>
        <w:br/>
      </w:r>
      <w:hyperlink r:id="rId136" w:history="1">
        <w:r w:rsidRPr="00722483">
          <w:rPr>
            <w:rStyle w:val="ac"/>
            <w:rFonts w:cs="Arial"/>
            <w:sz w:val="21"/>
            <w:szCs w:val="21"/>
          </w:rPr>
          <w:t>ДБН В.2.2-40.</w:t>
        </w:r>
      </w:hyperlink>
    </w:p>
    <w:p w14:paraId="5427DACE" w14:textId="77777777" w:rsidR="003C4E04" w:rsidRPr="00B271AD" w:rsidRDefault="001E748C" w:rsidP="00EB2FB3">
      <w:pPr>
        <w:pBdr>
          <w:top w:val="nil"/>
          <w:left w:val="nil"/>
          <w:bottom w:val="nil"/>
          <w:right w:val="nil"/>
          <w:between w:val="nil"/>
        </w:pBdr>
        <w:spacing w:before="0" w:line="288" w:lineRule="auto"/>
        <w:contextualSpacing/>
        <w:rPr>
          <w:sz w:val="21"/>
          <w:szCs w:val="21"/>
        </w:rPr>
      </w:pPr>
      <w:r w:rsidRPr="00B271AD">
        <w:rPr>
          <w:b/>
          <w:sz w:val="21"/>
          <w:szCs w:val="21"/>
        </w:rPr>
        <w:t>7.3.2</w:t>
      </w:r>
    </w:p>
    <w:p w14:paraId="1801F2FF" w14:textId="77777777" w:rsidR="00DF31A6" w:rsidRPr="00F6335A" w:rsidRDefault="00DF31A6" w:rsidP="00EB2FB3">
      <w:pPr>
        <w:pBdr>
          <w:top w:val="nil"/>
          <w:left w:val="nil"/>
          <w:bottom w:val="nil"/>
          <w:right w:val="nil"/>
          <w:between w:val="nil"/>
        </w:pBdr>
        <w:spacing w:before="0" w:line="288" w:lineRule="auto"/>
        <w:contextualSpacing/>
        <w:rPr>
          <w:rFonts w:eastAsia="Times New Roman"/>
          <w:b/>
          <w:bCs/>
          <w:i/>
          <w:iCs/>
          <w:color w:val="00B050"/>
          <w:sz w:val="21"/>
          <w:szCs w:val="21"/>
          <w:highlight w:val="white"/>
        </w:rPr>
      </w:pPr>
      <w:r w:rsidRPr="00F6335A">
        <w:rPr>
          <w:b/>
          <w:bCs/>
          <w:i/>
          <w:iCs/>
          <w:color w:val="00B050"/>
          <w:sz w:val="21"/>
          <w:szCs w:val="21"/>
        </w:rPr>
        <w:t>(Пункт 7.3.2 вилучено, Зміна № 1)</w:t>
      </w:r>
    </w:p>
    <w:p w14:paraId="1DD3D22B" w14:textId="3ABC142D" w:rsidR="003C4E04" w:rsidRPr="00CA7C54" w:rsidRDefault="001E748C" w:rsidP="0042528B">
      <w:pPr>
        <w:pBdr>
          <w:top w:val="nil"/>
          <w:left w:val="nil"/>
          <w:bottom w:val="nil"/>
          <w:right w:val="nil"/>
          <w:between w:val="nil"/>
        </w:pBdr>
        <w:spacing w:before="0" w:after="60" w:line="288" w:lineRule="auto"/>
        <w:contextualSpacing/>
        <w:rPr>
          <w:rFonts w:eastAsia="Times New Roman"/>
          <w:color w:val="000000" w:themeColor="text1"/>
          <w:sz w:val="21"/>
          <w:szCs w:val="21"/>
        </w:rPr>
      </w:pPr>
      <w:r w:rsidRPr="00B271AD">
        <w:rPr>
          <w:b/>
          <w:sz w:val="21"/>
          <w:szCs w:val="21"/>
        </w:rPr>
        <w:t>7.3.</w:t>
      </w:r>
      <w:r w:rsidR="00DF31A6" w:rsidRPr="00B271AD">
        <w:rPr>
          <w:b/>
          <w:sz w:val="21"/>
          <w:szCs w:val="21"/>
        </w:rPr>
        <w:t>3</w:t>
      </w:r>
      <w:r w:rsidR="00134039">
        <w:rPr>
          <w:b/>
          <w:sz w:val="21"/>
          <w:szCs w:val="21"/>
        </w:rPr>
        <w:t xml:space="preserve"> </w:t>
      </w:r>
      <w:r w:rsidRPr="00B271AD">
        <w:rPr>
          <w:sz w:val="21"/>
          <w:szCs w:val="21"/>
        </w:rPr>
        <w:t xml:space="preserve">Дозволяється розподіляти основне </w:t>
      </w:r>
      <w:r w:rsidRPr="00DF31A6">
        <w:rPr>
          <w:sz w:val="21"/>
          <w:szCs w:val="21"/>
        </w:rPr>
        <w:t xml:space="preserve">приміщення для укриття на кілька приміщень/зон за умови дотримання протипожежних і санітарно-гігієнічних вимог, вимог щодо інклюзивності відповідно до </w:t>
      </w:r>
      <w:hyperlink r:id="rId137" w:history="1">
        <w:r w:rsidRPr="00722483">
          <w:rPr>
            <w:rStyle w:val="ac"/>
            <w:rFonts w:cs="Arial"/>
            <w:sz w:val="21"/>
            <w:szCs w:val="21"/>
          </w:rPr>
          <w:t>ДБН В.2.2.40</w:t>
        </w:r>
      </w:hyperlink>
      <w:r w:rsidRPr="00DF31A6">
        <w:rPr>
          <w:sz w:val="21"/>
          <w:szCs w:val="21"/>
        </w:rPr>
        <w:t xml:space="preserve"> та вимог щодо забезпечення режиму експлуатації</w:t>
      </w:r>
      <w:r w:rsidRPr="00CA7C54">
        <w:rPr>
          <w:color w:val="000000" w:themeColor="text1"/>
          <w:sz w:val="21"/>
          <w:szCs w:val="21"/>
        </w:rPr>
        <w:t>.</w:t>
      </w:r>
    </w:p>
    <w:p w14:paraId="62327191" w14:textId="77777777" w:rsidR="003C4E04" w:rsidRPr="00CA7C54" w:rsidRDefault="001E748C" w:rsidP="0042528B">
      <w:pPr>
        <w:pStyle w:val="3"/>
        <w:spacing w:before="0" w:after="60" w:line="288" w:lineRule="auto"/>
        <w:contextualSpacing/>
        <w:rPr>
          <w:color w:val="000000" w:themeColor="text1"/>
          <w:sz w:val="21"/>
          <w:szCs w:val="21"/>
        </w:rPr>
      </w:pPr>
      <w:r w:rsidRPr="00CA7C54">
        <w:rPr>
          <w:color w:val="000000" w:themeColor="text1"/>
          <w:sz w:val="21"/>
          <w:szCs w:val="21"/>
        </w:rPr>
        <w:lastRenderedPageBreak/>
        <w:t>7.4 Санітарно-гігієнічні приміщення</w:t>
      </w:r>
    </w:p>
    <w:p w14:paraId="443BBF7C" w14:textId="77777777"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7.4.1</w:t>
      </w:r>
      <w:r w:rsidRPr="00CA7C54">
        <w:rPr>
          <w:color w:val="000000" w:themeColor="text1"/>
          <w:sz w:val="21"/>
          <w:szCs w:val="21"/>
        </w:rPr>
        <w:t xml:space="preserve"> Туалети загального користування та інші санітарно-гігієнічні приміщення розраховують на кількість осіб, що підлягають укриттю. Співвідношення туалетів для чоловіків і жінок встановлюється завданням на проєктування.</w:t>
      </w:r>
    </w:p>
    <w:p w14:paraId="432DE2E5" w14:textId="24ECD7B9"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7.4.2</w:t>
      </w:r>
      <w:r w:rsidRPr="00CA7C54">
        <w:rPr>
          <w:color w:val="000000" w:themeColor="text1"/>
          <w:sz w:val="21"/>
          <w:szCs w:val="21"/>
        </w:rPr>
        <w:t xml:space="preserve"> Санітарно-гігієнічні приміщення про</w:t>
      </w:r>
      <w:r w:rsidR="003A15C4" w:rsidRPr="00CA7C54">
        <w:rPr>
          <w:color w:val="000000" w:themeColor="text1"/>
          <w:sz w:val="21"/>
          <w:szCs w:val="21"/>
        </w:rPr>
        <w:t>є</w:t>
      </w:r>
      <w:r w:rsidRPr="00CA7C54">
        <w:rPr>
          <w:color w:val="000000" w:themeColor="text1"/>
          <w:sz w:val="21"/>
          <w:szCs w:val="21"/>
        </w:rPr>
        <w:t>кту</w:t>
      </w:r>
      <w:r w:rsidR="003A15C4" w:rsidRPr="00CA7C54">
        <w:rPr>
          <w:color w:val="000000" w:themeColor="text1"/>
          <w:sz w:val="21"/>
          <w:szCs w:val="21"/>
        </w:rPr>
        <w:t>ю</w:t>
      </w:r>
      <w:r w:rsidRPr="00CA7C54">
        <w:rPr>
          <w:color w:val="000000" w:themeColor="text1"/>
          <w:sz w:val="21"/>
          <w:szCs w:val="21"/>
        </w:rPr>
        <w:t xml:space="preserve">ться відповідно до державних санітарних норм і правил, </w:t>
      </w:r>
      <w:hyperlink r:id="rId138" w:history="1">
        <w:r w:rsidRPr="00134039">
          <w:rPr>
            <w:rStyle w:val="ac"/>
            <w:rFonts w:cs="Arial"/>
            <w:sz w:val="21"/>
            <w:szCs w:val="21"/>
          </w:rPr>
          <w:t>ДБН В.2.2-9</w:t>
        </w:r>
      </w:hyperlink>
      <w:r w:rsidRPr="00CA7C54">
        <w:rPr>
          <w:color w:val="000000" w:themeColor="text1"/>
          <w:sz w:val="21"/>
          <w:szCs w:val="21"/>
        </w:rPr>
        <w:t xml:space="preserve"> та </w:t>
      </w:r>
      <w:hyperlink r:id="rId139" w:history="1">
        <w:r w:rsidRPr="00722483">
          <w:rPr>
            <w:rStyle w:val="ac"/>
            <w:rFonts w:cs="Arial"/>
            <w:sz w:val="21"/>
            <w:szCs w:val="21"/>
          </w:rPr>
          <w:t>ДБН В.2.2-40.</w:t>
        </w:r>
      </w:hyperlink>
    </w:p>
    <w:p w14:paraId="526645C7" w14:textId="77777777"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7.4.3</w:t>
      </w:r>
      <w:r w:rsidRPr="00CA7C54">
        <w:rPr>
          <w:color w:val="000000" w:themeColor="text1"/>
          <w:sz w:val="21"/>
          <w:szCs w:val="21"/>
        </w:rPr>
        <w:t xml:space="preserve"> Для захисних споруд та СПП суб’єктів господарювання, відповідних категорій цивільного захисту (підприємств), кількість та види санітарно-гігієнічних приміщень слід приймати відповідно до  вимог будівельних норм за видами будівель і споруд, з урахуванням призначення приміщень у мирний час, але не менше ніж:</w:t>
      </w:r>
    </w:p>
    <w:p w14:paraId="388FD449" w14:textId="77777777" w:rsidR="003C4E04" w:rsidRPr="00CA7C54" w:rsidRDefault="001E748C" w:rsidP="002D7461">
      <w:pPr>
        <w:spacing w:before="0" w:line="288" w:lineRule="auto"/>
        <w:ind w:firstLine="0"/>
        <w:contextualSpacing/>
        <w:rPr>
          <w:rFonts w:eastAsia="Times New Roman"/>
          <w:color w:val="000000" w:themeColor="text1"/>
          <w:sz w:val="16"/>
          <w:szCs w:val="16"/>
        </w:rPr>
      </w:pPr>
      <w:r w:rsidRPr="00CA7C54">
        <w:rPr>
          <w:color w:val="000000" w:themeColor="text1"/>
          <w:sz w:val="21"/>
          <w:szCs w:val="21"/>
        </w:rPr>
        <w:t xml:space="preserve">  </w:t>
      </w:r>
      <w:r w:rsidR="006652CB">
        <w:rPr>
          <w:color w:val="000000" w:themeColor="text1"/>
          <w:sz w:val="21"/>
          <w:szCs w:val="21"/>
        </w:rPr>
        <w:t xml:space="preserve">- </w:t>
      </w:r>
      <w:r w:rsidRPr="00CA7C54">
        <w:rPr>
          <w:color w:val="000000" w:themeColor="text1"/>
          <w:sz w:val="21"/>
          <w:szCs w:val="21"/>
        </w:rPr>
        <w:t>унітаз (або</w:t>
      </w:r>
      <w:r w:rsidR="002D7461" w:rsidRPr="00CA7C54">
        <w:rPr>
          <w:color w:val="000000" w:themeColor="text1"/>
          <w:sz w:val="21"/>
          <w:szCs w:val="21"/>
        </w:rPr>
        <w:t xml:space="preserve"> наземна</w:t>
      </w:r>
      <w:r w:rsidRPr="00CA7C54">
        <w:rPr>
          <w:color w:val="000000" w:themeColor="text1"/>
          <w:sz w:val="21"/>
          <w:szCs w:val="21"/>
        </w:rPr>
        <w:t xml:space="preserve"> чаша) в туалетах із розрахунку 75 осіб;</w:t>
      </w:r>
    </w:p>
    <w:p w14:paraId="00CFCB11" w14:textId="77777777" w:rsidR="003C4E04" w:rsidRPr="00CA7C54" w:rsidRDefault="006652CB" w:rsidP="00EB2FB3">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умивальник на 200 осіб (але не менше одного на санітарний вузол). </w:t>
      </w:r>
    </w:p>
    <w:p w14:paraId="3EADF6C9" w14:textId="2D145A12"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7.4.4</w:t>
      </w:r>
      <w:r w:rsidRPr="00CA7C54">
        <w:rPr>
          <w:color w:val="000000" w:themeColor="text1"/>
          <w:sz w:val="21"/>
          <w:szCs w:val="21"/>
        </w:rPr>
        <w:t xml:space="preserve"> При новому будівництві захисних споруд та СПП обов’язковим є влаштування мінімум одного універсального санітарно-гігієнічного приміщення відповідно до вимог </w:t>
      </w:r>
      <w:hyperlink r:id="rId140" w:history="1">
        <w:r w:rsidRPr="00722483">
          <w:rPr>
            <w:rStyle w:val="ac"/>
            <w:rFonts w:cs="Arial"/>
            <w:sz w:val="21"/>
            <w:szCs w:val="21"/>
          </w:rPr>
          <w:t>ДБН В.2.2-40</w:t>
        </w:r>
      </w:hyperlink>
      <w:r w:rsidRPr="00CA7C54">
        <w:rPr>
          <w:color w:val="000000" w:themeColor="text1"/>
          <w:sz w:val="21"/>
          <w:szCs w:val="21"/>
        </w:rPr>
        <w:t xml:space="preserve"> (одне таке приміщення на кожні 200  осіб).</w:t>
      </w:r>
    </w:p>
    <w:p w14:paraId="32E14BEC" w14:textId="77777777" w:rsidR="003C4E04" w:rsidRDefault="001E748C" w:rsidP="0000321E">
      <w:pPr>
        <w:spacing w:before="0" w:after="80" w:line="288" w:lineRule="auto"/>
        <w:contextualSpacing/>
        <w:rPr>
          <w:color w:val="000000" w:themeColor="text1"/>
          <w:sz w:val="21"/>
          <w:szCs w:val="21"/>
        </w:rPr>
      </w:pPr>
      <w:r w:rsidRPr="00CA7C54">
        <w:rPr>
          <w:b/>
          <w:color w:val="000000" w:themeColor="text1"/>
          <w:sz w:val="21"/>
          <w:szCs w:val="21"/>
        </w:rPr>
        <w:t>7.4.5</w:t>
      </w:r>
      <w:r w:rsidRPr="00CA7C54">
        <w:rPr>
          <w:color w:val="000000" w:themeColor="text1"/>
          <w:sz w:val="21"/>
          <w:szCs w:val="21"/>
        </w:rPr>
        <w:t xml:space="preserve"> Кількість та види санітарно-гігієнічних приміщень в закладах охорони здоров’я, закладах освіти, громадських будівлях та житлових будинках наведена в розділі 11 цих </w:t>
      </w:r>
      <w:r w:rsidR="00EB2FB3" w:rsidRPr="00CA7C54">
        <w:rPr>
          <w:color w:val="000000" w:themeColor="text1"/>
          <w:sz w:val="21"/>
          <w:szCs w:val="21"/>
        </w:rPr>
        <w:t>н</w:t>
      </w:r>
      <w:r w:rsidRPr="00CA7C54">
        <w:rPr>
          <w:color w:val="000000" w:themeColor="text1"/>
          <w:sz w:val="21"/>
          <w:szCs w:val="21"/>
        </w:rPr>
        <w:t>орм.</w:t>
      </w:r>
    </w:p>
    <w:p w14:paraId="082A65F1" w14:textId="77777777" w:rsidR="0000321E" w:rsidRPr="00B271AD" w:rsidRDefault="0000321E" w:rsidP="0000321E">
      <w:pPr>
        <w:widowControl w:val="0"/>
        <w:autoSpaceDE w:val="0"/>
        <w:autoSpaceDN w:val="0"/>
        <w:spacing w:line="290" w:lineRule="auto"/>
        <w:ind w:right="-1"/>
        <w:rPr>
          <w:rFonts w:eastAsia="Microsoft Sans Serif"/>
          <w:sz w:val="21"/>
          <w:szCs w:val="21"/>
        </w:rPr>
      </w:pPr>
      <w:r w:rsidRPr="006979A4">
        <w:rPr>
          <w:rFonts w:eastAsia="Microsoft Sans Serif"/>
          <w:b/>
          <w:bCs/>
          <w:sz w:val="21"/>
          <w:szCs w:val="21"/>
        </w:rPr>
        <w:t>7.4.6</w:t>
      </w:r>
      <w:r w:rsidRPr="00B271AD">
        <w:rPr>
          <w:rFonts w:eastAsia="Microsoft Sans Serif"/>
          <w:sz w:val="21"/>
          <w:szCs w:val="21"/>
        </w:rPr>
        <w:t>ПриновомубудівництвізахиснихспорудтаСППкрімуніверсальногосанітарно-гігієнічного</w:t>
      </w:r>
      <w:r w:rsidRPr="00B271AD">
        <w:rPr>
          <w:rFonts w:eastAsia="Microsoft Sans Serif"/>
          <w:spacing w:val="-1"/>
          <w:sz w:val="21"/>
          <w:szCs w:val="21"/>
        </w:rPr>
        <w:t>приміщення додатково рекомендується влаштовувати санітарно-гігієнічне приміщення із розширеними</w:t>
      </w:r>
      <w:r w:rsidR="00985994">
        <w:rPr>
          <w:rFonts w:eastAsia="Microsoft Sans Serif"/>
          <w:spacing w:val="-1"/>
          <w:sz w:val="21"/>
          <w:szCs w:val="21"/>
        </w:rPr>
        <w:t xml:space="preserve"> </w:t>
      </w:r>
      <w:r w:rsidRPr="00B271AD">
        <w:rPr>
          <w:rFonts w:eastAsia="Microsoft Sans Serif"/>
          <w:sz w:val="21"/>
          <w:szCs w:val="21"/>
        </w:rPr>
        <w:t>функціями</w:t>
      </w:r>
      <w:r w:rsidR="00985994">
        <w:rPr>
          <w:rFonts w:eastAsia="Microsoft Sans Serif"/>
          <w:sz w:val="21"/>
          <w:szCs w:val="21"/>
        </w:rPr>
        <w:t xml:space="preserve"> </w:t>
      </w:r>
      <w:r w:rsidRPr="00B271AD">
        <w:rPr>
          <w:rFonts w:eastAsia="Microsoft Sans Serif"/>
          <w:sz w:val="21"/>
          <w:szCs w:val="21"/>
        </w:rPr>
        <w:t>відповідно</w:t>
      </w:r>
      <w:r w:rsidR="001406BF">
        <w:rPr>
          <w:rFonts w:eastAsia="Microsoft Sans Serif"/>
          <w:sz w:val="21"/>
          <w:szCs w:val="21"/>
        </w:rPr>
        <w:t xml:space="preserve"> до</w:t>
      </w:r>
      <w:r w:rsidR="00985994">
        <w:rPr>
          <w:rFonts w:eastAsia="Microsoft Sans Serif"/>
          <w:sz w:val="21"/>
          <w:szCs w:val="21"/>
        </w:rPr>
        <w:t xml:space="preserve"> </w:t>
      </w:r>
      <w:r w:rsidRPr="00B271AD">
        <w:rPr>
          <w:rFonts w:eastAsia="Microsoft Sans Serif"/>
          <w:sz w:val="21"/>
          <w:szCs w:val="21"/>
        </w:rPr>
        <w:t>вимог</w:t>
      </w:r>
      <w:r w:rsidR="00985994">
        <w:rPr>
          <w:rFonts w:eastAsia="Microsoft Sans Serif"/>
          <w:sz w:val="21"/>
          <w:szCs w:val="21"/>
        </w:rPr>
        <w:t xml:space="preserve"> </w:t>
      </w:r>
      <w:r w:rsidRPr="00B271AD">
        <w:rPr>
          <w:rFonts w:eastAsia="Microsoft Sans Serif"/>
          <w:sz w:val="21"/>
          <w:szCs w:val="21"/>
        </w:rPr>
        <w:t>ДСП354.</w:t>
      </w:r>
    </w:p>
    <w:p w14:paraId="5D9593C8" w14:textId="77777777" w:rsidR="0000321E" w:rsidRPr="007D72FD" w:rsidRDefault="0000321E" w:rsidP="0000321E">
      <w:pPr>
        <w:spacing w:before="0" w:after="80" w:line="288" w:lineRule="auto"/>
        <w:contextualSpacing/>
        <w:rPr>
          <w:b/>
          <w:bCs/>
          <w:i/>
          <w:iCs/>
          <w:color w:val="00B050"/>
          <w:sz w:val="21"/>
          <w:szCs w:val="21"/>
        </w:rPr>
      </w:pPr>
      <w:r w:rsidRPr="007D72FD">
        <w:rPr>
          <w:b/>
          <w:bCs/>
          <w:i/>
          <w:iCs/>
          <w:color w:val="00B050"/>
          <w:sz w:val="21"/>
          <w:szCs w:val="21"/>
        </w:rPr>
        <w:t>(Пунут 7.4.6 долучено, Зміна № 1)</w:t>
      </w:r>
    </w:p>
    <w:p w14:paraId="4E535990" w14:textId="77777777" w:rsidR="003C4E04" w:rsidRPr="00B271AD" w:rsidRDefault="001E748C" w:rsidP="0042528B">
      <w:pPr>
        <w:pStyle w:val="3"/>
        <w:spacing w:before="0" w:after="60" w:line="288" w:lineRule="auto"/>
        <w:contextualSpacing/>
        <w:rPr>
          <w:sz w:val="21"/>
          <w:szCs w:val="21"/>
        </w:rPr>
      </w:pPr>
      <w:r w:rsidRPr="00B271AD">
        <w:rPr>
          <w:sz w:val="21"/>
          <w:szCs w:val="21"/>
        </w:rPr>
        <w:t>7.5 Захищені входи та виходи</w:t>
      </w:r>
    </w:p>
    <w:p w14:paraId="6E9FD774" w14:textId="77777777" w:rsidR="003C4E04" w:rsidRPr="00CA7C54" w:rsidRDefault="001E748C" w:rsidP="00EB2FB3">
      <w:pPr>
        <w:pStyle w:val="4"/>
        <w:pBdr>
          <w:top w:val="nil"/>
          <w:left w:val="nil"/>
          <w:bottom w:val="nil"/>
          <w:right w:val="nil"/>
          <w:between w:val="nil"/>
        </w:pBdr>
        <w:spacing w:before="0" w:after="0" w:line="288" w:lineRule="auto"/>
        <w:contextualSpacing/>
        <w:rPr>
          <w:rFonts w:cs="Arial"/>
          <w:color w:val="000000" w:themeColor="text1"/>
          <w:sz w:val="21"/>
          <w:szCs w:val="21"/>
        </w:rPr>
      </w:pPr>
      <w:bookmarkStart w:id="13" w:name="_heading=h.dx2hwyawbrih" w:colFirst="0" w:colLast="0"/>
      <w:bookmarkEnd w:id="13"/>
      <w:r w:rsidRPr="00CA7C54">
        <w:rPr>
          <w:rFonts w:cs="Arial"/>
          <w:color w:val="000000" w:themeColor="text1"/>
          <w:sz w:val="21"/>
          <w:szCs w:val="21"/>
        </w:rPr>
        <w:t xml:space="preserve">7.5.1 Сховища </w:t>
      </w:r>
    </w:p>
    <w:p w14:paraId="05197DCC" w14:textId="77777777" w:rsidR="003C4E04" w:rsidRPr="00CA7C54" w:rsidRDefault="001E748C" w:rsidP="00EB2FB3">
      <w:pPr>
        <w:spacing w:before="0" w:line="288" w:lineRule="auto"/>
        <w:ind w:firstLine="566"/>
        <w:contextualSpacing/>
        <w:rPr>
          <w:color w:val="000000" w:themeColor="text1"/>
          <w:sz w:val="21"/>
          <w:szCs w:val="21"/>
          <w:highlight w:val="white"/>
        </w:rPr>
      </w:pPr>
      <w:r w:rsidRPr="00CA7C54">
        <w:rPr>
          <w:b/>
          <w:color w:val="000000" w:themeColor="text1"/>
          <w:sz w:val="21"/>
          <w:szCs w:val="21"/>
        </w:rPr>
        <w:t>7.5.1.1</w:t>
      </w:r>
      <w:r w:rsidRPr="00CA7C54">
        <w:rPr>
          <w:color w:val="000000" w:themeColor="text1"/>
          <w:sz w:val="21"/>
          <w:szCs w:val="21"/>
        </w:rPr>
        <w:t xml:space="preserve"> Для сховищ кількість входів (але не менше двох), слід розраховувати згідно з </w:t>
      </w:r>
      <w:r w:rsidRPr="00CA7C54">
        <w:rPr>
          <w:color w:val="000000" w:themeColor="text1"/>
          <w:sz w:val="21"/>
          <w:szCs w:val="21"/>
          <w:highlight w:val="white"/>
        </w:rPr>
        <w:t>таблицею 7.3 в залежності від місткості сховища, кількості осіб які припадають на даний вхід.</w:t>
      </w:r>
    </w:p>
    <w:p w14:paraId="3DFBA9F1" w14:textId="77777777" w:rsidR="003C4E04" w:rsidRPr="00CA7C54" w:rsidRDefault="001E748C" w:rsidP="00EB2FB3">
      <w:pP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При капітальному ремонті у разі відсутності технічної можливості, допускається влаштовувати дверні прорізи вхідних дверей не менше</w:t>
      </w:r>
      <w:r w:rsidR="003A15C4" w:rsidRPr="00CA7C54">
        <w:rPr>
          <w:color w:val="000000" w:themeColor="text1"/>
          <w:sz w:val="21"/>
          <w:szCs w:val="21"/>
          <w:highlight w:val="white"/>
        </w:rPr>
        <w:t xml:space="preserve"> ніж </w:t>
      </w:r>
      <w:r w:rsidRPr="00CA7C54">
        <w:rPr>
          <w:color w:val="000000" w:themeColor="text1"/>
          <w:sz w:val="21"/>
          <w:szCs w:val="21"/>
          <w:highlight w:val="white"/>
        </w:rPr>
        <w:t xml:space="preserve"> 0,8 м в просвіті.</w:t>
      </w:r>
    </w:p>
    <w:p w14:paraId="7AB34A2E" w14:textId="77777777" w:rsidR="003C4E04" w:rsidRPr="00CA7C54" w:rsidRDefault="001E748C" w:rsidP="0000321E">
      <w:pPr>
        <w:spacing w:before="0" w:after="12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При входах до сховищ слід влаштовувати водозбірні приямки.</w:t>
      </w:r>
    </w:p>
    <w:p w14:paraId="4B31B96D" w14:textId="77777777" w:rsidR="003C4E04" w:rsidRDefault="001E748C" w:rsidP="00EB2FB3">
      <w:pPr>
        <w:spacing w:before="0" w:line="288" w:lineRule="auto"/>
        <w:ind w:firstLine="142"/>
        <w:contextualSpacing/>
        <w:jc w:val="left"/>
        <w:rPr>
          <w:color w:val="000000" w:themeColor="text1"/>
        </w:rPr>
      </w:pPr>
      <w:r w:rsidRPr="00CA7C54">
        <w:rPr>
          <w:b/>
          <w:color w:val="000000" w:themeColor="text1"/>
          <w:highlight w:val="white"/>
        </w:rPr>
        <w:t>Таблиця 7.3</w:t>
      </w:r>
      <w:r w:rsidRPr="00CA7C54">
        <w:rPr>
          <w:color w:val="000000" w:themeColor="text1"/>
          <w:highlight w:val="white"/>
        </w:rPr>
        <w:t xml:space="preserve"> –  </w:t>
      </w:r>
      <w:r w:rsidRPr="00CA7C54">
        <w:rPr>
          <w:color w:val="000000" w:themeColor="text1"/>
        </w:rPr>
        <w:t>Входи в захисні споруди та СПП</w:t>
      </w:r>
    </w:p>
    <w:tbl>
      <w:tblPr>
        <w:tblStyle w:val="affffffffffffffffffffffffffffffd"/>
        <w:tblW w:w="9634"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00" w:firstRow="0" w:lastRow="0" w:firstColumn="0" w:lastColumn="0" w:noHBand="0" w:noVBand="1"/>
      </w:tblPr>
      <w:tblGrid>
        <w:gridCol w:w="1980"/>
        <w:gridCol w:w="7654"/>
      </w:tblGrid>
      <w:tr w:rsidR="00CA7C54" w:rsidRPr="00CA7C54" w14:paraId="3908F390" w14:textId="77777777" w:rsidTr="0000321E">
        <w:trPr>
          <w:trHeight w:val="49"/>
          <w:tblHeader/>
        </w:trPr>
        <w:tc>
          <w:tcPr>
            <w:tcW w:w="1980" w:type="dxa"/>
            <w:shd w:val="clear" w:color="auto" w:fill="FFFFFF"/>
            <w:tcMar>
              <w:top w:w="100" w:type="dxa"/>
              <w:left w:w="115" w:type="dxa"/>
              <w:bottom w:w="100" w:type="dxa"/>
              <w:right w:w="115" w:type="dxa"/>
            </w:tcMar>
            <w:vAlign w:val="center"/>
          </w:tcPr>
          <w:p w14:paraId="4DA36808" w14:textId="77777777" w:rsidR="003C4E04" w:rsidRPr="00CA7C54" w:rsidRDefault="001E748C" w:rsidP="00EB2FB3">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Ширина входу(дверного прорізу), м</w:t>
            </w:r>
          </w:p>
        </w:tc>
        <w:tc>
          <w:tcPr>
            <w:tcW w:w="7654" w:type="dxa"/>
            <w:shd w:val="clear" w:color="auto" w:fill="FFFFFF"/>
            <w:tcMar>
              <w:top w:w="100" w:type="dxa"/>
              <w:left w:w="115" w:type="dxa"/>
              <w:bottom w:w="100" w:type="dxa"/>
              <w:right w:w="115" w:type="dxa"/>
            </w:tcMar>
            <w:vAlign w:val="center"/>
          </w:tcPr>
          <w:p w14:paraId="10DAE828" w14:textId="77777777" w:rsidR="003C4E04" w:rsidRPr="00CA7C54" w:rsidRDefault="001E748C" w:rsidP="00EB2FB3">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Кількість осіб, що укриваються, які припадають на один вхід</w:t>
            </w:r>
          </w:p>
        </w:tc>
      </w:tr>
      <w:tr w:rsidR="00CA7C54" w:rsidRPr="00CA7C54" w14:paraId="02AEBC35" w14:textId="77777777" w:rsidTr="0000321E">
        <w:trPr>
          <w:trHeight w:hRule="exact" w:val="340"/>
        </w:trPr>
        <w:tc>
          <w:tcPr>
            <w:tcW w:w="1980" w:type="dxa"/>
            <w:shd w:val="clear" w:color="auto" w:fill="FFFFFF"/>
            <w:tcMar>
              <w:top w:w="100" w:type="dxa"/>
              <w:left w:w="115" w:type="dxa"/>
              <w:bottom w:w="100" w:type="dxa"/>
              <w:right w:w="115" w:type="dxa"/>
            </w:tcMar>
            <w:vAlign w:val="center"/>
          </w:tcPr>
          <w:p w14:paraId="2774BB86"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vertAlign w:val="superscript"/>
              </w:rPr>
            </w:pPr>
            <w:r w:rsidRPr="00CA7C54">
              <w:rPr>
                <w:rFonts w:ascii="Arial" w:eastAsia="Arial" w:hAnsi="Arial" w:cs="Arial"/>
                <w:color w:val="000000" w:themeColor="text1"/>
                <w:sz w:val="21"/>
                <w:szCs w:val="21"/>
              </w:rPr>
              <w:t xml:space="preserve">0,9 </w:t>
            </w:r>
          </w:p>
        </w:tc>
        <w:tc>
          <w:tcPr>
            <w:tcW w:w="7654" w:type="dxa"/>
            <w:shd w:val="clear" w:color="auto" w:fill="FFFFFF"/>
            <w:tcMar>
              <w:top w:w="100" w:type="dxa"/>
              <w:left w:w="115" w:type="dxa"/>
              <w:bottom w:w="100" w:type="dxa"/>
              <w:right w:w="115" w:type="dxa"/>
            </w:tcMar>
            <w:vAlign w:val="center"/>
          </w:tcPr>
          <w:p w14:paraId="444ABFD9"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w:t>
            </w:r>
          </w:p>
        </w:tc>
      </w:tr>
      <w:tr w:rsidR="00CA7C54" w:rsidRPr="00CA7C54" w14:paraId="2AE69C27" w14:textId="77777777" w:rsidTr="0000321E">
        <w:trPr>
          <w:trHeight w:hRule="exact" w:val="340"/>
        </w:trPr>
        <w:tc>
          <w:tcPr>
            <w:tcW w:w="1980" w:type="dxa"/>
            <w:shd w:val="clear" w:color="auto" w:fill="FFFFFF"/>
            <w:tcMar>
              <w:top w:w="100" w:type="dxa"/>
              <w:left w:w="115" w:type="dxa"/>
              <w:bottom w:w="100" w:type="dxa"/>
              <w:right w:w="115" w:type="dxa"/>
            </w:tcMar>
          </w:tcPr>
          <w:p w14:paraId="0476DE9A"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654" w:type="dxa"/>
            <w:shd w:val="clear" w:color="auto" w:fill="FFFFFF"/>
            <w:tcMar>
              <w:top w:w="100" w:type="dxa"/>
              <w:left w:w="115" w:type="dxa"/>
              <w:bottom w:w="100" w:type="dxa"/>
              <w:right w:w="115" w:type="dxa"/>
            </w:tcMar>
          </w:tcPr>
          <w:p w14:paraId="5F4666E7"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w:t>
            </w:r>
          </w:p>
        </w:tc>
      </w:tr>
      <w:tr w:rsidR="00CA7C54" w:rsidRPr="00CA7C54" w14:paraId="7C712347" w14:textId="77777777" w:rsidTr="0000321E">
        <w:trPr>
          <w:trHeight w:hRule="exact" w:val="340"/>
        </w:trPr>
        <w:tc>
          <w:tcPr>
            <w:tcW w:w="1980" w:type="dxa"/>
            <w:shd w:val="clear" w:color="auto" w:fill="FFFFFF"/>
            <w:tcMar>
              <w:top w:w="100" w:type="dxa"/>
              <w:left w:w="115" w:type="dxa"/>
              <w:bottom w:w="100" w:type="dxa"/>
              <w:right w:w="115" w:type="dxa"/>
            </w:tcMar>
          </w:tcPr>
          <w:p w14:paraId="6C015277"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7654" w:type="dxa"/>
            <w:shd w:val="clear" w:color="auto" w:fill="FFFFFF"/>
            <w:tcMar>
              <w:top w:w="100" w:type="dxa"/>
              <w:left w:w="115" w:type="dxa"/>
              <w:bottom w:w="100" w:type="dxa"/>
              <w:right w:w="115" w:type="dxa"/>
            </w:tcMar>
          </w:tcPr>
          <w:p w14:paraId="09C59851"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w:t>
            </w:r>
          </w:p>
        </w:tc>
      </w:tr>
      <w:tr w:rsidR="00CA7C54" w:rsidRPr="00CA7C54" w14:paraId="3586F502" w14:textId="77777777" w:rsidTr="0000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1B63626A" w14:textId="77777777" w:rsidR="0011145F" w:rsidRPr="00CA7C54" w:rsidRDefault="0011145F" w:rsidP="0011145F">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765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4EC34DA8" w14:textId="77777777" w:rsidR="0011145F" w:rsidRPr="00CA7C54" w:rsidRDefault="0011145F" w:rsidP="0011145F">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550</w:t>
            </w:r>
          </w:p>
        </w:tc>
      </w:tr>
      <w:tr w:rsidR="00CA7C54" w:rsidRPr="00CA7C54" w14:paraId="544A058E" w14:textId="77777777" w:rsidTr="0000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15721270" w14:textId="77777777" w:rsidR="0011145F" w:rsidRPr="00CA7C54" w:rsidRDefault="0011145F" w:rsidP="0011145F">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765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543A1BD1" w14:textId="77777777" w:rsidR="0011145F" w:rsidRPr="00CA7C54" w:rsidRDefault="0011145F" w:rsidP="0011145F">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750</w:t>
            </w:r>
          </w:p>
        </w:tc>
      </w:tr>
      <w:tr w:rsidR="00CA7C54" w:rsidRPr="00CA7C54" w14:paraId="364BF29F" w14:textId="77777777" w:rsidTr="0000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1980" w:type="dxa"/>
            <w:vMerge w:val="restart"/>
            <w:tcBorders>
              <w:top w:val="single" w:sz="4" w:space="0" w:color="000000"/>
              <w:left w:val="single" w:sz="4" w:space="0" w:color="000000"/>
              <w:bottom w:val="single" w:sz="4" w:space="0" w:color="000000"/>
            </w:tcBorders>
            <w:shd w:val="clear" w:color="auto" w:fill="FFFFFF"/>
            <w:tcMar>
              <w:top w:w="100" w:type="dxa"/>
              <w:left w:w="115" w:type="dxa"/>
              <w:bottom w:w="100" w:type="dxa"/>
              <w:right w:w="115" w:type="dxa"/>
            </w:tcMar>
          </w:tcPr>
          <w:p w14:paraId="36C3F041" w14:textId="77777777" w:rsidR="0011145F" w:rsidRPr="00591D28" w:rsidRDefault="0011145F" w:rsidP="0011145F">
            <w:pPr>
              <w:spacing w:before="0" w:line="288" w:lineRule="auto"/>
              <w:ind w:firstLine="0"/>
              <w:contextualSpacing/>
              <w:jc w:val="left"/>
              <w:rPr>
                <w:rFonts w:ascii="Arial" w:eastAsia="Arial" w:hAnsi="Arial" w:cs="Arial"/>
                <w:b/>
                <w:color w:val="000000" w:themeColor="text1"/>
                <w:sz w:val="19"/>
                <w:szCs w:val="19"/>
              </w:rPr>
            </w:pPr>
            <w:r w:rsidRPr="00591D28">
              <w:rPr>
                <w:rFonts w:ascii="Arial" w:eastAsia="Arial" w:hAnsi="Arial" w:cs="Arial"/>
                <w:b/>
                <w:color w:val="000000" w:themeColor="text1"/>
                <w:sz w:val="19"/>
                <w:szCs w:val="19"/>
              </w:rPr>
              <w:t>Примітка 1.</w:t>
            </w:r>
          </w:p>
          <w:p w14:paraId="15E4B506" w14:textId="77777777" w:rsidR="0011145F" w:rsidRPr="00591D28" w:rsidRDefault="0011145F" w:rsidP="0011145F">
            <w:pPr>
              <w:spacing w:before="0" w:line="288" w:lineRule="auto"/>
              <w:ind w:firstLine="0"/>
              <w:contextualSpacing/>
              <w:jc w:val="left"/>
              <w:rPr>
                <w:rFonts w:ascii="Arial" w:eastAsia="Arial" w:hAnsi="Arial" w:cs="Arial"/>
                <w:b/>
                <w:color w:val="000000" w:themeColor="text1"/>
                <w:sz w:val="19"/>
                <w:szCs w:val="19"/>
              </w:rPr>
            </w:pPr>
          </w:p>
          <w:p w14:paraId="02015EA1" w14:textId="77777777" w:rsidR="0011145F" w:rsidRPr="00591D28" w:rsidRDefault="0011145F" w:rsidP="0011145F">
            <w:pPr>
              <w:spacing w:before="0" w:line="288" w:lineRule="auto"/>
              <w:ind w:firstLine="0"/>
              <w:contextualSpacing/>
              <w:jc w:val="left"/>
              <w:rPr>
                <w:rFonts w:ascii="Arial" w:eastAsia="Arial" w:hAnsi="Arial" w:cs="Arial"/>
                <w:b/>
                <w:color w:val="000000" w:themeColor="text1"/>
                <w:sz w:val="19"/>
                <w:szCs w:val="19"/>
              </w:rPr>
            </w:pPr>
            <w:r w:rsidRPr="00591D28">
              <w:rPr>
                <w:rFonts w:ascii="Arial" w:eastAsia="Arial" w:hAnsi="Arial" w:cs="Arial"/>
                <w:b/>
                <w:color w:val="000000" w:themeColor="text1"/>
                <w:sz w:val="19"/>
                <w:szCs w:val="19"/>
              </w:rPr>
              <w:t>Примітка 2.</w:t>
            </w:r>
          </w:p>
        </w:tc>
        <w:tc>
          <w:tcPr>
            <w:tcW w:w="7654" w:type="dxa"/>
            <w:vMerge w:val="restart"/>
            <w:tcBorders>
              <w:top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099809DA" w14:textId="77777777" w:rsidR="0011145F" w:rsidRPr="00591D28" w:rsidRDefault="0011145F" w:rsidP="0011145F">
            <w:pPr>
              <w:spacing w:before="0" w:line="288" w:lineRule="auto"/>
              <w:ind w:firstLine="0"/>
              <w:contextualSpacing/>
              <w:rPr>
                <w:rFonts w:ascii="Arial" w:eastAsia="Arial" w:hAnsi="Arial" w:cs="Arial"/>
                <w:color w:val="000000" w:themeColor="text1"/>
                <w:sz w:val="19"/>
                <w:szCs w:val="19"/>
              </w:rPr>
            </w:pPr>
            <w:r w:rsidRPr="00591D28">
              <w:rPr>
                <w:rFonts w:ascii="Arial" w:eastAsia="Arial" w:hAnsi="Arial" w:cs="Arial"/>
                <w:color w:val="000000" w:themeColor="text1"/>
                <w:sz w:val="19"/>
                <w:szCs w:val="19"/>
              </w:rPr>
              <w:t>Кількість осіб, що укриваються, які припадають на один вхід при інших значеннях ширини входу, визначається шляхом інтерполяції</w:t>
            </w:r>
            <w:r w:rsidR="00EA4D30" w:rsidRPr="00591D28">
              <w:rPr>
                <w:rFonts w:ascii="Arial" w:eastAsia="Arial" w:hAnsi="Arial" w:cs="Arial"/>
                <w:color w:val="000000" w:themeColor="text1"/>
                <w:sz w:val="19"/>
                <w:szCs w:val="19"/>
              </w:rPr>
              <w:t>.</w:t>
            </w:r>
          </w:p>
          <w:p w14:paraId="28BEAEFD" w14:textId="77777777" w:rsidR="0011145F" w:rsidRPr="00591D28" w:rsidRDefault="0011145F" w:rsidP="0011145F">
            <w:pPr>
              <w:spacing w:before="0" w:line="288" w:lineRule="auto"/>
              <w:ind w:firstLine="0"/>
              <w:contextualSpacing/>
              <w:rPr>
                <w:rFonts w:ascii="Arial" w:eastAsia="Arial" w:hAnsi="Arial" w:cs="Arial"/>
                <w:color w:val="000000" w:themeColor="text1"/>
                <w:sz w:val="19"/>
                <w:szCs w:val="19"/>
              </w:rPr>
            </w:pPr>
            <w:r w:rsidRPr="00591D28">
              <w:rPr>
                <w:rFonts w:ascii="Arial" w:eastAsia="Arial" w:hAnsi="Arial" w:cs="Arial"/>
                <w:color w:val="000000" w:themeColor="text1"/>
                <w:sz w:val="19"/>
                <w:szCs w:val="19"/>
              </w:rPr>
              <w:t>При капітальному ремонті у разі відсутності технічної можливості, допускається влаштовувати дверні прорізи вхідних дверей не менше</w:t>
            </w:r>
            <w:r w:rsidR="00B51E19" w:rsidRPr="00591D28">
              <w:rPr>
                <w:rFonts w:ascii="Arial" w:eastAsia="Arial" w:hAnsi="Arial" w:cs="Arial"/>
                <w:color w:val="000000" w:themeColor="text1"/>
                <w:sz w:val="19"/>
                <w:szCs w:val="19"/>
              </w:rPr>
              <w:t xml:space="preserve"> ніж</w:t>
            </w:r>
            <w:r w:rsidRPr="00591D28">
              <w:rPr>
                <w:rFonts w:ascii="Arial" w:eastAsia="Arial" w:hAnsi="Arial" w:cs="Arial"/>
                <w:color w:val="000000" w:themeColor="text1"/>
                <w:sz w:val="19"/>
                <w:szCs w:val="19"/>
              </w:rPr>
              <w:t xml:space="preserve"> 0,8 м в просвіті</w:t>
            </w:r>
            <w:r w:rsidRPr="00591D28">
              <w:rPr>
                <w:rFonts w:ascii="Arial" w:eastAsia="Arial" w:hAnsi="Arial" w:cs="Arial"/>
                <w:color w:val="000000" w:themeColor="text1"/>
                <w:sz w:val="19"/>
                <w:szCs w:val="19"/>
                <w:highlight w:val="white"/>
              </w:rPr>
              <w:t>.</w:t>
            </w:r>
          </w:p>
        </w:tc>
      </w:tr>
      <w:tr w:rsidR="00CA7C54" w:rsidRPr="00CA7C54" w14:paraId="1E132C5E" w14:textId="77777777" w:rsidTr="0000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1980" w:type="dxa"/>
            <w:vMerge/>
            <w:tcBorders>
              <w:top w:val="single" w:sz="4" w:space="0" w:color="000000"/>
              <w:left w:val="single" w:sz="4" w:space="0" w:color="000000"/>
              <w:bottom w:val="single" w:sz="4" w:space="0" w:color="000000"/>
            </w:tcBorders>
            <w:shd w:val="clear" w:color="auto" w:fill="FFFFFF"/>
            <w:tcMar>
              <w:top w:w="100" w:type="dxa"/>
              <w:left w:w="115" w:type="dxa"/>
              <w:bottom w:w="100" w:type="dxa"/>
              <w:right w:w="115" w:type="dxa"/>
            </w:tcMar>
          </w:tcPr>
          <w:p w14:paraId="1AA79CBC" w14:textId="77777777" w:rsidR="0011145F" w:rsidRPr="00CA7C54" w:rsidRDefault="0011145F" w:rsidP="0011145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7654" w:type="dxa"/>
            <w:vMerge/>
            <w:tcBorders>
              <w:top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2B34A7B9" w14:textId="77777777" w:rsidR="0011145F" w:rsidRPr="00CA7C54" w:rsidRDefault="0011145F" w:rsidP="0011145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bl>
    <w:p w14:paraId="6099C28D" w14:textId="77777777" w:rsidR="003C4E04" w:rsidRPr="00CA7C54" w:rsidRDefault="003C4E04" w:rsidP="00EB2FB3">
      <w:pPr>
        <w:spacing w:before="0" w:line="288" w:lineRule="auto"/>
        <w:ind w:hanging="1156"/>
        <w:contextualSpacing/>
        <w:jc w:val="left"/>
        <w:rPr>
          <w:rFonts w:ascii="Times New Roman" w:eastAsia="Times New Roman" w:hAnsi="Times New Roman" w:cs="Times New Roman"/>
          <w:color w:val="000000" w:themeColor="text1"/>
          <w:sz w:val="20"/>
          <w:szCs w:val="20"/>
        </w:rPr>
      </w:pPr>
    </w:p>
    <w:p w14:paraId="05C9821A" w14:textId="77777777"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rPr>
        <w:t>7.5.1.2</w:t>
      </w:r>
      <w:r w:rsidRPr="00CA7C54">
        <w:rPr>
          <w:color w:val="000000" w:themeColor="text1"/>
        </w:rPr>
        <w:t xml:space="preserve"> Входи в сховища та СПП із </w:t>
      </w:r>
      <w:r w:rsidRPr="00CA7C54">
        <w:rPr>
          <w:color w:val="000000" w:themeColor="text1"/>
          <w:sz w:val="21"/>
          <w:szCs w:val="21"/>
        </w:rPr>
        <w:t>захисними властивостями сховищ слід передбачати розосередженими (не менше двох виходів мають бути розосередженими) з врахуванням напрямку руху основних потоків людей</w:t>
      </w:r>
      <w:r w:rsidRPr="00CA7C54">
        <w:rPr>
          <w:color w:val="000000" w:themeColor="text1"/>
        </w:rPr>
        <w:t xml:space="preserve">: з прилеглої території, з незахищених </w:t>
      </w:r>
      <w:r w:rsidRPr="00CA7C54">
        <w:rPr>
          <w:color w:val="000000" w:themeColor="text1"/>
          <w:sz w:val="21"/>
          <w:szCs w:val="21"/>
        </w:rPr>
        <w:t xml:space="preserve">приміщень </w:t>
      </w:r>
      <w:r w:rsidRPr="00CA7C54">
        <w:rPr>
          <w:color w:val="000000" w:themeColor="text1"/>
          <w:sz w:val="21"/>
          <w:szCs w:val="21"/>
        </w:rPr>
        <w:lastRenderedPageBreak/>
        <w:t>підвалів, з першого поверху виробничих та інших будинків через самостійну сходову клітку, з загальних сходових кліток, які не мають виходів з пожежонебезпечних приміщень.</w:t>
      </w:r>
    </w:p>
    <w:p w14:paraId="1E90E1FC" w14:textId="77777777" w:rsidR="003C4E04" w:rsidRPr="00CA7C54" w:rsidRDefault="001E748C" w:rsidP="00EB2FB3">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Рекомендується мінімальну відстань </w:t>
      </w:r>
      <w:r w:rsidRPr="00CA7C54">
        <w:rPr>
          <w:i/>
          <w:color w:val="000000" w:themeColor="text1"/>
          <w:sz w:val="21"/>
          <w:szCs w:val="21"/>
        </w:rPr>
        <w:t>L</w:t>
      </w:r>
      <w:r w:rsidRPr="00CA7C54">
        <w:rPr>
          <w:color w:val="000000" w:themeColor="text1"/>
          <w:sz w:val="21"/>
          <w:szCs w:val="21"/>
        </w:rPr>
        <w:t xml:space="preserve">, м, між суміжними входами до сховища або СПП слід визначати за емпіричною формулою: </w:t>
      </w:r>
      <w:r w:rsidRPr="00CA7C54">
        <w:rPr>
          <w:i/>
          <w:color w:val="000000" w:themeColor="text1"/>
          <w:sz w:val="21"/>
          <w:szCs w:val="21"/>
        </w:rPr>
        <w:t>L=1,5 (П)</w:t>
      </w:r>
      <w:r w:rsidRPr="00CA7C54">
        <w:rPr>
          <w:i/>
          <w:color w:val="000000" w:themeColor="text1"/>
          <w:sz w:val="21"/>
          <w:szCs w:val="21"/>
          <w:vertAlign w:val="superscript"/>
        </w:rPr>
        <w:t>1/2</w:t>
      </w:r>
      <w:r w:rsidRPr="00CA7C54">
        <w:rPr>
          <w:color w:val="000000" w:themeColor="text1"/>
          <w:sz w:val="21"/>
          <w:szCs w:val="21"/>
        </w:rPr>
        <w:t>, де</w:t>
      </w:r>
      <w:r w:rsidRPr="00CA7C54">
        <w:rPr>
          <w:i/>
          <w:color w:val="000000" w:themeColor="text1"/>
          <w:sz w:val="21"/>
          <w:szCs w:val="21"/>
        </w:rPr>
        <w:t xml:space="preserve"> П</w:t>
      </w:r>
      <w:r w:rsidRPr="00CA7C54">
        <w:rPr>
          <w:color w:val="000000" w:themeColor="text1"/>
          <w:sz w:val="21"/>
          <w:szCs w:val="21"/>
        </w:rPr>
        <w:t xml:space="preserve"> – периметр, який вимірюється по зовнішньому контуру захисної споруди цивільного захисту.</w:t>
      </w:r>
    </w:p>
    <w:p w14:paraId="373A3F6A" w14:textId="4632A2F1" w:rsidR="003C4E04" w:rsidRPr="00CA7C54" w:rsidRDefault="001E748C" w:rsidP="00EB2FB3">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7.5.1.3</w:t>
      </w:r>
      <w:r w:rsidRPr="00CA7C54">
        <w:rPr>
          <w:color w:val="000000" w:themeColor="text1"/>
          <w:sz w:val="21"/>
          <w:szCs w:val="21"/>
        </w:rPr>
        <w:t xml:space="preserve"> Для входу до сховищ з надземних поверхів можуть використовуватись внутрішні окремі сходи з урахуванням вимог </w:t>
      </w:r>
      <w:hyperlink r:id="rId141" w:history="1">
        <w:r w:rsidRPr="00722483">
          <w:rPr>
            <w:rStyle w:val="ac"/>
            <w:rFonts w:cs="Arial"/>
            <w:sz w:val="21"/>
            <w:szCs w:val="21"/>
          </w:rPr>
          <w:t>ДБН В.2.2-40</w:t>
        </w:r>
      </w:hyperlink>
      <w:r w:rsidRPr="00CA7C54">
        <w:rPr>
          <w:color w:val="000000" w:themeColor="text1"/>
          <w:sz w:val="21"/>
          <w:szCs w:val="21"/>
        </w:rPr>
        <w:t xml:space="preserve"> за умови, що вони не порушують герметичність споруди.</w:t>
      </w:r>
    </w:p>
    <w:p w14:paraId="509F8831" w14:textId="77777777"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7.5.1.4</w:t>
      </w:r>
      <w:r w:rsidRPr="00CA7C54">
        <w:rPr>
          <w:color w:val="000000" w:themeColor="text1"/>
          <w:sz w:val="21"/>
          <w:szCs w:val="21"/>
        </w:rPr>
        <w:t xml:space="preserve"> У входах </w:t>
      </w:r>
      <w:r w:rsidR="00B51E19" w:rsidRPr="00CA7C54">
        <w:rPr>
          <w:color w:val="000000" w:themeColor="text1"/>
          <w:sz w:val="21"/>
          <w:szCs w:val="21"/>
        </w:rPr>
        <w:t xml:space="preserve">до </w:t>
      </w:r>
      <w:r w:rsidRPr="00CA7C54">
        <w:rPr>
          <w:color w:val="000000" w:themeColor="text1"/>
          <w:sz w:val="21"/>
          <w:szCs w:val="21"/>
        </w:rPr>
        <w:t>сховищ повинні встановлюватись захисно-герметичні двері (у зовнішній і внутрішній стінах тамбур-шлюзу) та герметичні (у внутрішній стіні тамбур</w:t>
      </w:r>
      <w:r w:rsidR="00351B9B" w:rsidRPr="00CA7C54">
        <w:rPr>
          <w:color w:val="000000" w:themeColor="text1"/>
          <w:sz w:val="21"/>
          <w:szCs w:val="21"/>
        </w:rPr>
        <w:t>а</w:t>
      </w:r>
      <w:r w:rsidRPr="00CA7C54">
        <w:rPr>
          <w:color w:val="000000" w:themeColor="text1"/>
          <w:sz w:val="21"/>
          <w:szCs w:val="21"/>
        </w:rPr>
        <w:t>), які забезпечують герметичність споруди, захист від ураження іонізуючим випромінюванням, зменшують вплив дії ударної хвилі від звичайних засобів ураження та потрапляння уламків від таких засобів</w:t>
      </w:r>
    </w:p>
    <w:p w14:paraId="1338B2F8" w14:textId="77777777" w:rsidR="003C4E04" w:rsidRPr="00CA7C54" w:rsidRDefault="001E748C" w:rsidP="0042528B">
      <w:pP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7.5.1.5</w:t>
      </w:r>
      <w:r w:rsidRPr="00CA7C54">
        <w:rPr>
          <w:color w:val="000000" w:themeColor="text1"/>
          <w:sz w:val="21"/>
          <w:szCs w:val="21"/>
        </w:rPr>
        <w:t xml:space="preserve"> Конструктивно-планувальні рішення входів сховищ та СПП із захисними властивостями сховищ розташованих у підземних, підвальних та цокольних поверхах повинні забезпечувати необхідний захист від проникаю</w:t>
      </w:r>
      <w:r w:rsidRPr="00CA7C54">
        <w:rPr>
          <w:color w:val="000000" w:themeColor="text1"/>
          <w:sz w:val="21"/>
          <w:szCs w:val="21"/>
          <w:highlight w:val="white"/>
        </w:rPr>
        <w:t>чої радіації та дії засобів звичайного ураження та виключати можливість їх прямого попадання в приміщення, які захищаються. </w:t>
      </w:r>
    </w:p>
    <w:p w14:paraId="01368E8B" w14:textId="77777777" w:rsidR="003C4E04" w:rsidRPr="00CA7C54" w:rsidRDefault="001E748C" w:rsidP="0042528B">
      <w:pP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highlight w:val="white"/>
        </w:rPr>
        <w:t>У разі необхідності влаштування порогів в дверних прорізах (вхідних захисних, герметичних або захисно-герметичних дверях тощо), вхід  має бути обладнаний відкидним або переносним пандусом. </w:t>
      </w:r>
    </w:p>
    <w:p w14:paraId="250711B0" w14:textId="77777777" w:rsidR="003C4E04" w:rsidRPr="00CA7C54" w:rsidRDefault="001E748C" w:rsidP="0042528B">
      <w:pPr>
        <w:spacing w:before="0" w:line="288" w:lineRule="auto"/>
        <w:contextualSpacing/>
        <w:rPr>
          <w:rFonts w:eastAsia="Times New Roman"/>
          <w:color w:val="000000" w:themeColor="text1"/>
          <w:sz w:val="21"/>
          <w:szCs w:val="21"/>
          <w:highlight w:val="white"/>
        </w:rPr>
      </w:pPr>
      <w:r w:rsidRPr="00CA7C54">
        <w:rPr>
          <w:color w:val="000000" w:themeColor="text1"/>
          <w:sz w:val="21"/>
          <w:szCs w:val="21"/>
        </w:rPr>
        <w:t>Для цього слід передбачати влаштування у входах поворотів (одного або двох)  під кутом 90</w:t>
      </w:r>
      <w:r w:rsidRPr="00CA7C54">
        <w:rPr>
          <w:color w:val="000000" w:themeColor="text1"/>
          <w:sz w:val="21"/>
          <w:szCs w:val="21"/>
          <w:vertAlign w:val="superscript"/>
        </w:rPr>
        <w:t>0</w:t>
      </w:r>
      <w:r w:rsidRPr="00CA7C54">
        <w:rPr>
          <w:color w:val="000000" w:themeColor="text1"/>
          <w:sz w:val="21"/>
          <w:szCs w:val="21"/>
        </w:rPr>
        <w:t xml:space="preserve"> або захисних стінок-екранів проти дверних прорізів з перекриттями між захисними стінками-екранами і сховищами. Товщина захисних стінок-екранів та перекриттів приймається з урахуванням </w:t>
      </w:r>
      <w:r w:rsidRPr="00CA7C54">
        <w:rPr>
          <w:color w:val="000000" w:themeColor="text1"/>
          <w:sz w:val="21"/>
          <w:szCs w:val="21"/>
          <w:highlight w:val="white"/>
        </w:rPr>
        <w:t xml:space="preserve"> вимог 14.2.3 цих </w:t>
      </w:r>
      <w:r w:rsidR="00351B9B" w:rsidRPr="00CA7C54">
        <w:rPr>
          <w:color w:val="000000" w:themeColor="text1"/>
          <w:sz w:val="21"/>
          <w:szCs w:val="21"/>
          <w:highlight w:val="white"/>
        </w:rPr>
        <w:t>н</w:t>
      </w:r>
      <w:r w:rsidRPr="00CA7C54">
        <w:rPr>
          <w:color w:val="000000" w:themeColor="text1"/>
          <w:sz w:val="21"/>
          <w:szCs w:val="21"/>
          <w:highlight w:val="white"/>
        </w:rPr>
        <w:t>орм.</w:t>
      </w:r>
    </w:p>
    <w:p w14:paraId="1B3E4058"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color w:val="000000" w:themeColor="text1"/>
          <w:sz w:val="21"/>
          <w:szCs w:val="21"/>
        </w:rPr>
        <w:t>При цьому відстань між захисною стінкою-екраном та початком сходів або пандус</w:t>
      </w:r>
      <w:r w:rsidR="00351B9B" w:rsidRPr="00CA7C54">
        <w:rPr>
          <w:color w:val="000000" w:themeColor="text1"/>
          <w:sz w:val="21"/>
          <w:szCs w:val="21"/>
        </w:rPr>
        <w:t>а</w:t>
      </w:r>
      <w:r w:rsidRPr="00CA7C54">
        <w:rPr>
          <w:color w:val="000000" w:themeColor="text1"/>
          <w:sz w:val="21"/>
          <w:szCs w:val="21"/>
        </w:rPr>
        <w:t xml:space="preserve"> має бути не менше 1500 мм для можливості маневрування на кріслі колісному.</w:t>
      </w:r>
    </w:p>
    <w:p w14:paraId="3E371FD0"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7.5.1.6</w:t>
      </w:r>
      <w:r w:rsidRPr="00CA7C54">
        <w:rPr>
          <w:color w:val="000000" w:themeColor="text1"/>
          <w:sz w:val="21"/>
          <w:szCs w:val="21"/>
        </w:rPr>
        <w:t xml:space="preserve"> Для сховищ  місткістю 300 осіб і більше слід передбачати влаштування при одному із входів тамбур-шлюзу. Для сховищ місткістю від 300 до 600 осіб включно – влаштовується однокамерний тамбур-шлюз, а для сховищ більшої місткості – двокамерний.</w:t>
      </w:r>
    </w:p>
    <w:p w14:paraId="63CC345B"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Для сховищ місткістю понад 600 осіб замість двокамерного тамбур-шлюзу дозволяється влаштування два однокамерних тамбур-шлюз</w:t>
      </w:r>
      <w:r w:rsidR="00D12250" w:rsidRPr="00CA7C54">
        <w:rPr>
          <w:color w:val="000000" w:themeColor="text1"/>
          <w:sz w:val="21"/>
          <w:szCs w:val="21"/>
        </w:rPr>
        <w:t>ів</w:t>
      </w:r>
      <w:r w:rsidRPr="00CA7C54">
        <w:rPr>
          <w:color w:val="000000" w:themeColor="text1"/>
          <w:sz w:val="21"/>
          <w:szCs w:val="21"/>
        </w:rPr>
        <w:t>. </w:t>
      </w:r>
    </w:p>
    <w:p w14:paraId="2C017BA6"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Площу кожної камери тамбур-шлюзу при ширині дверного прорізу до 1,2 м слід приймати не менше</w:t>
      </w:r>
      <w:r w:rsidR="003A15C4" w:rsidRPr="00CA7C54">
        <w:rPr>
          <w:color w:val="000000" w:themeColor="text1"/>
          <w:sz w:val="21"/>
          <w:szCs w:val="21"/>
        </w:rPr>
        <w:t xml:space="preserve"> ніж </w:t>
      </w:r>
      <w:r w:rsidRPr="00CA7C54">
        <w:rPr>
          <w:color w:val="000000" w:themeColor="text1"/>
          <w:sz w:val="21"/>
          <w:szCs w:val="21"/>
        </w:rPr>
        <w:t>8 м</w:t>
      </w:r>
      <w:r w:rsidRPr="00CA7C54">
        <w:rPr>
          <w:color w:val="000000" w:themeColor="text1"/>
          <w:sz w:val="21"/>
          <w:szCs w:val="21"/>
          <w:vertAlign w:val="superscript"/>
        </w:rPr>
        <w:t>2</w:t>
      </w:r>
      <w:r w:rsidRPr="00CA7C54">
        <w:rPr>
          <w:color w:val="000000" w:themeColor="text1"/>
          <w:sz w:val="21"/>
          <w:szCs w:val="21"/>
        </w:rPr>
        <w:t>, а при ширині понад 1,2 м – не менше</w:t>
      </w:r>
      <w:r w:rsidR="003A15C4" w:rsidRPr="00CA7C54">
        <w:rPr>
          <w:color w:val="000000" w:themeColor="text1"/>
          <w:sz w:val="21"/>
          <w:szCs w:val="21"/>
        </w:rPr>
        <w:t xml:space="preserve"> ніж </w:t>
      </w:r>
      <w:r w:rsidRPr="00CA7C54">
        <w:rPr>
          <w:color w:val="000000" w:themeColor="text1"/>
          <w:sz w:val="21"/>
          <w:szCs w:val="21"/>
        </w:rPr>
        <w:t>10 м</w:t>
      </w:r>
      <w:r w:rsidRPr="00CA7C54">
        <w:rPr>
          <w:color w:val="000000" w:themeColor="text1"/>
          <w:sz w:val="21"/>
          <w:szCs w:val="21"/>
          <w:vertAlign w:val="superscript"/>
        </w:rPr>
        <w:t>2</w:t>
      </w:r>
      <w:r w:rsidRPr="00CA7C54">
        <w:rPr>
          <w:color w:val="000000" w:themeColor="text1"/>
          <w:sz w:val="21"/>
          <w:szCs w:val="21"/>
        </w:rPr>
        <w:t>. </w:t>
      </w:r>
    </w:p>
    <w:p w14:paraId="4FF15B0E"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У сховищах закладів охорони здоров'я місткістю до 200 осіб влаштовується однокамерний, а при більшій місткості – двокамерний тамбур-шлюз.</w:t>
      </w:r>
    </w:p>
    <w:p w14:paraId="793F1A6C"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Ширина тамбур-шлюзу при двостулкових дверях повинні бути на 0,6 м більше ширини дверного полотна.</w:t>
      </w:r>
    </w:p>
    <w:p w14:paraId="04E5A87C"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Ширина тамбур-шлюзу, ширина і довжина тамбура та передтамбура при дверях повинні бути на 0,6 м більше ширини дверного полотна.</w:t>
      </w:r>
    </w:p>
    <w:p w14:paraId="797D4B46"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color w:val="000000" w:themeColor="text1"/>
          <w:sz w:val="21"/>
          <w:szCs w:val="21"/>
        </w:rPr>
        <w:t xml:space="preserve">Захисно-герметичні двері підбирають так, щоб їх параметр розрахункового навантаження дорівнював або перевищував значення </w:t>
      </w:r>
      <w:r w:rsidRPr="00CA7C54">
        <w:rPr>
          <w:i/>
          <w:color w:val="000000" w:themeColor="text1"/>
        </w:rPr>
        <w:t>q</w:t>
      </w:r>
      <w:r w:rsidRPr="00CA7C54">
        <w:rPr>
          <w:i/>
          <w:color w:val="000000" w:themeColor="text1"/>
          <w:vertAlign w:val="subscript"/>
        </w:rPr>
        <w:t>ех,eqv</w:t>
      </w:r>
      <w:r w:rsidRPr="00CA7C54">
        <w:rPr>
          <w:color w:val="000000" w:themeColor="text1"/>
          <w:sz w:val="21"/>
          <w:szCs w:val="21"/>
        </w:rPr>
        <w:t>, кПа. </w:t>
      </w:r>
    </w:p>
    <w:p w14:paraId="56BDBF67"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b/>
          <w:color w:val="000000" w:themeColor="text1"/>
          <w:sz w:val="21"/>
          <w:szCs w:val="21"/>
        </w:rPr>
        <w:t>7.5.1.7</w:t>
      </w:r>
      <w:r w:rsidRPr="00CA7C54">
        <w:rPr>
          <w:color w:val="000000" w:themeColor="text1"/>
          <w:sz w:val="21"/>
          <w:szCs w:val="21"/>
        </w:rPr>
        <w:t>  Ширина тамбур-шлюзу, ширина і довжина тамбура та передтамбура при дверях повинні бути на 0,6 м більше ширини дверного полотна.</w:t>
      </w:r>
    </w:p>
    <w:p w14:paraId="4864BFBD"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b/>
          <w:color w:val="000000" w:themeColor="text1"/>
          <w:sz w:val="21"/>
          <w:szCs w:val="21"/>
        </w:rPr>
        <w:t>7.5.1.8</w:t>
      </w:r>
      <w:r w:rsidRPr="00CA7C54">
        <w:rPr>
          <w:color w:val="000000" w:themeColor="text1"/>
          <w:sz w:val="21"/>
          <w:szCs w:val="21"/>
        </w:rPr>
        <w:t xml:space="preserve"> Усі входи у сховища (крім тих, що обладнані тамбур-шлюзами) – повинні обладнуватись тамбурами.</w:t>
      </w:r>
    </w:p>
    <w:p w14:paraId="5C1C9006"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b/>
          <w:color w:val="000000" w:themeColor="text1"/>
          <w:sz w:val="21"/>
          <w:szCs w:val="21"/>
        </w:rPr>
        <w:t>7.5.1.9</w:t>
      </w:r>
      <w:r w:rsidRPr="00CA7C54">
        <w:rPr>
          <w:color w:val="000000" w:themeColor="text1"/>
          <w:sz w:val="21"/>
          <w:szCs w:val="21"/>
        </w:rPr>
        <w:t xml:space="preserve"> Двері у тамбурах слід передбачати: у зовнішній стіні – захисно-герметичні, що відповідають класу сховища, у внутрішній – герметичні. Двері повинні відчинятися в напрямку евакуації людей.</w:t>
      </w:r>
    </w:p>
    <w:p w14:paraId="4ECE1244"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7.5.1.10</w:t>
      </w:r>
      <w:r w:rsidRPr="00CA7C54">
        <w:rPr>
          <w:color w:val="000000" w:themeColor="text1"/>
          <w:sz w:val="21"/>
          <w:szCs w:val="21"/>
        </w:rPr>
        <w:t xml:space="preserve"> У зовнішній і внутрішній стінах тамбур-шлюзу та тамбур</w:t>
      </w:r>
      <w:r w:rsidR="00D12250" w:rsidRPr="00CA7C54">
        <w:rPr>
          <w:color w:val="000000" w:themeColor="text1"/>
          <w:sz w:val="21"/>
          <w:szCs w:val="21"/>
        </w:rPr>
        <w:t>а</w:t>
      </w:r>
      <w:r w:rsidRPr="00CA7C54">
        <w:rPr>
          <w:color w:val="000000" w:themeColor="text1"/>
          <w:sz w:val="21"/>
          <w:szCs w:val="21"/>
        </w:rPr>
        <w:t xml:space="preserve"> захисно-герметичні двері (ворота), а також захисно-герметичні двері (люки) аварійних виходів мають відповідати класу захисту сховища з урахуванням коефіцієнтів входу</w:t>
      </w:r>
      <w:r w:rsidR="0057414A" w:rsidRPr="00CA7C54">
        <w:rPr>
          <w:color w:val="000000" w:themeColor="text1"/>
          <w:sz w:val="21"/>
          <w:szCs w:val="21"/>
          <w:highlight w:val="white"/>
        </w:rPr>
        <w:t xml:space="preserve">за </w:t>
      </w:r>
      <w:r w:rsidRPr="00CA7C54">
        <w:rPr>
          <w:color w:val="000000" w:themeColor="text1"/>
          <w:sz w:val="21"/>
          <w:szCs w:val="21"/>
          <w:highlight w:val="white"/>
        </w:rPr>
        <w:t>табл</w:t>
      </w:r>
      <w:r w:rsidR="0057414A" w:rsidRPr="00CA7C54">
        <w:rPr>
          <w:color w:val="000000" w:themeColor="text1"/>
          <w:sz w:val="21"/>
          <w:szCs w:val="21"/>
          <w:highlight w:val="white"/>
        </w:rPr>
        <w:t>ицею</w:t>
      </w:r>
      <w:r w:rsidRPr="00CA7C54">
        <w:rPr>
          <w:color w:val="000000" w:themeColor="text1"/>
          <w:sz w:val="21"/>
          <w:szCs w:val="21"/>
          <w:highlight w:val="white"/>
        </w:rPr>
        <w:t xml:space="preserve"> 14.7 та</w:t>
      </w:r>
      <w:r w:rsidRPr="00CA7C54">
        <w:rPr>
          <w:color w:val="000000" w:themeColor="text1"/>
          <w:sz w:val="21"/>
          <w:szCs w:val="21"/>
        </w:rPr>
        <w:t xml:space="preserve"> динаміч</w:t>
      </w:r>
      <w:r w:rsidRPr="00CA7C54">
        <w:rPr>
          <w:color w:val="000000" w:themeColor="text1"/>
          <w:sz w:val="21"/>
          <w:szCs w:val="21"/>
          <w:highlight w:val="white"/>
        </w:rPr>
        <w:t xml:space="preserve">ності 14.1.3.7, </w:t>
      </w:r>
      <w:r w:rsidRPr="00CA7C54">
        <w:rPr>
          <w:color w:val="000000" w:themeColor="text1"/>
          <w:sz w:val="21"/>
          <w:szCs w:val="21"/>
        </w:rPr>
        <w:t>та повинні відчинятись назовні у напрямку виходу людей зі сховища.</w:t>
      </w:r>
    </w:p>
    <w:p w14:paraId="529F9D9C" w14:textId="77777777" w:rsidR="003C4E04" w:rsidRPr="00CA7C54" w:rsidRDefault="001E748C" w:rsidP="0042528B">
      <w:pPr>
        <w:spacing w:before="0" w:line="288" w:lineRule="auto"/>
        <w:contextualSpacing/>
        <w:rPr>
          <w:color w:val="000000" w:themeColor="text1"/>
          <w:sz w:val="21"/>
          <w:szCs w:val="21"/>
        </w:rPr>
      </w:pPr>
      <w:r w:rsidRPr="00CA7C54">
        <w:rPr>
          <w:color w:val="000000" w:themeColor="text1"/>
          <w:sz w:val="21"/>
          <w:szCs w:val="21"/>
        </w:rPr>
        <w:lastRenderedPageBreak/>
        <w:t xml:space="preserve">Мінімальне квазістатичне (еквівалентне) рівномірно-розподілене навантаження </w:t>
      </w:r>
      <w:r w:rsidRPr="00AD7A30">
        <w:rPr>
          <w:i/>
          <w:color w:val="000000" w:themeColor="text1"/>
          <w:sz w:val="21"/>
          <w:szCs w:val="21"/>
        </w:rPr>
        <w:t>q</w:t>
      </w:r>
      <w:r w:rsidR="00C40C7F" w:rsidRPr="00AD7A30">
        <w:rPr>
          <w:i/>
          <w:color w:val="000000" w:themeColor="text1"/>
          <w:sz w:val="21"/>
          <w:szCs w:val="21"/>
          <w:vertAlign w:val="subscript"/>
        </w:rPr>
        <w:t>е</w:t>
      </w:r>
      <w:r w:rsidRPr="00AD7A30">
        <w:rPr>
          <w:i/>
          <w:color w:val="000000" w:themeColor="text1"/>
          <w:sz w:val="21"/>
          <w:szCs w:val="21"/>
          <w:vertAlign w:val="subscript"/>
        </w:rPr>
        <w:t>х,eqv</w:t>
      </w:r>
      <w:r w:rsidRPr="00AD7A30">
        <w:rPr>
          <w:color w:val="000000" w:themeColor="text1"/>
          <w:sz w:val="21"/>
          <w:szCs w:val="21"/>
        </w:rPr>
        <w:t>,</w:t>
      </w:r>
      <w:r w:rsidRPr="00CA7C54">
        <w:rPr>
          <w:color w:val="000000" w:themeColor="text1"/>
          <w:sz w:val="21"/>
          <w:szCs w:val="21"/>
        </w:rPr>
        <w:t xml:space="preserve">(кПа), яке повинні витримувати захисно-герметичні двері, слід визначати згідно з 14.1.3.7 цих </w:t>
      </w:r>
      <w:r w:rsidR="00D12250" w:rsidRPr="00CA7C54">
        <w:rPr>
          <w:color w:val="000000" w:themeColor="text1"/>
          <w:sz w:val="21"/>
          <w:szCs w:val="21"/>
        </w:rPr>
        <w:t>н</w:t>
      </w:r>
      <w:r w:rsidRPr="00CA7C54">
        <w:rPr>
          <w:color w:val="000000" w:themeColor="text1"/>
          <w:sz w:val="21"/>
          <w:szCs w:val="21"/>
        </w:rPr>
        <w:t>орм.</w:t>
      </w:r>
    </w:p>
    <w:p w14:paraId="506E3A85"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color w:val="000000" w:themeColor="text1"/>
          <w:sz w:val="21"/>
          <w:szCs w:val="21"/>
        </w:rPr>
        <w:t xml:space="preserve">Захисно-герметичні двері підбирають так, щоб їх параметр розрахункового навантаження дорівнював або перевищував значення </w:t>
      </w:r>
      <w:r w:rsidRPr="00CA7C54">
        <w:rPr>
          <w:i/>
          <w:color w:val="000000" w:themeColor="text1"/>
          <w:sz w:val="21"/>
          <w:szCs w:val="21"/>
        </w:rPr>
        <w:t>q</w:t>
      </w:r>
      <w:r w:rsidRPr="00CA7C54">
        <w:rPr>
          <w:i/>
          <w:color w:val="000000" w:themeColor="text1"/>
          <w:sz w:val="21"/>
          <w:szCs w:val="21"/>
          <w:vertAlign w:val="subscript"/>
        </w:rPr>
        <w:t>ех,eqv</w:t>
      </w:r>
      <w:r w:rsidRPr="00CA7C54">
        <w:rPr>
          <w:color w:val="000000" w:themeColor="text1"/>
          <w:sz w:val="21"/>
          <w:szCs w:val="21"/>
        </w:rPr>
        <w:t>, кПа. </w:t>
      </w:r>
    </w:p>
    <w:p w14:paraId="2FC7D9C8" w14:textId="77777777" w:rsidR="003C4E04" w:rsidRPr="00CA7C54" w:rsidRDefault="001E748C" w:rsidP="0042528B">
      <w:pPr>
        <w:spacing w:before="0" w:line="288" w:lineRule="auto"/>
        <w:contextualSpacing/>
        <w:rPr>
          <w:rFonts w:eastAsia="Times New Roman"/>
          <w:color w:val="000000" w:themeColor="text1"/>
          <w:sz w:val="20"/>
          <w:szCs w:val="20"/>
        </w:rPr>
      </w:pPr>
      <w:r w:rsidRPr="00CA7C54">
        <w:rPr>
          <w:b/>
          <w:color w:val="000000" w:themeColor="text1"/>
          <w:sz w:val="20"/>
          <w:szCs w:val="20"/>
        </w:rPr>
        <w:t xml:space="preserve">Примітка. </w:t>
      </w:r>
      <w:r w:rsidRPr="00CA7C54">
        <w:rPr>
          <w:color w:val="000000" w:themeColor="text1"/>
          <w:sz w:val="20"/>
          <w:szCs w:val="20"/>
        </w:rPr>
        <w:t>Розрахунок слід виконувати у такій послідовності:</w:t>
      </w:r>
    </w:p>
    <w:p w14:paraId="20FAA2DA" w14:textId="77777777" w:rsidR="003C4E04" w:rsidRPr="00CA7C54" w:rsidRDefault="001E748C" w:rsidP="0042528B">
      <w:pPr>
        <w:pBdr>
          <w:top w:val="nil"/>
          <w:left w:val="nil"/>
          <w:bottom w:val="nil"/>
          <w:right w:val="nil"/>
          <w:between w:val="nil"/>
        </w:pBdr>
        <w:spacing w:before="0" w:line="288" w:lineRule="auto"/>
        <w:ind w:left="-153" w:firstLine="719"/>
        <w:contextualSpacing/>
        <w:rPr>
          <w:color w:val="000000" w:themeColor="text1"/>
          <w:sz w:val="21"/>
          <w:szCs w:val="21"/>
          <w:highlight w:val="white"/>
        </w:rPr>
      </w:pPr>
      <w:r w:rsidRPr="00CA7C54">
        <w:rPr>
          <w:color w:val="000000" w:themeColor="text1"/>
          <w:sz w:val="21"/>
          <w:szCs w:val="21"/>
          <w:highlight w:val="white"/>
        </w:rPr>
        <w:t xml:space="preserve">1) за таблицею А.1 визначити надмірний тиск повітряної ударної хвилі </w:t>
      </w:r>
      <w:r w:rsidRPr="00CA7C54">
        <w:rPr>
          <w:i/>
          <w:color w:val="000000" w:themeColor="text1"/>
          <w:sz w:val="21"/>
          <w:szCs w:val="21"/>
          <w:highlight w:val="white"/>
        </w:rPr>
        <w:t>ΔР</w:t>
      </w:r>
      <w:r w:rsidRPr="00CA7C54">
        <w:rPr>
          <w:i/>
          <w:color w:val="000000" w:themeColor="text1"/>
          <w:sz w:val="21"/>
          <w:szCs w:val="21"/>
          <w:highlight w:val="white"/>
          <w:vertAlign w:val="subscript"/>
        </w:rPr>
        <w:t>ех</w:t>
      </w:r>
      <w:r w:rsidRPr="00CA7C54">
        <w:rPr>
          <w:color w:val="000000" w:themeColor="text1"/>
          <w:sz w:val="21"/>
          <w:szCs w:val="21"/>
          <w:highlight w:val="white"/>
        </w:rPr>
        <w:t>, кПа;</w:t>
      </w:r>
    </w:p>
    <w:p w14:paraId="4A464CD4" w14:textId="77777777" w:rsidR="003C4E04" w:rsidRPr="00CA7C54" w:rsidRDefault="001E748C" w:rsidP="0042528B">
      <w:pPr>
        <w:pBdr>
          <w:top w:val="nil"/>
          <w:left w:val="nil"/>
          <w:bottom w:val="nil"/>
          <w:right w:val="nil"/>
          <w:between w:val="nil"/>
        </w:pBdr>
        <w:spacing w:before="0" w:line="288" w:lineRule="auto"/>
        <w:ind w:left="-153" w:firstLine="719"/>
        <w:contextualSpacing/>
        <w:rPr>
          <w:color w:val="000000" w:themeColor="text1"/>
          <w:sz w:val="21"/>
          <w:szCs w:val="21"/>
          <w:highlight w:val="white"/>
        </w:rPr>
      </w:pPr>
      <w:r w:rsidRPr="00CA7C54">
        <w:rPr>
          <w:color w:val="000000" w:themeColor="text1"/>
          <w:sz w:val="21"/>
          <w:szCs w:val="21"/>
          <w:highlight w:val="white"/>
        </w:rPr>
        <w:t xml:space="preserve">2) за таблицею 14.7 визначити коефіцієнт входу </w:t>
      </w:r>
      <w:r w:rsidRPr="00CA7C54">
        <w:rPr>
          <w:i/>
          <w:color w:val="000000" w:themeColor="text1"/>
          <w:sz w:val="21"/>
          <w:szCs w:val="21"/>
          <w:highlight w:val="white"/>
        </w:rPr>
        <w:t>К</w:t>
      </w:r>
      <w:r w:rsidRPr="00CA7C54">
        <w:rPr>
          <w:i/>
          <w:color w:val="000000" w:themeColor="text1"/>
          <w:sz w:val="21"/>
          <w:szCs w:val="21"/>
          <w:highlight w:val="white"/>
          <w:vertAlign w:val="subscript"/>
        </w:rPr>
        <w:t>в</w:t>
      </w:r>
      <w:r w:rsidRPr="00CA7C54">
        <w:rPr>
          <w:color w:val="000000" w:themeColor="text1"/>
          <w:sz w:val="21"/>
          <w:szCs w:val="21"/>
          <w:highlight w:val="white"/>
        </w:rPr>
        <w:t>;</w:t>
      </w:r>
    </w:p>
    <w:p w14:paraId="05FE2D5F" w14:textId="77777777" w:rsidR="003C4E04" w:rsidRPr="00CA7C54" w:rsidRDefault="001E748C" w:rsidP="0042528B">
      <w:pPr>
        <w:pBdr>
          <w:top w:val="nil"/>
          <w:left w:val="nil"/>
          <w:bottom w:val="nil"/>
          <w:right w:val="nil"/>
          <w:between w:val="nil"/>
        </w:pBdr>
        <w:spacing w:before="0" w:line="288" w:lineRule="auto"/>
        <w:ind w:left="-153" w:firstLine="719"/>
        <w:contextualSpacing/>
        <w:rPr>
          <w:color w:val="000000" w:themeColor="text1"/>
          <w:sz w:val="21"/>
          <w:szCs w:val="21"/>
          <w:highlight w:val="white"/>
        </w:rPr>
      </w:pPr>
      <w:r w:rsidRPr="00CA7C54">
        <w:rPr>
          <w:color w:val="000000" w:themeColor="text1"/>
          <w:sz w:val="21"/>
          <w:szCs w:val="21"/>
          <w:highlight w:val="white"/>
        </w:rPr>
        <w:t xml:space="preserve">3) за таблицею 14.12 (остання колонка) визначити коефіцієнт динамічності </w:t>
      </w:r>
      <w:r w:rsidRPr="00CA7C54">
        <w:rPr>
          <w:i/>
          <w:color w:val="000000" w:themeColor="text1"/>
          <w:sz w:val="21"/>
          <w:szCs w:val="21"/>
          <w:highlight w:val="white"/>
        </w:rPr>
        <w:t>К</w:t>
      </w:r>
      <w:r w:rsidRPr="00CA7C54">
        <w:rPr>
          <w:i/>
          <w:color w:val="000000" w:themeColor="text1"/>
          <w:sz w:val="21"/>
          <w:szCs w:val="21"/>
          <w:highlight w:val="white"/>
          <w:vertAlign w:val="subscript"/>
        </w:rPr>
        <w:t>д</w:t>
      </w:r>
      <w:r w:rsidRPr="00CA7C54">
        <w:rPr>
          <w:color w:val="000000" w:themeColor="text1"/>
          <w:sz w:val="21"/>
          <w:szCs w:val="21"/>
          <w:highlight w:val="white"/>
        </w:rPr>
        <w:t>;</w:t>
      </w:r>
    </w:p>
    <w:p w14:paraId="031F4C83" w14:textId="77777777" w:rsidR="003C4E04" w:rsidRPr="00CA7C54" w:rsidRDefault="001E748C" w:rsidP="0042528B">
      <w:pPr>
        <w:pBdr>
          <w:top w:val="nil"/>
          <w:left w:val="nil"/>
          <w:bottom w:val="nil"/>
          <w:right w:val="nil"/>
          <w:between w:val="nil"/>
        </w:pBdr>
        <w:spacing w:before="0" w:line="288" w:lineRule="auto"/>
        <w:ind w:left="-153" w:firstLine="719"/>
        <w:contextualSpacing/>
        <w:rPr>
          <w:color w:val="000000" w:themeColor="text1"/>
          <w:sz w:val="21"/>
          <w:szCs w:val="21"/>
          <w:highlight w:val="white"/>
        </w:rPr>
      </w:pPr>
      <w:r w:rsidRPr="00CA7C54">
        <w:rPr>
          <w:color w:val="000000" w:themeColor="text1"/>
          <w:sz w:val="21"/>
          <w:szCs w:val="21"/>
          <w:highlight w:val="white"/>
        </w:rPr>
        <w:t xml:space="preserve">4) за формулою </w:t>
      </w:r>
      <w:r w:rsidRPr="00CA7C54">
        <w:rPr>
          <w:i/>
          <w:color w:val="000000" w:themeColor="text1"/>
          <w:sz w:val="21"/>
          <w:szCs w:val="21"/>
          <w:highlight w:val="white"/>
        </w:rPr>
        <w:t>Р = K</w:t>
      </w:r>
      <w:r w:rsidRPr="00CA7C54">
        <w:rPr>
          <w:i/>
          <w:color w:val="000000" w:themeColor="text1"/>
          <w:sz w:val="21"/>
          <w:szCs w:val="21"/>
          <w:highlight w:val="white"/>
          <w:vertAlign w:val="subscript"/>
        </w:rPr>
        <w:t>в</w:t>
      </w:r>
      <w:r w:rsidRPr="00CA7C54">
        <w:rPr>
          <w:i/>
          <w:color w:val="000000" w:themeColor="text1"/>
          <w:sz w:val="21"/>
          <w:szCs w:val="21"/>
          <w:highlight w:val="white"/>
        </w:rPr>
        <w:t xml:space="preserve"> ×ΔР</w:t>
      </w:r>
      <w:r w:rsidRPr="00CA7C54">
        <w:rPr>
          <w:i/>
          <w:color w:val="000000" w:themeColor="text1"/>
          <w:sz w:val="21"/>
          <w:szCs w:val="21"/>
          <w:highlight w:val="white"/>
          <w:vertAlign w:val="subscript"/>
        </w:rPr>
        <w:t>ех</w:t>
      </w:r>
      <w:r w:rsidRPr="00CA7C54">
        <w:rPr>
          <w:color w:val="000000" w:themeColor="text1"/>
          <w:sz w:val="21"/>
          <w:szCs w:val="21"/>
          <w:highlight w:val="white"/>
        </w:rPr>
        <w:t xml:space="preserve"> (таблиця 14.7) визначити значення </w:t>
      </w:r>
      <w:r w:rsidRPr="00CA7C54">
        <w:rPr>
          <w:i/>
          <w:color w:val="000000" w:themeColor="text1"/>
          <w:sz w:val="21"/>
          <w:szCs w:val="21"/>
          <w:highlight w:val="white"/>
        </w:rPr>
        <w:t>Р</w:t>
      </w:r>
      <w:r w:rsidRPr="00CA7C54">
        <w:rPr>
          <w:color w:val="000000" w:themeColor="text1"/>
          <w:sz w:val="21"/>
          <w:szCs w:val="21"/>
          <w:highlight w:val="white"/>
        </w:rPr>
        <w:t>, кПа;</w:t>
      </w:r>
    </w:p>
    <w:p w14:paraId="62C6FD80" w14:textId="77777777" w:rsidR="003C4E04" w:rsidRPr="00CA7C54" w:rsidRDefault="001E748C" w:rsidP="0042528B">
      <w:pPr>
        <w:spacing w:before="0" w:line="288" w:lineRule="auto"/>
        <w:contextualSpacing/>
        <w:rPr>
          <w:color w:val="000000" w:themeColor="text1"/>
          <w:sz w:val="21"/>
          <w:szCs w:val="21"/>
          <w:highlight w:val="white"/>
        </w:rPr>
      </w:pPr>
      <w:r w:rsidRPr="00CA7C54">
        <w:rPr>
          <w:color w:val="000000" w:themeColor="text1"/>
          <w:sz w:val="21"/>
          <w:szCs w:val="21"/>
          <w:highlight w:val="white"/>
        </w:rPr>
        <w:t xml:space="preserve">5) згідно з 14.1.3.7 визначити </w:t>
      </w:r>
      <w:r w:rsidRPr="00AD7A30">
        <w:rPr>
          <w:i/>
          <w:color w:val="000000" w:themeColor="text1"/>
          <w:sz w:val="21"/>
          <w:szCs w:val="21"/>
        </w:rPr>
        <w:t>q</w:t>
      </w:r>
      <w:r w:rsidR="00C40C7F" w:rsidRPr="00AD7A30">
        <w:rPr>
          <w:i/>
          <w:color w:val="000000" w:themeColor="text1"/>
          <w:sz w:val="21"/>
          <w:szCs w:val="21"/>
          <w:vertAlign w:val="subscript"/>
        </w:rPr>
        <w:t>е</w:t>
      </w:r>
      <w:r w:rsidRPr="00AD7A30">
        <w:rPr>
          <w:i/>
          <w:color w:val="000000" w:themeColor="text1"/>
          <w:sz w:val="21"/>
          <w:szCs w:val="21"/>
          <w:vertAlign w:val="subscript"/>
        </w:rPr>
        <w:t>х,eqv</w:t>
      </w:r>
      <w:r w:rsidRPr="00CA7C54">
        <w:rPr>
          <w:color w:val="000000" w:themeColor="text1"/>
          <w:sz w:val="21"/>
          <w:szCs w:val="21"/>
          <w:highlight w:val="white"/>
        </w:rPr>
        <w:t>, кПа.</w:t>
      </w:r>
    </w:p>
    <w:p w14:paraId="06F81563"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7.5.1.11</w:t>
      </w:r>
      <w:r w:rsidRPr="00CA7C54">
        <w:rPr>
          <w:color w:val="000000" w:themeColor="text1"/>
          <w:sz w:val="21"/>
          <w:szCs w:val="21"/>
        </w:rPr>
        <w:t xml:space="preserve"> Сумарну ширину сходових спусків слід приймати у 1,5 рази, а пандусів – в 1,1 рази більше сумарної ширини дверних прорізів на вході до захисної споруди.</w:t>
      </w:r>
    </w:p>
    <w:p w14:paraId="76592112"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Ухил маршів слід приймати не менше 1:2 (при реконструкції допускається 1:1,5). </w:t>
      </w:r>
    </w:p>
    <w:p w14:paraId="5456B2E3"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7.5.1.12</w:t>
      </w:r>
      <w:r w:rsidRPr="00CA7C54">
        <w:rPr>
          <w:color w:val="000000" w:themeColor="text1"/>
          <w:sz w:val="21"/>
          <w:szCs w:val="21"/>
        </w:rPr>
        <w:t>  Розміри тамбур</w:t>
      </w:r>
      <w:r w:rsidR="004E656C" w:rsidRPr="00CA7C54">
        <w:rPr>
          <w:color w:val="000000" w:themeColor="text1"/>
          <w:sz w:val="21"/>
          <w:szCs w:val="21"/>
        </w:rPr>
        <w:t>а</w:t>
      </w:r>
      <w:r w:rsidRPr="00CA7C54">
        <w:rPr>
          <w:color w:val="000000" w:themeColor="text1"/>
          <w:sz w:val="21"/>
          <w:szCs w:val="21"/>
        </w:rPr>
        <w:t xml:space="preserve"> слід приймати не менше</w:t>
      </w:r>
      <w:r w:rsidR="00780623" w:rsidRPr="00CA7C54">
        <w:rPr>
          <w:color w:val="000000" w:themeColor="text1"/>
          <w:sz w:val="21"/>
          <w:szCs w:val="21"/>
        </w:rPr>
        <w:t xml:space="preserve"> ніж </w:t>
      </w:r>
      <w:r w:rsidRPr="00CA7C54">
        <w:rPr>
          <w:color w:val="000000" w:themeColor="text1"/>
          <w:sz w:val="21"/>
          <w:szCs w:val="21"/>
        </w:rPr>
        <w:t xml:space="preserve"> 1,5 м х 1,5м. </w:t>
      </w:r>
    </w:p>
    <w:p w14:paraId="1D199857"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7.5.1.13</w:t>
      </w:r>
      <w:r w:rsidRPr="00CA7C54">
        <w:rPr>
          <w:color w:val="000000" w:themeColor="text1"/>
          <w:sz w:val="21"/>
          <w:szCs w:val="21"/>
        </w:rPr>
        <w:t xml:space="preserve"> У сховищах закладів охорони здоров’я  слід приймати ширину передтамбура, тамбура-шлюзу – 2,5 м, тамбура – 2,0 м, довжину тамбура та тамбура-шлюзу 4-4,5м, передтамбура – 2,0 м.</w:t>
      </w:r>
    </w:p>
    <w:p w14:paraId="79F60E54"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7.5.1.14</w:t>
      </w:r>
      <w:r w:rsidRPr="00CA7C54">
        <w:rPr>
          <w:color w:val="000000" w:themeColor="text1"/>
          <w:sz w:val="21"/>
          <w:szCs w:val="21"/>
        </w:rPr>
        <w:t xml:space="preserve"> У сховищах, розташованих у зонах можливого катастрофічного затоплення, слід передбачати аварійні виходи:</w:t>
      </w:r>
    </w:p>
    <w:p w14:paraId="6F90ACB7"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а) у зонах невеликої тривалості затоплення – у формі вертикальної шахти із захищеним оголовком. Після закінчення затоплення слід передбачати випуск води з входу у сховище або відкачування її насосом;</w:t>
      </w:r>
    </w:p>
    <w:p w14:paraId="1C3EE098"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б) у зонах тривалого затоплення – у вигляді вертикальної шахти.</w:t>
      </w:r>
    </w:p>
    <w:p w14:paraId="333AE14A"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При глибині можливого затоплення до 5 м вихід повинен здійснюватися крізь шахту. При цьому верх шахти слід приймати на 1 м вище рівня можливого затоплення.</w:t>
      </w:r>
    </w:p>
    <w:p w14:paraId="74E1A4F4" w14:textId="77777777" w:rsidR="003C4E04" w:rsidRPr="00CA7C54" w:rsidRDefault="001E748C" w:rsidP="00591D28">
      <w:pPr>
        <w:spacing w:before="0"/>
        <w:ind w:firstLine="566"/>
        <w:contextualSpacing/>
        <w:rPr>
          <w:color w:val="000000" w:themeColor="text1"/>
          <w:sz w:val="21"/>
          <w:szCs w:val="21"/>
          <w:highlight w:val="green"/>
          <w:lang w:val="ru-RU"/>
        </w:rPr>
      </w:pPr>
      <w:r w:rsidRPr="00CA7C54">
        <w:rPr>
          <w:b/>
          <w:color w:val="000000" w:themeColor="text1"/>
          <w:sz w:val="21"/>
          <w:szCs w:val="21"/>
        </w:rPr>
        <w:t>7.5.1.15</w:t>
      </w:r>
      <w:r w:rsidRPr="00CA7C54">
        <w:rPr>
          <w:color w:val="000000" w:themeColor="text1"/>
          <w:sz w:val="21"/>
          <w:szCs w:val="21"/>
        </w:rPr>
        <w:t xml:space="preserve"> Сховища </w:t>
      </w:r>
      <w:r w:rsidR="002410C7" w:rsidRPr="00CA7C54">
        <w:rPr>
          <w:color w:val="000000" w:themeColor="text1"/>
          <w:sz w:val="21"/>
          <w:szCs w:val="21"/>
        </w:rPr>
        <w:t>повинні</w:t>
      </w:r>
      <w:r w:rsidRPr="00CA7C54">
        <w:rPr>
          <w:color w:val="000000" w:themeColor="text1"/>
          <w:sz w:val="21"/>
          <w:szCs w:val="21"/>
        </w:rPr>
        <w:t xml:space="preserve"> мати мінімум один аварійний вихід. Аварійний вихід обладну</w:t>
      </w:r>
      <w:r w:rsidR="00780623" w:rsidRPr="00CA7C54">
        <w:rPr>
          <w:color w:val="000000" w:themeColor="text1"/>
          <w:sz w:val="21"/>
          <w:szCs w:val="21"/>
        </w:rPr>
        <w:t>ю</w:t>
      </w:r>
      <w:r w:rsidRPr="00CA7C54">
        <w:rPr>
          <w:color w:val="000000" w:themeColor="text1"/>
          <w:sz w:val="21"/>
          <w:szCs w:val="21"/>
        </w:rPr>
        <w:t>тьзахисно-герметичними двер</w:t>
      </w:r>
      <w:r w:rsidR="002410C7" w:rsidRPr="00CA7C54">
        <w:rPr>
          <w:color w:val="000000" w:themeColor="text1"/>
          <w:sz w:val="21"/>
          <w:szCs w:val="21"/>
        </w:rPr>
        <w:t>и</w:t>
      </w:r>
      <w:r w:rsidRPr="00CA7C54">
        <w:rPr>
          <w:color w:val="000000" w:themeColor="text1"/>
          <w:sz w:val="21"/>
          <w:szCs w:val="21"/>
        </w:rPr>
        <w:t>м</w:t>
      </w:r>
      <w:r w:rsidR="002410C7" w:rsidRPr="00CA7C54">
        <w:rPr>
          <w:color w:val="000000" w:themeColor="text1"/>
          <w:sz w:val="21"/>
          <w:szCs w:val="21"/>
        </w:rPr>
        <w:t>а</w:t>
      </w:r>
      <w:r w:rsidRPr="00CA7C54">
        <w:rPr>
          <w:color w:val="000000" w:themeColor="text1"/>
          <w:sz w:val="21"/>
          <w:szCs w:val="21"/>
        </w:rPr>
        <w:t xml:space="preserve"> (люками).</w:t>
      </w:r>
    </w:p>
    <w:p w14:paraId="0F821303"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7.5.1.16</w:t>
      </w:r>
      <w:r w:rsidRPr="00CA7C54">
        <w:rPr>
          <w:color w:val="000000" w:themeColor="text1"/>
          <w:sz w:val="21"/>
          <w:szCs w:val="21"/>
        </w:rPr>
        <w:t xml:space="preserve"> У сховищах місткістю 301 чоловік і більше (при реконструкції 601 особа і більше)  один із виходів слід обладнувати як аварійний у вигляді тунелю шириною не менше </w:t>
      </w:r>
      <w:r w:rsidR="00073014" w:rsidRPr="00CA7C54">
        <w:rPr>
          <w:color w:val="000000" w:themeColor="text1"/>
          <w:sz w:val="21"/>
          <w:szCs w:val="21"/>
        </w:rPr>
        <w:t xml:space="preserve">ніж </w:t>
      </w:r>
      <w:r w:rsidRPr="00CA7C54">
        <w:rPr>
          <w:color w:val="000000" w:themeColor="text1"/>
          <w:sz w:val="21"/>
          <w:szCs w:val="21"/>
        </w:rPr>
        <w:t>1,5 м та висотою не менше</w:t>
      </w:r>
      <w:r w:rsidR="00073014" w:rsidRPr="00CA7C54">
        <w:rPr>
          <w:color w:val="000000" w:themeColor="text1"/>
          <w:sz w:val="21"/>
          <w:szCs w:val="21"/>
        </w:rPr>
        <w:t xml:space="preserve"> ніж</w:t>
      </w:r>
      <w:r w:rsidRPr="00CA7C54">
        <w:rPr>
          <w:color w:val="000000" w:themeColor="text1"/>
          <w:sz w:val="21"/>
          <w:szCs w:val="21"/>
        </w:rPr>
        <w:t xml:space="preserve"> 2,1 м. В умовах реконструкції та за наявності обґрунтування допускається влаштовувати тунель розмірами 1,2 м </w:t>
      </w:r>
      <w:r w:rsidR="00643792" w:rsidRPr="00CA7C54">
        <w:rPr>
          <w:color w:val="000000" w:themeColor="text1"/>
          <w:sz w:val="21"/>
          <w:szCs w:val="21"/>
        </w:rPr>
        <w:t>х</w:t>
      </w:r>
      <w:r w:rsidRPr="00CA7C54">
        <w:rPr>
          <w:color w:val="000000" w:themeColor="text1"/>
          <w:sz w:val="21"/>
          <w:szCs w:val="21"/>
        </w:rPr>
        <w:t xml:space="preserve"> 2 м.</w:t>
      </w:r>
    </w:p>
    <w:p w14:paraId="0C202300"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При цьому виходи із сховища у тунель необхідно обладнувати захисно-герметичними і герметичними дверима розміром не менше</w:t>
      </w:r>
      <w:r w:rsidR="001D44F6" w:rsidRPr="00CA7C54">
        <w:rPr>
          <w:color w:val="000000" w:themeColor="text1"/>
          <w:sz w:val="21"/>
          <w:szCs w:val="21"/>
        </w:rPr>
        <w:t xml:space="preserve"> ніж</w:t>
      </w:r>
      <w:r w:rsidRPr="00CA7C54">
        <w:rPr>
          <w:color w:val="000000" w:themeColor="text1"/>
          <w:sz w:val="21"/>
          <w:szCs w:val="21"/>
        </w:rPr>
        <w:t xml:space="preserve"> 1,2</w:t>
      </w:r>
      <w:r w:rsidR="001D44F6" w:rsidRPr="00CA7C54">
        <w:rPr>
          <w:color w:val="000000" w:themeColor="text1"/>
          <w:sz w:val="21"/>
          <w:szCs w:val="21"/>
        </w:rPr>
        <w:t xml:space="preserve"> м</w:t>
      </w:r>
      <w:r w:rsidRPr="00CA7C54">
        <w:rPr>
          <w:color w:val="000000" w:themeColor="text1"/>
          <w:sz w:val="21"/>
          <w:szCs w:val="21"/>
        </w:rPr>
        <w:t xml:space="preserve"> х 2,0 м, які встановлюються відповідно з зовнішньої і внутрішньої сторін стіни.</w:t>
      </w:r>
    </w:p>
    <w:p w14:paraId="47EB605C"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Тунель аварійного виходу, сумісно зі входом у сховище, допускається передбачати для розміщення однокамерного тамбур-шлюзу.</w:t>
      </w:r>
    </w:p>
    <w:p w14:paraId="2BDC8D74"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В окремо розташованих сховищах допускається один із входів, розташованих поза зоною можливих завалів, про</w:t>
      </w:r>
      <w:r w:rsidR="002E68BE" w:rsidRPr="00CA7C54">
        <w:rPr>
          <w:color w:val="000000" w:themeColor="text1"/>
          <w:sz w:val="21"/>
          <w:szCs w:val="21"/>
        </w:rPr>
        <w:t>є</w:t>
      </w:r>
      <w:r w:rsidRPr="00CA7C54">
        <w:rPr>
          <w:color w:val="000000" w:themeColor="text1"/>
          <w:sz w:val="21"/>
          <w:szCs w:val="21"/>
        </w:rPr>
        <w:t>ктувати як аварійний вихід.</w:t>
      </w:r>
    </w:p>
    <w:p w14:paraId="472B616C" w14:textId="77777777" w:rsidR="003C4E04" w:rsidRPr="00CA7C54" w:rsidRDefault="001E748C" w:rsidP="00591D28">
      <w:pPr>
        <w:spacing w:before="0"/>
        <w:ind w:firstLine="566"/>
        <w:contextualSpacing/>
        <w:rPr>
          <w:color w:val="000000" w:themeColor="text1"/>
          <w:sz w:val="21"/>
          <w:szCs w:val="21"/>
          <w:highlight w:val="red"/>
        </w:rPr>
      </w:pPr>
      <w:r w:rsidRPr="00CA7C54">
        <w:rPr>
          <w:color w:val="000000" w:themeColor="text1"/>
          <w:sz w:val="21"/>
          <w:szCs w:val="21"/>
        </w:rPr>
        <w:t>Виходи з аварійних тунелів необхідно розташовувати вище рівня ґрунтових вод. </w:t>
      </w:r>
    </w:p>
    <w:p w14:paraId="6645549C" w14:textId="4CD2C921"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7.5.1.17</w:t>
      </w:r>
      <w:r w:rsidRPr="00CA7C54">
        <w:rPr>
          <w:color w:val="000000" w:themeColor="text1"/>
          <w:sz w:val="21"/>
          <w:szCs w:val="21"/>
        </w:rPr>
        <w:t xml:space="preserve"> У сховищах місткістю до 300 осіб (при реконструкції до 600 осіб) допускається передбачати аварійний вихід у вигляді вертикальної шахти з захисним оголовком. При цьому аварійний вихід повинен з’єднуватись із сховищем тунелем. Внутрішні розміри тунелю та шахти повинні бути при новому будівництві не менше</w:t>
      </w:r>
      <w:r w:rsidR="00780623" w:rsidRPr="00CA7C54">
        <w:rPr>
          <w:color w:val="000000" w:themeColor="text1"/>
          <w:sz w:val="21"/>
          <w:szCs w:val="21"/>
        </w:rPr>
        <w:t xml:space="preserve"> ніж</w:t>
      </w:r>
      <w:r w:rsidRPr="00CA7C54">
        <w:rPr>
          <w:color w:val="000000" w:themeColor="text1"/>
          <w:sz w:val="21"/>
          <w:szCs w:val="21"/>
        </w:rPr>
        <w:t xml:space="preserve"> 1,5</w:t>
      </w:r>
      <w:r w:rsidR="00134039">
        <w:rPr>
          <w:color w:val="000000" w:themeColor="text1"/>
          <w:sz w:val="21"/>
          <w:szCs w:val="21"/>
        </w:rPr>
        <w:t xml:space="preserve"> </w:t>
      </w:r>
      <w:r w:rsidRPr="00CA7C54">
        <w:rPr>
          <w:color w:val="000000" w:themeColor="text1"/>
          <w:sz w:val="21"/>
          <w:szCs w:val="21"/>
        </w:rPr>
        <w:t>м х 1,5</w:t>
      </w:r>
      <w:r w:rsidR="00134039">
        <w:rPr>
          <w:color w:val="000000" w:themeColor="text1"/>
          <w:sz w:val="21"/>
          <w:szCs w:val="21"/>
        </w:rPr>
        <w:t xml:space="preserve"> </w:t>
      </w:r>
      <w:r w:rsidRPr="00CA7C54">
        <w:rPr>
          <w:color w:val="000000" w:themeColor="text1"/>
          <w:sz w:val="21"/>
          <w:szCs w:val="21"/>
        </w:rPr>
        <w:t>м (у просвіті) та при реконструкції не менше</w:t>
      </w:r>
      <w:r w:rsidR="00780623" w:rsidRPr="00CA7C54">
        <w:rPr>
          <w:color w:val="000000" w:themeColor="text1"/>
          <w:sz w:val="21"/>
          <w:szCs w:val="21"/>
        </w:rPr>
        <w:t xml:space="preserve"> ніж</w:t>
      </w:r>
      <w:r w:rsidRPr="00CA7C54">
        <w:rPr>
          <w:color w:val="000000" w:themeColor="text1"/>
          <w:sz w:val="21"/>
          <w:szCs w:val="21"/>
        </w:rPr>
        <w:t xml:space="preserve"> 0,9 м х1,3 м (у просвіті).  </w:t>
      </w:r>
    </w:p>
    <w:p w14:paraId="0CCBBF7D"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Вихід із сховища у тунель повинен обладнуватися захисно-герметичними і герметичними віконницями (люками), які встановлюються відповідно з зовнішньої і внутрішньої сторін стіни.</w:t>
      </w:r>
    </w:p>
    <w:p w14:paraId="7F7DD794"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7.5.1.18</w:t>
      </w:r>
      <w:r w:rsidRPr="00CA7C54">
        <w:rPr>
          <w:color w:val="000000" w:themeColor="text1"/>
          <w:sz w:val="21"/>
          <w:szCs w:val="21"/>
        </w:rPr>
        <w:t xml:space="preserve"> Аварійні шахтні виходи слід обладнувати захищеними оголовками, висоту яких </w:t>
      </w:r>
      <w:r w:rsidRPr="00CA7C54">
        <w:rPr>
          <w:i/>
          <w:iCs/>
          <w:color w:val="000000" w:themeColor="text1"/>
          <w:sz w:val="21"/>
          <w:szCs w:val="21"/>
        </w:rPr>
        <w:t>h</w:t>
      </w:r>
      <w:r w:rsidRPr="00CA7C54">
        <w:rPr>
          <w:i/>
          <w:iCs/>
          <w:color w:val="000000" w:themeColor="text1"/>
          <w:sz w:val="21"/>
          <w:szCs w:val="21"/>
          <w:vertAlign w:val="subscript"/>
        </w:rPr>
        <w:t>ог</w:t>
      </w:r>
      <w:r w:rsidRPr="00CA7C54">
        <w:rPr>
          <w:color w:val="000000" w:themeColor="text1"/>
          <w:sz w:val="21"/>
          <w:szCs w:val="21"/>
        </w:rPr>
        <w:t xml:space="preserve"> необхідно приймати 1,2</w:t>
      </w:r>
      <w:r w:rsidR="001D44F6" w:rsidRPr="00CA7C54">
        <w:rPr>
          <w:color w:val="000000" w:themeColor="text1"/>
          <w:sz w:val="21"/>
          <w:szCs w:val="21"/>
        </w:rPr>
        <w:t xml:space="preserve"> м</w:t>
      </w:r>
      <w:r w:rsidRPr="00CA7C54">
        <w:rPr>
          <w:color w:val="000000" w:themeColor="text1"/>
          <w:sz w:val="21"/>
          <w:szCs w:val="21"/>
        </w:rPr>
        <w:t xml:space="preserve"> або 0,5 м у залежності від віддалення оголовка від будинку або споруди.</w:t>
      </w:r>
    </w:p>
    <w:p w14:paraId="19C43950" w14:textId="77777777" w:rsidR="003C4E04" w:rsidRPr="00CA7C54" w:rsidRDefault="001E748C" w:rsidP="00591D28">
      <w:pPr>
        <w:spacing w:before="0"/>
        <w:ind w:firstLine="566"/>
        <w:contextualSpacing/>
        <w:rPr>
          <w:rFonts w:eastAsia="Times New Roman"/>
          <w:color w:val="000000" w:themeColor="text1"/>
          <w:sz w:val="21"/>
          <w:szCs w:val="21"/>
          <w:highlight w:val="white"/>
        </w:rPr>
      </w:pPr>
      <w:r w:rsidRPr="00CA7C54">
        <w:rPr>
          <w:color w:val="000000" w:themeColor="text1"/>
          <w:sz w:val="21"/>
          <w:szCs w:val="21"/>
        </w:rPr>
        <w:t>Віддалення огол</w:t>
      </w:r>
      <w:r w:rsidRPr="00CA7C54">
        <w:rPr>
          <w:color w:val="000000" w:themeColor="text1"/>
          <w:sz w:val="21"/>
          <w:szCs w:val="21"/>
          <w:highlight w:val="white"/>
        </w:rPr>
        <w:t>овків в залежності від висоти і типу будівлі або споруди, для якої примикає сховище, приймається відповідно до таблиці 7.4</w:t>
      </w:r>
    </w:p>
    <w:p w14:paraId="17D75EF3" w14:textId="77777777" w:rsidR="003C4E04" w:rsidRDefault="001E748C" w:rsidP="00591D28">
      <w:pPr>
        <w:spacing w:before="0"/>
        <w:contextualSpacing/>
        <w:rPr>
          <w:color w:val="000000" w:themeColor="text1"/>
          <w:sz w:val="21"/>
          <w:szCs w:val="21"/>
          <w:highlight w:val="white"/>
        </w:rPr>
      </w:pPr>
      <w:r w:rsidRPr="00CA7C54">
        <w:rPr>
          <w:color w:val="000000" w:themeColor="text1"/>
          <w:sz w:val="21"/>
          <w:szCs w:val="21"/>
          <w:highlight w:val="white"/>
        </w:rPr>
        <w:t>У разі технічної неможливості виконання аварійних виходів за межами можливих завалів/руйнувань вони можуть облаштовуватися відповідно до вимог 7.5.1.19</w:t>
      </w:r>
    </w:p>
    <w:p w14:paraId="3C623C30" w14:textId="77777777" w:rsidR="00591D28" w:rsidRPr="00CA7C54" w:rsidRDefault="00591D28" w:rsidP="00591D28">
      <w:pPr>
        <w:spacing w:before="0"/>
        <w:contextualSpacing/>
        <w:rPr>
          <w:color w:val="000000" w:themeColor="text1"/>
          <w:sz w:val="21"/>
          <w:szCs w:val="21"/>
          <w:highlight w:val="white"/>
        </w:rPr>
      </w:pPr>
    </w:p>
    <w:p w14:paraId="1FABC1D9" w14:textId="77777777" w:rsidR="003C4E04" w:rsidRPr="00CA7C54" w:rsidRDefault="001E748C" w:rsidP="00591D28">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highlight w:val="white"/>
        </w:rPr>
        <w:lastRenderedPageBreak/>
        <w:t xml:space="preserve">Таблиця 7.4 </w:t>
      </w:r>
      <w:r w:rsidRPr="00CA7C54">
        <w:rPr>
          <w:color w:val="000000" w:themeColor="text1"/>
          <w:sz w:val="21"/>
          <w:szCs w:val="21"/>
          <w:highlight w:val="white"/>
        </w:rPr>
        <w:t xml:space="preserve">– </w:t>
      </w:r>
      <w:r w:rsidRPr="00CA7C54">
        <w:rPr>
          <w:color w:val="000000" w:themeColor="text1"/>
          <w:sz w:val="21"/>
          <w:szCs w:val="21"/>
        </w:rPr>
        <w:t>Віддалення оголовків від будівель та споруд.</w:t>
      </w:r>
    </w:p>
    <w:tbl>
      <w:tblPr>
        <w:tblStyle w:val="affffffffffffffffffffffffffffffe"/>
        <w:tblW w:w="9634" w:type="dxa"/>
        <w:tblLayout w:type="fixed"/>
        <w:tblLook w:val="0400" w:firstRow="0" w:lastRow="0" w:firstColumn="0" w:lastColumn="0" w:noHBand="0" w:noVBand="1"/>
      </w:tblPr>
      <w:tblGrid>
        <w:gridCol w:w="5471"/>
        <w:gridCol w:w="1985"/>
        <w:gridCol w:w="2178"/>
      </w:tblGrid>
      <w:tr w:rsidR="00CA7C54" w:rsidRPr="00CA7C54" w14:paraId="48FB4DFF" w14:textId="77777777" w:rsidTr="00591D28">
        <w:trPr>
          <w:trHeight w:val="487"/>
        </w:trPr>
        <w:tc>
          <w:tcPr>
            <w:tcW w:w="5471"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1B387574"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bookmarkStart w:id="14" w:name="_Hlk148524271"/>
            <w:r w:rsidRPr="00591D28">
              <w:rPr>
                <w:rFonts w:ascii="Arial" w:eastAsia="Arial" w:hAnsi="Arial" w:cs="Arial"/>
                <w:b/>
                <w:color w:val="000000" w:themeColor="text1"/>
                <w:sz w:val="20"/>
                <w:szCs w:val="20"/>
              </w:rPr>
              <w:t>Тип будівлі / споруди</w:t>
            </w:r>
          </w:p>
        </w:tc>
        <w:tc>
          <w:tcPr>
            <w:tcW w:w="4163"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FFEB1E3"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b/>
                <w:color w:val="000000" w:themeColor="text1"/>
                <w:sz w:val="20"/>
                <w:szCs w:val="20"/>
              </w:rPr>
              <w:t>Відстань від будівлі</w:t>
            </w:r>
            <w:r w:rsidR="006D765B" w:rsidRPr="00591D28">
              <w:rPr>
                <w:rFonts w:ascii="Arial" w:eastAsia="Arial" w:hAnsi="Arial" w:cs="Arial"/>
                <w:b/>
                <w:color w:val="000000" w:themeColor="text1"/>
                <w:sz w:val="20"/>
                <w:szCs w:val="20"/>
              </w:rPr>
              <w:t xml:space="preserve"> / </w:t>
            </w:r>
            <w:r w:rsidRPr="00591D28">
              <w:rPr>
                <w:rFonts w:ascii="Arial" w:eastAsia="Arial" w:hAnsi="Arial" w:cs="Arial"/>
                <w:b/>
                <w:color w:val="000000" w:themeColor="text1"/>
                <w:sz w:val="20"/>
                <w:szCs w:val="20"/>
              </w:rPr>
              <w:t xml:space="preserve">споруди до оголовка, м, при </w:t>
            </w:r>
            <w:r w:rsidRPr="00591D28">
              <w:rPr>
                <w:rFonts w:ascii="Arial" w:eastAsia="Arial" w:hAnsi="Arial" w:cs="Arial"/>
                <w:b/>
                <w:i/>
                <w:color w:val="000000" w:themeColor="text1"/>
                <w:sz w:val="20"/>
                <w:szCs w:val="20"/>
              </w:rPr>
              <w:t>h</w:t>
            </w:r>
            <w:r w:rsidRPr="00591D28">
              <w:rPr>
                <w:rFonts w:ascii="Arial" w:eastAsia="Arial" w:hAnsi="Arial" w:cs="Arial"/>
                <w:b/>
                <w:i/>
                <w:color w:val="000000" w:themeColor="text1"/>
                <w:sz w:val="20"/>
                <w:szCs w:val="20"/>
                <w:vertAlign w:val="subscript"/>
              </w:rPr>
              <w:t>ог</w:t>
            </w:r>
            <w:r w:rsidRPr="00591D28">
              <w:rPr>
                <w:rFonts w:ascii="Arial" w:eastAsia="Arial" w:hAnsi="Arial" w:cs="Arial"/>
                <w:b/>
                <w:color w:val="000000" w:themeColor="text1"/>
                <w:sz w:val="20"/>
                <w:szCs w:val="20"/>
              </w:rPr>
              <w:t>, м</w:t>
            </w:r>
          </w:p>
        </w:tc>
      </w:tr>
      <w:tr w:rsidR="00CA7C54" w:rsidRPr="00CA7C54" w14:paraId="21748F3A" w14:textId="77777777" w:rsidTr="00591D28">
        <w:trPr>
          <w:trHeight w:hRule="exact" w:val="340"/>
        </w:trPr>
        <w:tc>
          <w:tcPr>
            <w:tcW w:w="547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6BEC0521" w14:textId="77777777" w:rsidR="003C4E04" w:rsidRPr="00591D28" w:rsidRDefault="003C4E04" w:rsidP="00EB2FB3">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88DA67E"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b/>
                <w:color w:val="000000" w:themeColor="text1"/>
                <w:sz w:val="20"/>
                <w:szCs w:val="20"/>
              </w:rPr>
              <w:t>0,5</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D391201"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b/>
                <w:color w:val="000000" w:themeColor="text1"/>
                <w:sz w:val="20"/>
                <w:szCs w:val="20"/>
              </w:rPr>
              <w:t>1,2</w:t>
            </w:r>
          </w:p>
        </w:tc>
      </w:tr>
      <w:bookmarkEnd w:id="14"/>
      <w:tr w:rsidR="00CA7C54" w:rsidRPr="00CA7C54" w14:paraId="50AC6CDF" w14:textId="77777777" w:rsidTr="00591D28">
        <w:trPr>
          <w:trHeight w:hRule="exact" w:val="340"/>
        </w:trPr>
        <w:tc>
          <w:tcPr>
            <w:tcW w:w="54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FA755E7"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color w:val="000000" w:themeColor="text1"/>
                <w:sz w:val="20"/>
                <w:szCs w:val="20"/>
              </w:rPr>
              <w:t>Виробничі та складські одноповерхові</w:t>
            </w: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1972A61"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0,5 Н</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F418C34"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w:t>
            </w:r>
          </w:p>
        </w:tc>
      </w:tr>
      <w:tr w:rsidR="00CA7C54" w:rsidRPr="00CA7C54" w14:paraId="0555CA97" w14:textId="77777777" w:rsidTr="00591D28">
        <w:trPr>
          <w:trHeight w:hRule="exact" w:val="340"/>
        </w:trPr>
        <w:tc>
          <w:tcPr>
            <w:tcW w:w="54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1D999E2"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color w:val="000000" w:themeColor="text1"/>
                <w:sz w:val="20"/>
                <w:szCs w:val="20"/>
              </w:rPr>
              <w:t>Виробничі та складські багатоповерхові</w:t>
            </w: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3F111AD"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Н</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23FD186"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0,5 Н</w:t>
            </w:r>
          </w:p>
        </w:tc>
      </w:tr>
      <w:tr w:rsidR="00CA7C54" w:rsidRPr="00CA7C54" w14:paraId="57E0E809" w14:textId="77777777" w:rsidTr="00591D28">
        <w:trPr>
          <w:trHeight w:hRule="exact" w:val="340"/>
        </w:trPr>
        <w:tc>
          <w:tcPr>
            <w:tcW w:w="54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749AC37"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color w:val="000000" w:themeColor="text1"/>
                <w:sz w:val="20"/>
                <w:szCs w:val="20"/>
              </w:rPr>
              <w:t>Адміністративно-побутові корпуси, громадські будівлі, житлові будинки</w:t>
            </w: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0609E02"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Н</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59A9F5F"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0,5 Н+3</w:t>
            </w:r>
          </w:p>
        </w:tc>
      </w:tr>
      <w:tr w:rsidR="00CA7C54" w:rsidRPr="00CA7C54" w14:paraId="31BDDB80" w14:textId="77777777" w:rsidTr="00591D28">
        <w:trPr>
          <w:trHeight w:hRule="exact" w:val="340"/>
        </w:trPr>
        <w:tc>
          <w:tcPr>
            <w:tcW w:w="54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A328A04"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color w:val="000000" w:themeColor="text1"/>
                <w:sz w:val="20"/>
                <w:szCs w:val="20"/>
              </w:rPr>
              <w:t>Інші будівлі / споруди</w:t>
            </w: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FE5B91C"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Н</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AFB321A"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0,5 Н+3</w:t>
            </w:r>
          </w:p>
        </w:tc>
      </w:tr>
      <w:tr w:rsidR="003C4E04" w:rsidRPr="00CA7C54" w14:paraId="5106804F" w14:textId="77777777" w:rsidTr="00591D28">
        <w:trPr>
          <w:trHeight w:val="170"/>
        </w:trPr>
        <w:tc>
          <w:tcPr>
            <w:tcW w:w="9634" w:type="dxa"/>
            <w:gridSpan w:val="3"/>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B9A7EFC"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b/>
                <w:color w:val="000000" w:themeColor="text1"/>
                <w:sz w:val="20"/>
                <w:szCs w:val="20"/>
              </w:rPr>
              <w:t>Примітка</w:t>
            </w:r>
            <w:r w:rsidR="0049165E">
              <w:rPr>
                <w:rFonts w:ascii="Arial" w:eastAsia="Arial" w:hAnsi="Arial" w:cs="Arial"/>
                <w:b/>
                <w:color w:val="000000" w:themeColor="text1"/>
                <w:sz w:val="20"/>
                <w:szCs w:val="20"/>
              </w:rPr>
              <w:t>.</w:t>
            </w:r>
            <w:r w:rsidRPr="00591D28">
              <w:rPr>
                <w:rFonts w:ascii="Arial" w:eastAsia="Arial" w:hAnsi="Arial" w:cs="Arial"/>
                <w:color w:val="000000" w:themeColor="text1"/>
                <w:sz w:val="20"/>
                <w:szCs w:val="20"/>
              </w:rPr>
              <w:t xml:space="preserve"> У таблиці </w:t>
            </w:r>
            <w:r w:rsidR="004B31F2" w:rsidRPr="00591D28">
              <w:rPr>
                <w:rFonts w:ascii="Arial" w:eastAsia="Arial" w:hAnsi="Arial" w:cs="Arial"/>
                <w:color w:val="000000" w:themeColor="text1"/>
                <w:sz w:val="20"/>
                <w:szCs w:val="20"/>
              </w:rPr>
              <w:t>7</w:t>
            </w:r>
            <w:r w:rsidRPr="00591D28">
              <w:rPr>
                <w:rFonts w:ascii="Arial" w:eastAsia="Arial" w:hAnsi="Arial" w:cs="Arial"/>
                <w:color w:val="000000" w:themeColor="text1"/>
                <w:sz w:val="20"/>
                <w:szCs w:val="20"/>
              </w:rPr>
              <w:t>.4 наведена висота будинку Н, м.</w:t>
            </w:r>
          </w:p>
        </w:tc>
      </w:tr>
    </w:tbl>
    <w:p w14:paraId="01752CB9"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7.5.1.19</w:t>
      </w:r>
      <w:r w:rsidRPr="00CA7C54">
        <w:rPr>
          <w:color w:val="000000" w:themeColor="text1"/>
          <w:sz w:val="21"/>
          <w:szCs w:val="21"/>
        </w:rPr>
        <w:t xml:space="preserve"> При віддаленні оголовків на відстані менше вказаних у таблиці 7.4 – їх висоту слід приймати за інтерполяцією між величинами 0,5</w:t>
      </w:r>
      <w:r w:rsidR="001D44F6" w:rsidRPr="00CA7C54">
        <w:rPr>
          <w:color w:val="000000" w:themeColor="text1"/>
          <w:sz w:val="21"/>
          <w:szCs w:val="21"/>
        </w:rPr>
        <w:t xml:space="preserve"> м</w:t>
      </w:r>
      <w:r w:rsidRPr="00CA7C54">
        <w:rPr>
          <w:color w:val="000000" w:themeColor="text1"/>
          <w:sz w:val="21"/>
          <w:szCs w:val="21"/>
        </w:rPr>
        <w:t xml:space="preserve"> і 1,2 м або 1,2 м і висотою оголовка у межах контуру зруйнованої будівлі, яку примати </w:t>
      </w:r>
      <w:r w:rsidRPr="00CA7C54">
        <w:rPr>
          <w:i/>
          <w:color w:val="000000" w:themeColor="text1"/>
          <w:sz w:val="21"/>
          <w:szCs w:val="21"/>
        </w:rPr>
        <w:t>h</w:t>
      </w:r>
      <w:r w:rsidRPr="00CA7C54">
        <w:rPr>
          <w:i/>
          <w:color w:val="000000" w:themeColor="text1"/>
          <w:sz w:val="21"/>
          <w:szCs w:val="21"/>
          <w:vertAlign w:val="subscript"/>
        </w:rPr>
        <w:t>ог</w:t>
      </w:r>
      <w:r w:rsidRPr="00CA7C54">
        <w:rPr>
          <w:color w:val="000000" w:themeColor="text1"/>
          <w:sz w:val="21"/>
          <w:szCs w:val="21"/>
        </w:rPr>
        <w:t xml:space="preserve"> = 0,15Н для багатоповерхових виробничих та складських будівель/споруд і </w:t>
      </w:r>
      <w:r w:rsidRPr="00CA7C54">
        <w:rPr>
          <w:i/>
          <w:color w:val="000000" w:themeColor="text1"/>
          <w:sz w:val="21"/>
          <w:szCs w:val="21"/>
        </w:rPr>
        <w:t>h</w:t>
      </w:r>
      <w:r w:rsidRPr="00CA7C54">
        <w:rPr>
          <w:i/>
          <w:color w:val="000000" w:themeColor="text1"/>
          <w:sz w:val="21"/>
          <w:szCs w:val="21"/>
          <w:vertAlign w:val="subscript"/>
        </w:rPr>
        <w:t>ог</w:t>
      </w:r>
      <w:r w:rsidRPr="00CA7C54">
        <w:rPr>
          <w:color w:val="000000" w:themeColor="text1"/>
          <w:sz w:val="21"/>
          <w:szCs w:val="21"/>
        </w:rPr>
        <w:t xml:space="preserve"> = 0,25Н для інших житлових, громадських та адміністративно-побутових будівель і споруд</w:t>
      </w:r>
      <w:r w:rsidR="00CB5F35">
        <w:rPr>
          <w:color w:val="000000" w:themeColor="text1"/>
          <w:sz w:val="21"/>
          <w:szCs w:val="21"/>
        </w:rPr>
        <w:t>.</w:t>
      </w:r>
    </w:p>
    <w:p w14:paraId="07415667"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Оголовки аварiйних виходiв, пiднесених над поверхнею землi, слiд розраховувати на горизонтальне квазістатичне навантаження від надмірного тиску у фронтi повітряної ударної хвилi з урахуванням вимог  14.1.3.6 цих </w:t>
      </w:r>
      <w:r w:rsidR="002E68BE" w:rsidRPr="00CA7C54">
        <w:rPr>
          <w:color w:val="000000" w:themeColor="text1"/>
          <w:sz w:val="21"/>
          <w:szCs w:val="21"/>
        </w:rPr>
        <w:t>н</w:t>
      </w:r>
      <w:r w:rsidRPr="00CA7C54">
        <w:rPr>
          <w:color w:val="000000" w:themeColor="text1"/>
          <w:sz w:val="21"/>
          <w:szCs w:val="21"/>
        </w:rPr>
        <w:t>орм.</w:t>
      </w:r>
    </w:p>
    <w:p w14:paraId="709C72CD"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розрахунку оголовків аварійних виходів, що потрапляють в зону можливих завалів та піднесених над поверхнею землі, слід враховувати навантаження від завалів конструкцій зруйнованої будівлі або споруди.</w:t>
      </w:r>
    </w:p>
    <w:p w14:paraId="3CED0F75"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pacing w:val="-6"/>
          <w:sz w:val="21"/>
          <w:szCs w:val="21"/>
        </w:rPr>
        <w:t>У стінах оголовка заввишки 1,2 м слід передбачати прорізи розміром не менше</w:t>
      </w:r>
      <w:r w:rsidR="005353FC" w:rsidRPr="00CA7C54">
        <w:rPr>
          <w:color w:val="000000" w:themeColor="text1"/>
          <w:spacing w:val="-6"/>
          <w:sz w:val="21"/>
          <w:szCs w:val="21"/>
        </w:rPr>
        <w:t xml:space="preserve"> ніж </w:t>
      </w:r>
      <w:r w:rsidRPr="00CA7C54">
        <w:rPr>
          <w:color w:val="000000" w:themeColor="text1"/>
          <w:spacing w:val="-6"/>
          <w:sz w:val="21"/>
          <w:szCs w:val="21"/>
        </w:rPr>
        <w:t xml:space="preserve"> 0,9</w:t>
      </w:r>
      <w:r w:rsidR="005353FC" w:rsidRPr="00CA7C54">
        <w:rPr>
          <w:color w:val="000000" w:themeColor="text1"/>
          <w:spacing w:val="-6"/>
          <w:sz w:val="21"/>
          <w:szCs w:val="21"/>
        </w:rPr>
        <w:t xml:space="preserve"> м</w:t>
      </w:r>
      <w:r w:rsidRPr="00CA7C54">
        <w:rPr>
          <w:color w:val="000000" w:themeColor="text1"/>
          <w:spacing w:val="-6"/>
          <w:sz w:val="21"/>
          <w:szCs w:val="21"/>
        </w:rPr>
        <w:t xml:space="preserve"> х 0,9 м,</w:t>
      </w:r>
      <w:r w:rsidRPr="00CA7C54">
        <w:rPr>
          <w:color w:val="000000" w:themeColor="text1"/>
          <w:spacing w:val="-4"/>
          <w:sz w:val="21"/>
          <w:szCs w:val="21"/>
        </w:rPr>
        <w:t>які обладнані жалюзійними</w:t>
      </w:r>
      <w:r w:rsidRPr="00CA7C54">
        <w:rPr>
          <w:color w:val="000000" w:themeColor="text1"/>
          <w:spacing w:val="-4"/>
          <w:sz w:val="21"/>
          <w:szCs w:val="21"/>
          <w:highlight w:val="white"/>
        </w:rPr>
        <w:t xml:space="preserve"> гратами, що відчиняються всередину. При висоті оголовка менше 1,2</w:t>
      </w:r>
      <w:r w:rsidRPr="00CA7C54">
        <w:rPr>
          <w:color w:val="000000" w:themeColor="text1"/>
          <w:sz w:val="21"/>
          <w:szCs w:val="21"/>
          <w:highlight w:val="white"/>
        </w:rPr>
        <w:t xml:space="preserve"> м у покритті слід передбачати металеві грати, які відчиняються униз, розміром 0,9</w:t>
      </w:r>
      <w:r w:rsidR="005353FC" w:rsidRPr="00CA7C54">
        <w:rPr>
          <w:color w:val="000000" w:themeColor="text1"/>
          <w:sz w:val="21"/>
          <w:szCs w:val="21"/>
          <w:highlight w:val="white"/>
        </w:rPr>
        <w:t xml:space="preserve"> м</w:t>
      </w:r>
      <w:r w:rsidRPr="00CA7C54">
        <w:rPr>
          <w:color w:val="000000" w:themeColor="text1"/>
          <w:sz w:val="21"/>
          <w:szCs w:val="21"/>
          <w:highlight w:val="white"/>
        </w:rPr>
        <w:t xml:space="preserve"> х 0,9 м (в просвіті).</w:t>
      </w:r>
    </w:p>
    <w:p w14:paraId="6D76C9CD"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За умов ущільненої міської забу</w:t>
      </w:r>
      <w:r w:rsidRPr="00CA7C54">
        <w:rPr>
          <w:color w:val="000000" w:themeColor="text1"/>
          <w:sz w:val="21"/>
          <w:szCs w:val="21"/>
        </w:rPr>
        <w:t>дови при відповідному техніко-економічному обґрунтуванні допускається у входах, сумісних з аварійними виходами, передбачати оголовки з влаштуванням в них сходових маршів (спусків) та захисно-герметичних і герметичних дверей р</w:t>
      </w:r>
      <w:r w:rsidRPr="00CA7C54">
        <w:rPr>
          <w:color w:val="000000" w:themeColor="text1"/>
          <w:sz w:val="21"/>
          <w:szCs w:val="21"/>
          <w:highlight w:val="white"/>
        </w:rPr>
        <w:t xml:space="preserve">озміром не менше </w:t>
      </w:r>
      <w:r w:rsidR="002E68BE" w:rsidRPr="00CA7C54">
        <w:rPr>
          <w:color w:val="000000" w:themeColor="text1"/>
          <w:sz w:val="21"/>
          <w:szCs w:val="21"/>
          <w:highlight w:val="white"/>
        </w:rPr>
        <w:t xml:space="preserve">ніж </w:t>
      </w:r>
      <w:r w:rsidRPr="00CA7C54">
        <w:rPr>
          <w:color w:val="000000" w:themeColor="text1"/>
          <w:sz w:val="21"/>
          <w:szCs w:val="21"/>
          <w:highlight w:val="white"/>
        </w:rPr>
        <w:t>0,9</w:t>
      </w:r>
      <w:r w:rsidR="005353FC" w:rsidRPr="00CA7C54">
        <w:rPr>
          <w:color w:val="000000" w:themeColor="text1"/>
          <w:sz w:val="21"/>
          <w:szCs w:val="21"/>
          <w:highlight w:val="white"/>
        </w:rPr>
        <w:t xml:space="preserve"> м</w:t>
      </w:r>
      <w:r w:rsidRPr="00CA7C54">
        <w:rPr>
          <w:color w:val="000000" w:themeColor="text1"/>
          <w:sz w:val="21"/>
          <w:szCs w:val="21"/>
          <w:highlight w:val="white"/>
        </w:rPr>
        <w:t xml:space="preserve"> х 1,8 м. У цьому випадку влаштування тамбура при виході із сховища у тунель не передбачається.</w:t>
      </w:r>
    </w:p>
    <w:p w14:paraId="0128B690"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highlight w:val="white"/>
        </w:rPr>
        <w:t>При відстані від будівлі до відкритої частини аварійного виходу більше висоти будівлі допускається замість захищеного оголовка влаштовувати спуск з поверхні землі.</w:t>
      </w:r>
    </w:p>
    <w:p w14:paraId="11F053CF"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highlight w:val="white"/>
        </w:rPr>
        <w:t>7.5.1.20</w:t>
      </w:r>
      <w:r w:rsidRPr="00CA7C54">
        <w:rPr>
          <w:color w:val="000000" w:themeColor="text1"/>
          <w:sz w:val="21"/>
          <w:szCs w:val="21"/>
          <w:highlight w:val="white"/>
        </w:rPr>
        <w:t xml:space="preserve"> Аварійні виходи повинні бути захищені від атмосферних опадів та пове</w:t>
      </w:r>
      <w:r w:rsidRPr="00CA7C54">
        <w:rPr>
          <w:color w:val="000000" w:themeColor="text1"/>
          <w:sz w:val="21"/>
          <w:szCs w:val="21"/>
        </w:rPr>
        <w:t>рхневих вод. Павільйони, які захищають входи від атмосферних опадів, повинні виконуватись з легких негорючих матеріалів. </w:t>
      </w:r>
    </w:p>
    <w:p w14:paraId="4BCBE718" w14:textId="77777777" w:rsidR="003C4E04" w:rsidRPr="00CA7C54" w:rsidRDefault="001E748C" w:rsidP="00E35BD6">
      <w:pPr>
        <w:pBdr>
          <w:top w:val="nil"/>
          <w:left w:val="nil"/>
          <w:bottom w:val="nil"/>
          <w:right w:val="nil"/>
          <w:between w:val="nil"/>
        </w:pBdr>
        <w:spacing w:before="0" w:after="60" w:line="288" w:lineRule="auto"/>
        <w:contextualSpacing/>
        <w:rPr>
          <w:rFonts w:eastAsia="Times New Roman"/>
          <w:color w:val="000000" w:themeColor="text1"/>
          <w:sz w:val="21"/>
          <w:szCs w:val="21"/>
        </w:rPr>
      </w:pPr>
      <w:r w:rsidRPr="00CA7C54">
        <w:rPr>
          <w:color w:val="000000" w:themeColor="text1"/>
          <w:sz w:val="21"/>
          <w:szCs w:val="21"/>
        </w:rPr>
        <w:t>В разі влаштуванн</w:t>
      </w:r>
      <w:r w:rsidR="002D7461" w:rsidRPr="00CA7C54">
        <w:rPr>
          <w:color w:val="000000" w:themeColor="text1"/>
          <w:sz w:val="21"/>
          <w:szCs w:val="21"/>
        </w:rPr>
        <w:t>я</w:t>
      </w:r>
      <w:r w:rsidRPr="00CA7C54">
        <w:rPr>
          <w:color w:val="000000" w:themeColor="text1"/>
          <w:sz w:val="21"/>
          <w:szCs w:val="21"/>
        </w:rPr>
        <w:t xml:space="preserve"> аварійн</w:t>
      </w:r>
      <w:r w:rsidR="002D7461" w:rsidRPr="00CA7C54">
        <w:rPr>
          <w:color w:val="000000" w:themeColor="text1"/>
          <w:sz w:val="21"/>
          <w:szCs w:val="21"/>
        </w:rPr>
        <w:t>их</w:t>
      </w:r>
      <w:r w:rsidRPr="00CA7C54">
        <w:rPr>
          <w:color w:val="000000" w:themeColor="text1"/>
          <w:sz w:val="21"/>
          <w:szCs w:val="21"/>
        </w:rPr>
        <w:t xml:space="preserve"> виходів (двох і більше) їх слід проєктувати розосередженими. Рекомендується мінімальну відстань </w:t>
      </w:r>
      <w:r w:rsidRPr="00CA7C54">
        <w:rPr>
          <w:i/>
          <w:color w:val="000000" w:themeColor="text1"/>
          <w:sz w:val="21"/>
          <w:szCs w:val="21"/>
        </w:rPr>
        <w:t>L</w:t>
      </w:r>
      <w:r w:rsidRPr="00CA7C54">
        <w:rPr>
          <w:color w:val="000000" w:themeColor="text1"/>
          <w:sz w:val="21"/>
          <w:szCs w:val="21"/>
        </w:rPr>
        <w:t xml:space="preserve">, м, між аварійними виходами визначати за емпіричною формулою: </w:t>
      </w:r>
      <w:r w:rsidRPr="00CA7C54">
        <w:rPr>
          <w:i/>
          <w:color w:val="000000" w:themeColor="text1"/>
          <w:sz w:val="21"/>
          <w:szCs w:val="21"/>
        </w:rPr>
        <w:t>L=1</w:t>
      </w:r>
      <w:r w:rsidRPr="00CA7C54">
        <w:rPr>
          <w:rFonts w:eastAsia="Times New Roman"/>
          <w:i/>
          <w:color w:val="000000" w:themeColor="text1"/>
          <w:sz w:val="21"/>
          <w:szCs w:val="21"/>
        </w:rPr>
        <w:t>,</w:t>
      </w:r>
      <w:r w:rsidRPr="00CA7C54">
        <w:rPr>
          <w:i/>
          <w:color w:val="000000" w:themeColor="text1"/>
          <w:sz w:val="21"/>
          <w:szCs w:val="21"/>
        </w:rPr>
        <w:t xml:space="preserve">5 </w:t>
      </w:r>
      <w:r w:rsidRPr="00CA7C54">
        <w:rPr>
          <w:rFonts w:eastAsia="Times New Roman"/>
          <w:i/>
          <w:color w:val="000000" w:themeColor="text1"/>
          <w:sz w:val="21"/>
          <w:szCs w:val="21"/>
        </w:rPr>
        <w:t>(</w:t>
      </w:r>
      <w:r w:rsidRPr="00CA7C54">
        <w:rPr>
          <w:i/>
          <w:color w:val="000000" w:themeColor="text1"/>
          <w:sz w:val="21"/>
          <w:szCs w:val="21"/>
        </w:rPr>
        <w:t>П</w:t>
      </w:r>
      <w:r w:rsidRPr="00CA7C54">
        <w:rPr>
          <w:rFonts w:eastAsia="Times New Roman"/>
          <w:i/>
          <w:color w:val="000000" w:themeColor="text1"/>
          <w:sz w:val="21"/>
          <w:szCs w:val="21"/>
        </w:rPr>
        <w:t>)</w:t>
      </w:r>
      <w:r w:rsidRPr="00CA7C54">
        <w:rPr>
          <w:rFonts w:eastAsia="Times New Roman"/>
          <w:i/>
          <w:color w:val="000000" w:themeColor="text1"/>
          <w:sz w:val="21"/>
          <w:szCs w:val="21"/>
          <w:vertAlign w:val="superscript"/>
        </w:rPr>
        <w:t>1/2</w:t>
      </w:r>
      <w:r w:rsidRPr="00CA7C54">
        <w:rPr>
          <w:color w:val="000000" w:themeColor="text1"/>
          <w:sz w:val="21"/>
          <w:szCs w:val="21"/>
        </w:rPr>
        <w:t xml:space="preserve">, де </w:t>
      </w:r>
      <w:r w:rsidRPr="00CA7C54">
        <w:rPr>
          <w:i/>
          <w:iCs/>
          <w:color w:val="000000" w:themeColor="text1"/>
          <w:sz w:val="21"/>
          <w:szCs w:val="21"/>
        </w:rPr>
        <w:t>П</w:t>
      </w:r>
      <w:r w:rsidRPr="00CA7C54">
        <w:rPr>
          <w:color w:val="000000" w:themeColor="text1"/>
          <w:sz w:val="21"/>
          <w:szCs w:val="21"/>
        </w:rPr>
        <w:t xml:space="preserve"> – периметр, який вимірюється по контуру сховища або СПП із захисними властивостями сховища.</w:t>
      </w:r>
    </w:p>
    <w:p w14:paraId="686D6037" w14:textId="77777777" w:rsidR="003C4E04" w:rsidRPr="00CA7C54" w:rsidRDefault="001E748C" w:rsidP="00EB2FB3">
      <w:pPr>
        <w:pStyle w:val="4"/>
        <w:pBdr>
          <w:top w:val="nil"/>
          <w:left w:val="nil"/>
          <w:bottom w:val="nil"/>
          <w:right w:val="nil"/>
          <w:between w:val="nil"/>
        </w:pBdr>
        <w:spacing w:before="0" w:after="0" w:line="288" w:lineRule="auto"/>
        <w:contextualSpacing/>
        <w:rPr>
          <w:rFonts w:cs="Arial"/>
          <w:color w:val="000000" w:themeColor="text1"/>
          <w:sz w:val="21"/>
          <w:szCs w:val="21"/>
        </w:rPr>
      </w:pPr>
      <w:bookmarkStart w:id="15" w:name="_heading=h.64qdvxrfpmnm" w:colFirst="0" w:colLast="0"/>
      <w:bookmarkEnd w:id="15"/>
      <w:r w:rsidRPr="00CA7C54">
        <w:rPr>
          <w:rFonts w:cs="Arial"/>
          <w:color w:val="000000" w:themeColor="text1"/>
          <w:sz w:val="21"/>
          <w:szCs w:val="21"/>
        </w:rPr>
        <w:t xml:space="preserve">7.5.2 СПП із захисними властивостями сховищ </w:t>
      </w:r>
    </w:p>
    <w:p w14:paraId="47111411"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bookmarkStart w:id="16" w:name="_heading=h.3d0j961terdh" w:colFirst="0" w:colLast="0"/>
      <w:bookmarkEnd w:id="16"/>
      <w:r w:rsidRPr="00CA7C54">
        <w:rPr>
          <w:b/>
          <w:color w:val="000000" w:themeColor="text1"/>
          <w:sz w:val="21"/>
          <w:szCs w:val="21"/>
        </w:rPr>
        <w:t>7.5.2.1</w:t>
      </w:r>
      <w:r w:rsidRPr="00CA7C54">
        <w:rPr>
          <w:color w:val="000000" w:themeColor="text1"/>
          <w:sz w:val="21"/>
          <w:szCs w:val="21"/>
        </w:rPr>
        <w:t xml:space="preserve"> Вимоги до входів, виходів, аварійних виходів для СПП із захисними властивостями сховищ приймаються згідно</w:t>
      </w:r>
      <w:r w:rsidRPr="00CA7C54">
        <w:rPr>
          <w:color w:val="000000" w:themeColor="text1"/>
          <w:sz w:val="21"/>
          <w:szCs w:val="21"/>
          <w:highlight w:val="white"/>
        </w:rPr>
        <w:t xml:space="preserve"> з 7.5.1.1 – 7.5.1.20 цих </w:t>
      </w:r>
      <w:r w:rsidR="002E68BE" w:rsidRPr="00CA7C54">
        <w:rPr>
          <w:color w:val="000000" w:themeColor="text1"/>
          <w:sz w:val="21"/>
          <w:szCs w:val="21"/>
          <w:highlight w:val="white"/>
        </w:rPr>
        <w:t>н</w:t>
      </w:r>
      <w:r w:rsidRPr="00CA7C54">
        <w:rPr>
          <w:color w:val="000000" w:themeColor="text1"/>
          <w:sz w:val="21"/>
          <w:szCs w:val="21"/>
          <w:highlight w:val="white"/>
        </w:rPr>
        <w:t>орм.</w:t>
      </w:r>
    </w:p>
    <w:p w14:paraId="753BB434" w14:textId="25DE3CC4"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7.5.2.2</w:t>
      </w:r>
      <w:r w:rsidRPr="00CA7C54">
        <w:rPr>
          <w:color w:val="000000" w:themeColor="text1"/>
          <w:sz w:val="21"/>
          <w:szCs w:val="21"/>
        </w:rPr>
        <w:t xml:space="preserve"> Кількість евакуаційних виходів СПП із захисними властивостями сховищ встановлюються відповідно до вимог </w:t>
      </w:r>
      <w:hyperlink r:id="rId142" w:history="1">
        <w:r w:rsidRPr="00134039">
          <w:rPr>
            <w:rStyle w:val="ac"/>
            <w:rFonts w:cs="Arial"/>
            <w:sz w:val="21"/>
            <w:szCs w:val="21"/>
          </w:rPr>
          <w:t>ДБН В.1.1-7</w:t>
        </w:r>
      </w:hyperlink>
      <w:r w:rsidRPr="00CA7C54">
        <w:rPr>
          <w:color w:val="000000" w:themeColor="text1"/>
          <w:sz w:val="21"/>
          <w:szCs w:val="21"/>
        </w:rPr>
        <w:t xml:space="preserve">, </w:t>
      </w:r>
      <w:hyperlink r:id="rId143" w:history="1">
        <w:r w:rsidRPr="00722483">
          <w:rPr>
            <w:rStyle w:val="ac"/>
            <w:rFonts w:cs="Arial"/>
            <w:sz w:val="21"/>
            <w:szCs w:val="21"/>
          </w:rPr>
          <w:t>ДБН В.2.2-40</w:t>
        </w:r>
      </w:hyperlink>
      <w:r w:rsidRPr="00CA7C54">
        <w:rPr>
          <w:color w:val="000000" w:themeColor="text1"/>
          <w:sz w:val="21"/>
          <w:szCs w:val="21"/>
        </w:rPr>
        <w:t xml:space="preserve">, цих </w:t>
      </w:r>
      <w:r w:rsidR="00172E91" w:rsidRPr="00CA7C54">
        <w:rPr>
          <w:color w:val="000000" w:themeColor="text1"/>
          <w:sz w:val="21"/>
          <w:szCs w:val="21"/>
        </w:rPr>
        <w:t>н</w:t>
      </w:r>
      <w:r w:rsidRPr="00CA7C54">
        <w:rPr>
          <w:color w:val="000000" w:themeColor="text1"/>
          <w:sz w:val="21"/>
          <w:szCs w:val="21"/>
        </w:rPr>
        <w:t>орм та вимог, що встановлені будівельними нормами за видами будівель або споруд, в залежності від основного призначення приміщень у мирний час.</w:t>
      </w:r>
    </w:p>
    <w:p w14:paraId="0E7D1B8A"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lastRenderedPageBreak/>
        <w:t>7.5.2.3</w:t>
      </w:r>
      <w:r w:rsidRPr="00CA7C54">
        <w:rPr>
          <w:color w:val="000000" w:themeColor="text1"/>
          <w:sz w:val="21"/>
          <w:szCs w:val="21"/>
        </w:rPr>
        <w:t xml:space="preserve"> Для забезпечення герметичності СПП із захисними властивостями сховищ евакуаційні виходи повинні бути облаштовані тамбурами, тамбур-шлюзами, герметично-зах</w:t>
      </w:r>
      <w:r w:rsidRPr="00CA7C54">
        <w:rPr>
          <w:color w:val="000000" w:themeColor="text1"/>
          <w:sz w:val="21"/>
          <w:szCs w:val="21"/>
          <w:highlight w:val="white"/>
        </w:rPr>
        <w:t>исними та герметичними двер</w:t>
      </w:r>
      <w:r w:rsidR="005353FC" w:rsidRPr="00CA7C54">
        <w:rPr>
          <w:color w:val="000000" w:themeColor="text1"/>
          <w:sz w:val="21"/>
          <w:szCs w:val="21"/>
          <w:highlight w:val="white"/>
        </w:rPr>
        <w:t>и</w:t>
      </w:r>
      <w:r w:rsidRPr="00CA7C54">
        <w:rPr>
          <w:color w:val="000000" w:themeColor="text1"/>
          <w:sz w:val="21"/>
          <w:szCs w:val="21"/>
          <w:highlight w:val="white"/>
        </w:rPr>
        <w:t>м</w:t>
      </w:r>
      <w:r w:rsidR="005353FC" w:rsidRPr="00CA7C54">
        <w:rPr>
          <w:color w:val="000000" w:themeColor="text1"/>
          <w:sz w:val="21"/>
          <w:szCs w:val="21"/>
          <w:highlight w:val="white"/>
        </w:rPr>
        <w:t>а</w:t>
      </w:r>
      <w:r w:rsidRPr="00CA7C54">
        <w:rPr>
          <w:color w:val="000000" w:themeColor="text1"/>
          <w:sz w:val="21"/>
          <w:szCs w:val="21"/>
          <w:highlight w:val="white"/>
        </w:rPr>
        <w:t xml:space="preserve"> відповідно до 7.5.1.5 – 7.5.1.10, 7.5.1.12– 7.5.1.14 цих </w:t>
      </w:r>
      <w:r w:rsidR="00172E91" w:rsidRPr="00CA7C54">
        <w:rPr>
          <w:color w:val="000000" w:themeColor="text1"/>
          <w:sz w:val="21"/>
          <w:szCs w:val="21"/>
          <w:highlight w:val="white"/>
        </w:rPr>
        <w:t>н</w:t>
      </w:r>
      <w:r w:rsidRPr="00CA7C54">
        <w:rPr>
          <w:color w:val="000000" w:themeColor="text1"/>
          <w:sz w:val="21"/>
          <w:szCs w:val="21"/>
          <w:highlight w:val="white"/>
        </w:rPr>
        <w:t>орм.</w:t>
      </w:r>
    </w:p>
    <w:p w14:paraId="70963F4B"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7.5.2.4</w:t>
      </w:r>
      <w:r w:rsidRPr="00CA7C54">
        <w:rPr>
          <w:color w:val="000000" w:themeColor="text1"/>
          <w:sz w:val="21"/>
          <w:szCs w:val="21"/>
        </w:rPr>
        <w:t xml:space="preserve"> Для СПП із захисними властивостями сховищ ширина у просвіті елементів входів приймається не менше </w:t>
      </w:r>
      <w:r w:rsidR="00073014" w:rsidRPr="00CA7C54">
        <w:rPr>
          <w:color w:val="000000" w:themeColor="text1"/>
          <w:sz w:val="21"/>
          <w:szCs w:val="21"/>
        </w:rPr>
        <w:t xml:space="preserve">ніж </w:t>
      </w:r>
      <w:r w:rsidRPr="00CA7C54">
        <w:rPr>
          <w:color w:val="000000" w:themeColor="text1"/>
          <w:sz w:val="21"/>
          <w:szCs w:val="21"/>
        </w:rPr>
        <w:t>(м):</w:t>
      </w:r>
    </w:p>
    <w:p w14:paraId="4F0708FF" w14:textId="77777777" w:rsidR="003C4E04" w:rsidRPr="00CA7C54" w:rsidRDefault="00CB5F35" w:rsidP="0084511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Pr>
          <w:color w:val="000000" w:themeColor="text1"/>
          <w:sz w:val="21"/>
          <w:szCs w:val="21"/>
        </w:rPr>
        <w:t xml:space="preserve">- </w:t>
      </w:r>
      <w:r w:rsidR="001E748C" w:rsidRPr="00CA7C54">
        <w:rPr>
          <w:color w:val="000000" w:themeColor="text1"/>
          <w:sz w:val="21"/>
          <w:szCs w:val="21"/>
        </w:rPr>
        <w:t>дверей –0,9 м</w:t>
      </w:r>
      <w:r w:rsidR="001E748C" w:rsidRPr="00CA7C54">
        <w:rPr>
          <w:color w:val="000000" w:themeColor="text1"/>
          <w:sz w:val="21"/>
          <w:szCs w:val="21"/>
          <w:highlight w:val="white"/>
        </w:rPr>
        <w:t xml:space="preserve"> (при капітальному ремонті у разі відсутності технічної можливості, допускається влаштовувати не менше</w:t>
      </w:r>
      <w:r w:rsidR="00073014" w:rsidRPr="00CA7C54">
        <w:rPr>
          <w:color w:val="000000" w:themeColor="text1"/>
          <w:sz w:val="21"/>
          <w:szCs w:val="21"/>
          <w:highlight w:val="white"/>
        </w:rPr>
        <w:t xml:space="preserve"> ніж</w:t>
      </w:r>
      <w:r w:rsidR="001E748C" w:rsidRPr="00CA7C54">
        <w:rPr>
          <w:color w:val="000000" w:themeColor="text1"/>
          <w:sz w:val="21"/>
          <w:szCs w:val="21"/>
          <w:highlight w:val="white"/>
        </w:rPr>
        <w:t xml:space="preserve"> 0,8 м в просвіті)</w:t>
      </w:r>
      <w:r w:rsidR="007D2916">
        <w:rPr>
          <w:color w:val="000000" w:themeColor="text1"/>
          <w:sz w:val="21"/>
          <w:szCs w:val="21"/>
          <w:highlight w:val="white"/>
        </w:rPr>
        <w:t>;</w:t>
      </w:r>
    </w:p>
    <w:p w14:paraId="5BF0F614" w14:textId="77777777" w:rsidR="003C4E04" w:rsidRPr="00CA7C54" w:rsidRDefault="00CB5F35"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сходів – 1,35 м з ухилом 1:2 (при реконструкції допускається 1:1,5)</w:t>
      </w:r>
      <w:r w:rsidR="007D2916">
        <w:rPr>
          <w:color w:val="000000" w:themeColor="text1"/>
          <w:sz w:val="21"/>
          <w:szCs w:val="21"/>
        </w:rPr>
        <w:t>;</w:t>
      </w:r>
    </w:p>
    <w:p w14:paraId="461D3621" w14:textId="0BA825D1" w:rsidR="003C4E04" w:rsidRPr="00CA7C54" w:rsidRDefault="00CB5F35"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пандусів – згідно з вимогами </w:t>
      </w:r>
      <w:hyperlink r:id="rId144" w:history="1">
        <w:r w:rsidR="001E748C" w:rsidRPr="000D61F6">
          <w:rPr>
            <w:rStyle w:val="ac"/>
            <w:rFonts w:cs="Arial"/>
            <w:sz w:val="21"/>
            <w:szCs w:val="21"/>
          </w:rPr>
          <w:t>ДБН В.2.2-40</w:t>
        </w:r>
        <w:r w:rsidR="007D2916" w:rsidRPr="000D61F6">
          <w:rPr>
            <w:rStyle w:val="ac"/>
            <w:rFonts w:cs="Arial"/>
            <w:sz w:val="21"/>
            <w:szCs w:val="21"/>
          </w:rPr>
          <w:t>;</w:t>
        </w:r>
      </w:hyperlink>
    </w:p>
    <w:p w14:paraId="69B27A29" w14:textId="77777777" w:rsidR="003C4E04" w:rsidRPr="00CA7C54" w:rsidRDefault="00CB5F35"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підземних переходів (тунелів) – 1,5 м</w:t>
      </w:r>
      <w:r w:rsidR="007D2916">
        <w:rPr>
          <w:color w:val="000000" w:themeColor="text1"/>
          <w:sz w:val="21"/>
          <w:szCs w:val="21"/>
        </w:rPr>
        <w:t>;</w:t>
      </w:r>
    </w:p>
    <w:p w14:paraId="7F055F7E" w14:textId="77777777" w:rsidR="003C4E04" w:rsidRPr="00CA7C54" w:rsidRDefault="00CB5F35"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підземних переходів (для закладів охорони здоров’я) – 2,0 м.</w:t>
      </w:r>
    </w:p>
    <w:p w14:paraId="0C2D547F" w14:textId="6A862894" w:rsidR="003C4E04" w:rsidRPr="00CA7C54" w:rsidRDefault="001E748C" w:rsidP="00172E91">
      <w:pPr>
        <w:pBdr>
          <w:top w:val="nil"/>
          <w:left w:val="nil"/>
          <w:bottom w:val="nil"/>
          <w:right w:val="nil"/>
          <w:between w:val="nil"/>
        </w:pBdr>
        <w:spacing w:before="0" w:after="80" w:line="288" w:lineRule="auto"/>
        <w:contextualSpacing/>
        <w:rPr>
          <w:rFonts w:eastAsia="Times New Roman"/>
          <w:color w:val="000000" w:themeColor="text1"/>
          <w:sz w:val="21"/>
          <w:szCs w:val="21"/>
        </w:rPr>
      </w:pPr>
      <w:r w:rsidRPr="00CA7C54">
        <w:rPr>
          <w:b/>
          <w:color w:val="000000" w:themeColor="text1"/>
          <w:sz w:val="21"/>
          <w:szCs w:val="21"/>
        </w:rPr>
        <w:t>7.5.2.5</w:t>
      </w:r>
      <w:r w:rsidRPr="00CA7C54">
        <w:rPr>
          <w:color w:val="000000" w:themeColor="text1"/>
          <w:sz w:val="21"/>
          <w:szCs w:val="21"/>
        </w:rPr>
        <w:t xml:space="preserve"> Вхідні отвори, що використовуються у мирний час та обладнані захисно-герметичними та герметичними дверима, можуть заповнюватись дверима з урахуванням вимог </w:t>
      </w:r>
      <w:hyperlink r:id="rId145" w:history="1">
        <w:r w:rsidRPr="000D61F6">
          <w:rPr>
            <w:rStyle w:val="ac"/>
            <w:rFonts w:cs="Arial"/>
            <w:sz w:val="21"/>
            <w:szCs w:val="21"/>
          </w:rPr>
          <w:t>ДБН В.1.1-7</w:t>
        </w:r>
      </w:hyperlink>
      <w:r w:rsidRPr="00CA7C54">
        <w:rPr>
          <w:color w:val="000000" w:themeColor="text1"/>
          <w:sz w:val="21"/>
          <w:szCs w:val="21"/>
        </w:rPr>
        <w:t xml:space="preserve">,  </w:t>
      </w:r>
      <w:hyperlink r:id="rId146" w:history="1">
        <w:r w:rsidRPr="000D61F6">
          <w:rPr>
            <w:rStyle w:val="ac"/>
            <w:rFonts w:cs="Arial"/>
            <w:sz w:val="21"/>
            <w:szCs w:val="21"/>
          </w:rPr>
          <w:t>ДБН В.2.2-40</w:t>
        </w:r>
      </w:hyperlink>
      <w:r w:rsidRPr="00CA7C54">
        <w:rPr>
          <w:color w:val="000000" w:themeColor="text1"/>
          <w:sz w:val="21"/>
          <w:szCs w:val="21"/>
        </w:rPr>
        <w:t>, а також будівельних норм за видами будівель або споруд, в залежності від призначення приміщень у мирний час.</w:t>
      </w:r>
    </w:p>
    <w:p w14:paraId="420F3905" w14:textId="77777777" w:rsidR="003C4E04" w:rsidRPr="00CA7C54" w:rsidRDefault="001E748C" w:rsidP="0042528B">
      <w:pPr>
        <w:pStyle w:val="4"/>
        <w:spacing w:before="0" w:after="60" w:line="288" w:lineRule="auto"/>
        <w:contextualSpacing/>
        <w:rPr>
          <w:rFonts w:cs="Arial"/>
          <w:color w:val="000000" w:themeColor="text1"/>
          <w:sz w:val="21"/>
          <w:szCs w:val="21"/>
        </w:rPr>
      </w:pPr>
      <w:r w:rsidRPr="00CA7C54">
        <w:rPr>
          <w:rFonts w:cs="Arial"/>
          <w:color w:val="000000" w:themeColor="text1"/>
          <w:sz w:val="21"/>
          <w:szCs w:val="21"/>
        </w:rPr>
        <w:t>7.5.3 ПРУ та СПП із захисними властивостями ПРУ</w:t>
      </w:r>
    </w:p>
    <w:p w14:paraId="484F885F" w14:textId="229130A1" w:rsidR="009B1EAB" w:rsidRPr="00B173EB" w:rsidRDefault="001E748C" w:rsidP="009B1EAB">
      <w:pPr>
        <w:spacing w:before="0" w:line="288" w:lineRule="auto"/>
        <w:rPr>
          <w:rFonts w:eastAsia="Calibri"/>
          <w:sz w:val="21"/>
          <w:szCs w:val="21"/>
        </w:rPr>
      </w:pPr>
      <w:r w:rsidRPr="00CA7C54">
        <w:rPr>
          <w:b/>
          <w:color w:val="000000" w:themeColor="text1"/>
          <w:sz w:val="21"/>
          <w:szCs w:val="21"/>
        </w:rPr>
        <w:t>7.5.3.</w:t>
      </w:r>
      <w:r w:rsidR="00F70691" w:rsidRPr="00F70691">
        <w:rPr>
          <w:b/>
          <w:color w:val="000000" w:themeColor="text1"/>
          <w:sz w:val="21"/>
          <w:szCs w:val="21"/>
          <w:lang w:val="ru-RU"/>
        </w:rPr>
        <w:t>1</w:t>
      </w:r>
      <w:r w:rsidR="009B1EAB" w:rsidRPr="009B1EAB">
        <w:rPr>
          <w:rFonts w:eastAsia="Calibri"/>
          <w:sz w:val="21"/>
          <w:szCs w:val="21"/>
        </w:rPr>
        <w:t xml:space="preserve"> </w:t>
      </w:r>
      <w:r w:rsidR="009B1EAB" w:rsidRPr="00B173EB">
        <w:rPr>
          <w:rFonts w:eastAsia="Calibri"/>
          <w:sz w:val="21"/>
          <w:szCs w:val="21"/>
        </w:rPr>
        <w:t>Вимоги до входів у ПРУ та СПП із захисними властивостями ПРУ слід передбачати  залежно від місткості ПРУ згідно з таблицею 7.3</w:t>
      </w:r>
      <w:r w:rsidR="009B1EAB">
        <w:rPr>
          <w:rFonts w:eastAsia="Calibri"/>
          <w:sz w:val="21"/>
          <w:szCs w:val="21"/>
        </w:rPr>
        <w:t>,</w:t>
      </w:r>
      <w:r w:rsidR="009B1EAB" w:rsidRPr="00B173EB">
        <w:rPr>
          <w:rFonts w:eastAsia="Calibri"/>
          <w:sz w:val="21"/>
          <w:szCs w:val="21"/>
        </w:rPr>
        <w:t xml:space="preserve"> але не менше двох входів із шириною дверних прорізів у просвіті не менше ніж 0,9 м. </w:t>
      </w:r>
    </w:p>
    <w:p w14:paraId="2E2F8E76" w14:textId="77777777" w:rsidR="009B1EAB" w:rsidRPr="00B173EB" w:rsidRDefault="009B1EAB" w:rsidP="009B1EAB">
      <w:pPr>
        <w:spacing w:before="0" w:line="288" w:lineRule="auto"/>
        <w:ind w:firstLine="709"/>
        <w:rPr>
          <w:rFonts w:eastAsia="Calibri"/>
          <w:sz w:val="21"/>
          <w:szCs w:val="21"/>
        </w:rPr>
      </w:pPr>
      <w:r>
        <w:rPr>
          <w:rFonts w:eastAsia="Calibri"/>
          <w:sz w:val="21"/>
          <w:szCs w:val="21"/>
        </w:rPr>
        <w:t xml:space="preserve">Під час </w:t>
      </w:r>
      <w:r w:rsidRPr="00B173EB">
        <w:rPr>
          <w:rFonts w:eastAsia="Calibri"/>
          <w:sz w:val="21"/>
          <w:szCs w:val="21"/>
        </w:rPr>
        <w:t>капітально</w:t>
      </w:r>
      <w:r>
        <w:rPr>
          <w:rFonts w:eastAsia="Calibri"/>
          <w:sz w:val="21"/>
          <w:szCs w:val="21"/>
        </w:rPr>
        <w:t>го</w:t>
      </w:r>
      <w:r w:rsidRPr="00B173EB">
        <w:rPr>
          <w:rFonts w:eastAsia="Calibri"/>
          <w:sz w:val="21"/>
          <w:szCs w:val="21"/>
        </w:rPr>
        <w:t xml:space="preserve"> ремонт</w:t>
      </w:r>
      <w:r>
        <w:rPr>
          <w:rFonts w:eastAsia="Calibri"/>
          <w:sz w:val="21"/>
          <w:szCs w:val="21"/>
        </w:rPr>
        <w:t>у</w:t>
      </w:r>
      <w:r w:rsidRPr="00B173EB">
        <w:rPr>
          <w:rFonts w:eastAsia="Calibri"/>
          <w:sz w:val="21"/>
          <w:szCs w:val="21"/>
        </w:rPr>
        <w:t xml:space="preserve"> у разі відсутності технічної можливості допускається влаштовувати дверні прорізи вхідних дверей не менше ніж 0,8 м у просвіті.</w:t>
      </w:r>
    </w:p>
    <w:p w14:paraId="70C4EC7E" w14:textId="77777777" w:rsidR="009B1EAB" w:rsidRPr="00B173EB" w:rsidRDefault="009B1EAB" w:rsidP="009B1EAB">
      <w:pPr>
        <w:spacing w:before="0" w:line="288" w:lineRule="auto"/>
        <w:ind w:firstLine="709"/>
        <w:rPr>
          <w:rFonts w:eastAsia="Calibri"/>
          <w:sz w:val="21"/>
          <w:szCs w:val="21"/>
        </w:rPr>
      </w:pPr>
      <w:r w:rsidRPr="0087210A">
        <w:rPr>
          <w:rFonts w:eastAsia="Calibri"/>
          <w:b/>
          <w:sz w:val="21"/>
          <w:szCs w:val="21"/>
        </w:rPr>
        <w:t>7.5.3.1</w:t>
      </w:r>
      <w:r w:rsidRPr="0087210A">
        <w:rPr>
          <w:rFonts w:eastAsia="Calibri"/>
          <w:b/>
          <w:sz w:val="21"/>
          <w:szCs w:val="21"/>
          <w:vertAlign w:val="superscript"/>
        </w:rPr>
        <w:t>1</w:t>
      </w:r>
      <w:r w:rsidRPr="00B173EB">
        <w:rPr>
          <w:rFonts w:eastAsia="Calibri"/>
          <w:sz w:val="21"/>
          <w:szCs w:val="21"/>
        </w:rPr>
        <w:t xml:space="preserve"> Шляхи доступу до приміщень ПРУ та СПП із захисними властивостями ПРУ за функціональним призначенням поділяють на входи, евакуаційні виходи та аварійні виходи.</w:t>
      </w:r>
    </w:p>
    <w:p w14:paraId="4DB18134" w14:textId="77777777" w:rsidR="009B1EAB" w:rsidRPr="00B173EB" w:rsidRDefault="009B1EAB" w:rsidP="009B1EAB">
      <w:pPr>
        <w:spacing w:before="0" w:line="288" w:lineRule="auto"/>
        <w:ind w:firstLine="709"/>
        <w:rPr>
          <w:rFonts w:eastAsia="Calibri"/>
          <w:sz w:val="21"/>
          <w:szCs w:val="21"/>
        </w:rPr>
      </w:pPr>
      <w:r w:rsidRPr="00B173EB">
        <w:rPr>
          <w:rFonts w:eastAsia="Calibri"/>
          <w:sz w:val="21"/>
          <w:szCs w:val="21"/>
        </w:rPr>
        <w:t xml:space="preserve">До входів </w:t>
      </w:r>
      <w:r>
        <w:rPr>
          <w:rFonts w:eastAsia="Calibri"/>
          <w:sz w:val="21"/>
          <w:szCs w:val="21"/>
        </w:rPr>
        <w:t xml:space="preserve">належить </w:t>
      </w:r>
      <w:r w:rsidRPr="00B173EB">
        <w:rPr>
          <w:rFonts w:eastAsia="Calibri"/>
          <w:sz w:val="21"/>
          <w:szCs w:val="21"/>
        </w:rPr>
        <w:t xml:space="preserve">сукупність конструкцій, що забезпечують вхід та вихід до ПРУ та СПП із захисним властивостями ПРУ зовні або із суміжних приміщень від зовнішнього отвору (заповненого чи незаповненого) до захисних дверей захищеного простору, або захисні двері, які ведуть із суміжних незахищених приміщень безпосередньо до </w:t>
      </w:r>
      <w:r w:rsidRPr="00811993">
        <w:rPr>
          <w:rFonts w:eastAsia="Calibri"/>
          <w:sz w:val="21"/>
          <w:szCs w:val="21"/>
        </w:rPr>
        <w:t>внутрішнього захищеного об’єму</w:t>
      </w:r>
      <w:r>
        <w:rPr>
          <w:rFonts w:eastAsia="Calibri"/>
          <w:sz w:val="21"/>
          <w:szCs w:val="21"/>
        </w:rPr>
        <w:t>*</w:t>
      </w:r>
      <w:r w:rsidRPr="00B173EB">
        <w:rPr>
          <w:rFonts w:eastAsia="Calibri"/>
          <w:sz w:val="21"/>
          <w:szCs w:val="21"/>
        </w:rPr>
        <w:t xml:space="preserve"> ПРУ та СПП із захисним властивостями ПРУ.</w:t>
      </w:r>
    </w:p>
    <w:p w14:paraId="2DB6833B" w14:textId="09F7542B" w:rsidR="009B1EAB" w:rsidRPr="00B173EB" w:rsidRDefault="009B1EAB" w:rsidP="009B1EAB">
      <w:pPr>
        <w:spacing w:before="0" w:line="288" w:lineRule="auto"/>
        <w:ind w:firstLine="709"/>
        <w:rPr>
          <w:rFonts w:eastAsia="Calibri"/>
          <w:sz w:val="21"/>
          <w:szCs w:val="21"/>
        </w:rPr>
      </w:pPr>
      <w:r w:rsidRPr="00B173EB">
        <w:rPr>
          <w:rFonts w:eastAsia="Calibri"/>
          <w:sz w:val="21"/>
          <w:szCs w:val="21"/>
        </w:rPr>
        <w:t xml:space="preserve">До евакуаційних виходів </w:t>
      </w:r>
      <w:r>
        <w:rPr>
          <w:rFonts w:eastAsia="Calibri"/>
          <w:sz w:val="21"/>
          <w:szCs w:val="21"/>
        </w:rPr>
        <w:t xml:space="preserve">належать </w:t>
      </w:r>
      <w:r w:rsidRPr="00B173EB">
        <w:rPr>
          <w:rFonts w:eastAsia="Calibri"/>
          <w:sz w:val="21"/>
          <w:szCs w:val="21"/>
        </w:rPr>
        <w:t xml:space="preserve">виходи, що відповідають вимогам  </w:t>
      </w:r>
      <w:hyperlink r:id="rId147" w:history="1">
        <w:r w:rsidRPr="000D61F6">
          <w:rPr>
            <w:rStyle w:val="ac"/>
            <w:rFonts w:eastAsia="Calibri" w:cs="Arial"/>
            <w:sz w:val="21"/>
            <w:szCs w:val="21"/>
          </w:rPr>
          <w:t>ДБН В.1.1-7</w:t>
        </w:r>
      </w:hyperlink>
      <w:r w:rsidRPr="00B173EB">
        <w:rPr>
          <w:rFonts w:eastAsia="Calibri"/>
          <w:sz w:val="21"/>
          <w:szCs w:val="21"/>
        </w:rPr>
        <w:t xml:space="preserve"> та 10.4 </w:t>
      </w:r>
      <w:r>
        <w:rPr>
          <w:rFonts w:eastAsia="Calibri"/>
          <w:sz w:val="21"/>
          <w:szCs w:val="21"/>
        </w:rPr>
        <w:t>ц</w:t>
      </w:r>
      <w:r w:rsidRPr="00B173EB">
        <w:rPr>
          <w:rFonts w:eastAsia="Calibri"/>
          <w:sz w:val="21"/>
          <w:szCs w:val="21"/>
        </w:rPr>
        <w:t>их норм.</w:t>
      </w:r>
    </w:p>
    <w:p w14:paraId="4DD53205" w14:textId="77777777" w:rsidR="009B1EAB" w:rsidRPr="00B173EB" w:rsidRDefault="009B1EAB" w:rsidP="009B1EAB">
      <w:pPr>
        <w:spacing w:before="0" w:line="288" w:lineRule="auto"/>
        <w:ind w:firstLine="709"/>
        <w:rPr>
          <w:rFonts w:eastAsia="Calibri"/>
          <w:sz w:val="21"/>
          <w:szCs w:val="21"/>
        </w:rPr>
      </w:pPr>
      <w:r w:rsidRPr="00B173EB">
        <w:rPr>
          <w:rFonts w:eastAsia="Calibri"/>
          <w:sz w:val="21"/>
          <w:szCs w:val="21"/>
        </w:rPr>
        <w:t xml:space="preserve">До аварійних виходів </w:t>
      </w:r>
      <w:r>
        <w:rPr>
          <w:rFonts w:eastAsia="Calibri"/>
          <w:sz w:val="21"/>
          <w:szCs w:val="21"/>
        </w:rPr>
        <w:t xml:space="preserve">належать </w:t>
      </w:r>
      <w:r w:rsidRPr="00B173EB">
        <w:rPr>
          <w:rFonts w:eastAsia="Calibri"/>
          <w:sz w:val="21"/>
          <w:szCs w:val="21"/>
        </w:rPr>
        <w:t>спеціально облаштовані виходи, що забезпечують можливість виходу (самостійного або за допомогою аварійно-рятувальних служб) із приміщень ПРУ або СПП із захисними властивостями ПРУ безпосередньо назовні (на вулицю).</w:t>
      </w:r>
    </w:p>
    <w:p w14:paraId="06ECBD84" w14:textId="77777777" w:rsidR="009B1EAB" w:rsidRPr="00B173EB" w:rsidRDefault="009B1EAB" w:rsidP="009B1EAB">
      <w:pPr>
        <w:spacing w:before="0" w:line="288" w:lineRule="auto"/>
        <w:ind w:firstLine="709"/>
        <w:rPr>
          <w:rFonts w:eastAsia="Calibri"/>
          <w:sz w:val="21"/>
          <w:szCs w:val="21"/>
        </w:rPr>
      </w:pPr>
      <w:r w:rsidRPr="00B173EB">
        <w:rPr>
          <w:rFonts w:eastAsia="Calibri"/>
          <w:sz w:val="21"/>
          <w:szCs w:val="21"/>
        </w:rPr>
        <w:t>Допускається поєдн</w:t>
      </w:r>
      <w:r>
        <w:rPr>
          <w:rFonts w:eastAsia="Calibri"/>
          <w:sz w:val="21"/>
          <w:szCs w:val="21"/>
        </w:rPr>
        <w:t>увати в</w:t>
      </w:r>
      <w:r w:rsidRPr="00B173EB">
        <w:rPr>
          <w:rFonts w:eastAsia="Calibri"/>
          <w:sz w:val="21"/>
          <w:szCs w:val="21"/>
        </w:rPr>
        <w:t xml:space="preserve"> одному шляху доступу до ПРУ та СПП із захисними властивостями ПРУ кількох чи всіх функціональних призначень шляхів доступу:</w:t>
      </w:r>
    </w:p>
    <w:p w14:paraId="432F204F" w14:textId="77777777" w:rsidR="009B1EAB" w:rsidRPr="00B173EB" w:rsidRDefault="009B1EAB" w:rsidP="009B1EAB">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входу з евакуаційним виходом за умови виконання вимог 7.5.3.1</w:t>
      </w:r>
      <w:r w:rsidRPr="00B173EB">
        <w:rPr>
          <w:rFonts w:eastAsia="Calibri"/>
          <w:bCs/>
          <w:sz w:val="21"/>
          <w:szCs w:val="21"/>
          <w:vertAlign w:val="superscript"/>
        </w:rPr>
        <w:t>2</w:t>
      </w:r>
      <w:r w:rsidRPr="00B173EB">
        <w:rPr>
          <w:rFonts w:eastAsia="Calibri"/>
          <w:bCs/>
          <w:sz w:val="21"/>
          <w:szCs w:val="21"/>
        </w:rPr>
        <w:t xml:space="preserve">, 7.5.3.4, 7.5.3.6, </w:t>
      </w:r>
      <w:r>
        <w:rPr>
          <w:rFonts w:eastAsia="Calibri"/>
          <w:bCs/>
          <w:sz w:val="21"/>
          <w:szCs w:val="21"/>
        </w:rPr>
        <w:t xml:space="preserve">   та </w:t>
      </w:r>
      <w:r w:rsidRPr="00B173EB">
        <w:rPr>
          <w:rFonts w:eastAsia="Calibri"/>
          <w:bCs/>
          <w:sz w:val="21"/>
          <w:szCs w:val="21"/>
        </w:rPr>
        <w:t xml:space="preserve">10.4 цих </w:t>
      </w:r>
      <w:r>
        <w:rPr>
          <w:rFonts w:eastAsia="Calibri"/>
          <w:bCs/>
          <w:sz w:val="21"/>
          <w:szCs w:val="21"/>
        </w:rPr>
        <w:t>н</w:t>
      </w:r>
      <w:r w:rsidRPr="00B173EB">
        <w:rPr>
          <w:rFonts w:eastAsia="Calibri"/>
          <w:bCs/>
          <w:sz w:val="21"/>
          <w:szCs w:val="21"/>
        </w:rPr>
        <w:t>орм;</w:t>
      </w:r>
    </w:p>
    <w:p w14:paraId="01F748C0" w14:textId="77777777" w:rsidR="009B1EAB" w:rsidRPr="00B173EB" w:rsidRDefault="009B1EAB" w:rsidP="009B1EAB">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входу з аварійним виходом за умови виконання вимог 7.5.3.1</w:t>
      </w:r>
      <w:r w:rsidRPr="00B173EB">
        <w:rPr>
          <w:rFonts w:eastAsia="Calibri"/>
          <w:bCs/>
          <w:sz w:val="21"/>
          <w:szCs w:val="21"/>
          <w:vertAlign w:val="superscript"/>
        </w:rPr>
        <w:t>2</w:t>
      </w:r>
      <w:r w:rsidRPr="00B173EB">
        <w:rPr>
          <w:rFonts w:eastAsia="Calibri"/>
          <w:bCs/>
          <w:sz w:val="21"/>
          <w:szCs w:val="21"/>
        </w:rPr>
        <w:t>,  7.5.3.4, 7.5.3.6, 7.5.3.9, 7.5.3.9</w:t>
      </w:r>
      <w:r w:rsidRPr="00B173EB">
        <w:rPr>
          <w:rFonts w:eastAsia="Calibri"/>
          <w:bCs/>
          <w:sz w:val="21"/>
          <w:szCs w:val="21"/>
          <w:vertAlign w:val="superscript"/>
        </w:rPr>
        <w:t>1</w:t>
      </w:r>
      <w:r w:rsidRPr="00B173EB">
        <w:rPr>
          <w:rFonts w:eastAsia="Calibri"/>
          <w:bCs/>
          <w:sz w:val="21"/>
          <w:szCs w:val="21"/>
        </w:rPr>
        <w:t xml:space="preserve">  цих </w:t>
      </w:r>
      <w:r>
        <w:rPr>
          <w:rFonts w:eastAsia="Calibri"/>
          <w:bCs/>
          <w:sz w:val="21"/>
          <w:szCs w:val="21"/>
        </w:rPr>
        <w:t>н</w:t>
      </w:r>
      <w:r w:rsidRPr="00B173EB">
        <w:rPr>
          <w:rFonts w:eastAsia="Calibri"/>
          <w:bCs/>
          <w:sz w:val="21"/>
          <w:szCs w:val="21"/>
        </w:rPr>
        <w:t>орм;</w:t>
      </w:r>
    </w:p>
    <w:p w14:paraId="06AE9D42" w14:textId="77777777" w:rsidR="009B1EAB" w:rsidRPr="00B173EB" w:rsidRDefault="009B1EAB" w:rsidP="009B1EAB">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входу з евакуаційним виходом та аварійним виходом за умови виконання вимог 7.5.3.1</w:t>
      </w:r>
      <w:r w:rsidRPr="00B173EB">
        <w:rPr>
          <w:rFonts w:eastAsia="Calibri"/>
          <w:bCs/>
          <w:sz w:val="21"/>
          <w:szCs w:val="21"/>
          <w:vertAlign w:val="superscript"/>
        </w:rPr>
        <w:t>2</w:t>
      </w:r>
      <w:r w:rsidRPr="00B173EB">
        <w:rPr>
          <w:rFonts w:eastAsia="Calibri"/>
          <w:bCs/>
          <w:sz w:val="21"/>
          <w:szCs w:val="21"/>
        </w:rPr>
        <w:t>,  7.5.3.4, 7.5.3.6, 7.5.3.9,  7.5.3.9</w:t>
      </w:r>
      <w:r w:rsidRPr="00B173EB">
        <w:rPr>
          <w:rFonts w:eastAsia="Calibri"/>
          <w:bCs/>
          <w:sz w:val="21"/>
          <w:szCs w:val="21"/>
          <w:vertAlign w:val="superscript"/>
        </w:rPr>
        <w:t>1</w:t>
      </w:r>
      <w:r w:rsidRPr="00B173EB">
        <w:rPr>
          <w:rFonts w:eastAsia="Calibri"/>
          <w:bCs/>
          <w:sz w:val="21"/>
          <w:szCs w:val="21"/>
        </w:rPr>
        <w:t xml:space="preserve">, 10.3, 10.4, 10.11 цих </w:t>
      </w:r>
      <w:r>
        <w:rPr>
          <w:rFonts w:eastAsia="Calibri"/>
          <w:bCs/>
          <w:sz w:val="21"/>
          <w:szCs w:val="21"/>
        </w:rPr>
        <w:t>н</w:t>
      </w:r>
      <w:r w:rsidRPr="00B173EB">
        <w:rPr>
          <w:rFonts w:eastAsia="Calibri"/>
          <w:bCs/>
          <w:sz w:val="21"/>
          <w:szCs w:val="21"/>
        </w:rPr>
        <w:t>орм;</w:t>
      </w:r>
    </w:p>
    <w:p w14:paraId="73D3A699" w14:textId="77777777" w:rsidR="009B1EAB" w:rsidRDefault="009B1EAB" w:rsidP="009B1EAB">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евакуаційного виходу з аварійним виходом за умови виконання вимог 7.5.3.9,  7.5.3.9</w:t>
      </w:r>
      <w:r w:rsidRPr="00B173EB">
        <w:rPr>
          <w:rFonts w:eastAsia="Calibri"/>
          <w:bCs/>
          <w:sz w:val="21"/>
          <w:szCs w:val="21"/>
          <w:vertAlign w:val="superscript"/>
        </w:rPr>
        <w:t>1</w:t>
      </w:r>
      <w:r w:rsidRPr="00B173EB">
        <w:rPr>
          <w:rFonts w:eastAsia="Calibri"/>
          <w:bCs/>
          <w:sz w:val="21"/>
          <w:szCs w:val="21"/>
        </w:rPr>
        <w:t xml:space="preserve">, 10.3, 10.4, 10.11 цих </w:t>
      </w:r>
      <w:r>
        <w:rPr>
          <w:rFonts w:eastAsia="Calibri"/>
          <w:bCs/>
          <w:sz w:val="21"/>
          <w:szCs w:val="21"/>
        </w:rPr>
        <w:t>н</w:t>
      </w:r>
      <w:r w:rsidRPr="00B173EB">
        <w:rPr>
          <w:rFonts w:eastAsia="Calibri"/>
          <w:bCs/>
          <w:sz w:val="21"/>
          <w:szCs w:val="21"/>
        </w:rPr>
        <w:t>орм.</w:t>
      </w:r>
    </w:p>
    <w:p w14:paraId="14B301C5" w14:textId="7F1F590F" w:rsidR="003C4E04" w:rsidRDefault="009B1EAB" w:rsidP="007A4520">
      <w:pPr>
        <w:spacing w:before="0" w:line="288" w:lineRule="auto"/>
        <w:ind w:firstLine="566"/>
        <w:contextualSpacing/>
        <w:rPr>
          <w:rFonts w:eastAsia="Calibri"/>
          <w:bCs/>
          <w:sz w:val="20"/>
          <w:szCs w:val="20"/>
        </w:rPr>
      </w:pPr>
      <w:r>
        <w:rPr>
          <w:rFonts w:eastAsia="Calibri"/>
          <w:bCs/>
          <w:sz w:val="21"/>
          <w:szCs w:val="21"/>
        </w:rPr>
        <w:t>*</w:t>
      </w:r>
      <w:r w:rsidRPr="00506C5C">
        <w:rPr>
          <w:rFonts w:eastAsia="Calibri"/>
          <w:b/>
          <w:bCs/>
          <w:sz w:val="20"/>
          <w:szCs w:val="20"/>
        </w:rPr>
        <w:t xml:space="preserve">Примітка. </w:t>
      </w:r>
      <w:r w:rsidRPr="00506C5C">
        <w:rPr>
          <w:rFonts w:eastAsia="Calibri"/>
          <w:bCs/>
          <w:sz w:val="20"/>
          <w:szCs w:val="20"/>
        </w:rPr>
        <w:t>Під внутрішнім захищеним об’ємом розуміється сукупність приміщень ПРУ або СПП із захисними властивостями ПРУ в межах огороджувальних конструкцій, які запроєктовані відповідно вимог розділу 14 цих норм.</w:t>
      </w:r>
    </w:p>
    <w:p w14:paraId="56616169" w14:textId="77777777" w:rsidR="007A4520" w:rsidRPr="00B173EB" w:rsidRDefault="007A4520" w:rsidP="007A4520">
      <w:pPr>
        <w:spacing w:before="0" w:line="288" w:lineRule="auto"/>
        <w:ind w:firstLine="709"/>
        <w:rPr>
          <w:rFonts w:eastAsia="Calibri"/>
          <w:bCs/>
          <w:sz w:val="21"/>
          <w:szCs w:val="21"/>
        </w:rPr>
      </w:pPr>
      <w:r w:rsidRPr="0087210A">
        <w:rPr>
          <w:rFonts w:eastAsia="Calibri"/>
          <w:b/>
          <w:bCs/>
          <w:sz w:val="21"/>
          <w:szCs w:val="21"/>
        </w:rPr>
        <w:t>7.5.3.1</w:t>
      </w:r>
      <w:r w:rsidRPr="0087210A">
        <w:rPr>
          <w:rFonts w:eastAsia="Calibri"/>
          <w:b/>
          <w:bCs/>
          <w:sz w:val="21"/>
          <w:szCs w:val="21"/>
          <w:vertAlign w:val="superscript"/>
        </w:rPr>
        <w:t>2</w:t>
      </w:r>
      <w:r w:rsidRPr="00B173EB">
        <w:rPr>
          <w:rFonts w:eastAsia="Calibri"/>
          <w:bCs/>
          <w:sz w:val="21"/>
          <w:szCs w:val="21"/>
        </w:rPr>
        <w:t xml:space="preserve"> Шлях доступу до ПРУ та СПП із захисними властивостями ПРУ може бути влаштовано:</w:t>
      </w:r>
    </w:p>
    <w:p w14:paraId="70E2EEC7"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ззовні (з вулиці);</w:t>
      </w:r>
    </w:p>
    <w:p w14:paraId="4CEF4F3D"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через суміжні приміщення,</w:t>
      </w:r>
      <w:r w:rsidRPr="00B173EB">
        <w:rPr>
          <w:rFonts w:eastAsia="Calibri"/>
          <w:bCs/>
          <w:sz w:val="21"/>
          <w:szCs w:val="21"/>
        </w:rPr>
        <w:t xml:space="preserve"> </w:t>
      </w:r>
      <w:r w:rsidRPr="00811993">
        <w:rPr>
          <w:rFonts w:eastAsia="Calibri"/>
          <w:bCs/>
          <w:sz w:val="21"/>
          <w:szCs w:val="21"/>
        </w:rPr>
        <w:t>які не є приміщеннями ПРУ;</w:t>
      </w:r>
    </w:p>
    <w:p w14:paraId="13BFB63F"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lastRenderedPageBreak/>
        <w:t>–</w:t>
      </w:r>
      <w:r w:rsidRPr="00B173EB">
        <w:rPr>
          <w:rFonts w:eastAsia="Calibri"/>
          <w:bCs/>
          <w:sz w:val="21"/>
          <w:szCs w:val="21"/>
        </w:rPr>
        <w:t xml:space="preserve"> через підземні або заглиблені переходи (тунелі), які поєднують ПРУ або СПП із захисними властивостями ПРУ з іншими будівлями.</w:t>
      </w:r>
    </w:p>
    <w:p w14:paraId="3CBF559F" w14:textId="77777777" w:rsidR="007A4520" w:rsidRPr="00B173EB" w:rsidRDefault="007A4520" w:rsidP="007A4520">
      <w:pPr>
        <w:spacing w:before="0" w:line="288" w:lineRule="auto"/>
        <w:ind w:firstLine="709"/>
        <w:rPr>
          <w:rFonts w:eastAsia="Calibri"/>
          <w:bCs/>
          <w:sz w:val="21"/>
          <w:szCs w:val="21"/>
        </w:rPr>
      </w:pPr>
      <w:r w:rsidRPr="00811993">
        <w:rPr>
          <w:rFonts w:eastAsia="Calibri"/>
          <w:bCs/>
          <w:sz w:val="21"/>
          <w:szCs w:val="21"/>
        </w:rPr>
        <w:t>Шляхи доступу</w:t>
      </w:r>
      <w:r w:rsidRPr="00B173EB">
        <w:rPr>
          <w:rFonts w:eastAsia="Calibri"/>
          <w:bCs/>
          <w:sz w:val="21"/>
          <w:szCs w:val="21"/>
        </w:rPr>
        <w:t xml:space="preserve"> до суміжних приміщень</w:t>
      </w:r>
      <w:r>
        <w:rPr>
          <w:rFonts w:eastAsia="Calibri"/>
          <w:bCs/>
          <w:sz w:val="21"/>
          <w:szCs w:val="21"/>
        </w:rPr>
        <w:t>,</w:t>
      </w:r>
      <w:r w:rsidRPr="00B173EB">
        <w:rPr>
          <w:rFonts w:eastAsia="Calibri"/>
          <w:bCs/>
          <w:sz w:val="21"/>
          <w:szCs w:val="21"/>
        </w:rPr>
        <w:t xml:space="preserve"> </w:t>
      </w:r>
      <w:r w:rsidRPr="00811993">
        <w:rPr>
          <w:rFonts w:eastAsia="Calibri"/>
          <w:bCs/>
          <w:sz w:val="21"/>
          <w:szCs w:val="21"/>
        </w:rPr>
        <w:t xml:space="preserve">які не є приміщеннями ПРУ, </w:t>
      </w:r>
      <w:r>
        <w:rPr>
          <w:rFonts w:eastAsia="Calibri"/>
          <w:bCs/>
          <w:sz w:val="21"/>
          <w:szCs w:val="21"/>
        </w:rPr>
        <w:t xml:space="preserve">можна </w:t>
      </w:r>
      <w:r w:rsidRPr="00B173EB">
        <w:rPr>
          <w:rFonts w:eastAsia="Calibri"/>
          <w:bCs/>
          <w:sz w:val="21"/>
          <w:szCs w:val="21"/>
        </w:rPr>
        <w:t xml:space="preserve"> </w:t>
      </w:r>
      <w:r>
        <w:rPr>
          <w:rFonts w:eastAsia="Calibri"/>
          <w:bCs/>
          <w:sz w:val="21"/>
          <w:szCs w:val="21"/>
        </w:rPr>
        <w:t>проєктувати</w:t>
      </w:r>
      <w:r w:rsidRPr="00B173EB">
        <w:rPr>
          <w:rFonts w:eastAsia="Calibri"/>
          <w:bCs/>
          <w:sz w:val="21"/>
          <w:szCs w:val="21"/>
        </w:rPr>
        <w:t xml:space="preserve"> через внутрішні сходи з надземних поверхів, через ліфти та сходи ззовні </w:t>
      </w:r>
      <w:r>
        <w:rPr>
          <w:rFonts w:eastAsia="Calibri"/>
          <w:bCs/>
          <w:sz w:val="21"/>
          <w:szCs w:val="21"/>
        </w:rPr>
        <w:t xml:space="preserve"> </w:t>
      </w:r>
      <w:r w:rsidRPr="00B173EB">
        <w:rPr>
          <w:rFonts w:eastAsia="Calibri"/>
          <w:bCs/>
          <w:sz w:val="21"/>
          <w:szCs w:val="21"/>
        </w:rPr>
        <w:t xml:space="preserve">(з вулиці).  </w:t>
      </w:r>
    </w:p>
    <w:p w14:paraId="13447A39"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У разі </w:t>
      </w:r>
      <w:r w:rsidRPr="00B173EB">
        <w:rPr>
          <w:rFonts w:eastAsia="Calibri"/>
          <w:bCs/>
          <w:sz w:val="21"/>
          <w:szCs w:val="21"/>
        </w:rPr>
        <w:t>розміщенн</w:t>
      </w:r>
      <w:r>
        <w:rPr>
          <w:rFonts w:eastAsia="Calibri"/>
          <w:bCs/>
          <w:sz w:val="21"/>
          <w:szCs w:val="21"/>
        </w:rPr>
        <w:t>я</w:t>
      </w:r>
      <w:r w:rsidRPr="00B173EB">
        <w:rPr>
          <w:rFonts w:eastAsia="Calibri"/>
          <w:bCs/>
          <w:sz w:val="21"/>
          <w:szCs w:val="21"/>
        </w:rPr>
        <w:t xml:space="preserve"> шляху доступу ззовні (з вулиці) дверні прорізи із захисними дверима безпосередньо до приміщень ПРУ та СПП із захисними властивостями ПРУ такого входу повинні відповідати вимогам 7.5.3.4 цих </w:t>
      </w:r>
      <w:r>
        <w:rPr>
          <w:rFonts w:eastAsia="Calibri"/>
          <w:bCs/>
          <w:sz w:val="21"/>
          <w:szCs w:val="21"/>
        </w:rPr>
        <w:t>н</w:t>
      </w:r>
      <w:r w:rsidRPr="00B173EB">
        <w:rPr>
          <w:rFonts w:eastAsia="Calibri"/>
          <w:bCs/>
          <w:sz w:val="21"/>
          <w:szCs w:val="21"/>
        </w:rPr>
        <w:t xml:space="preserve">орм, а конструктивне-планувальне рішення входів має відповідати вимогам 7.5.3.6 цих </w:t>
      </w:r>
      <w:r>
        <w:rPr>
          <w:rFonts w:eastAsia="Calibri"/>
          <w:bCs/>
          <w:sz w:val="21"/>
          <w:szCs w:val="21"/>
        </w:rPr>
        <w:t>н</w:t>
      </w:r>
      <w:r w:rsidRPr="00B173EB">
        <w:rPr>
          <w:rFonts w:eastAsia="Calibri"/>
          <w:bCs/>
          <w:sz w:val="21"/>
          <w:szCs w:val="21"/>
        </w:rPr>
        <w:t>орм.</w:t>
      </w:r>
    </w:p>
    <w:p w14:paraId="45119ECB"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У разі проєктування </w:t>
      </w:r>
      <w:r w:rsidRPr="00B173EB">
        <w:rPr>
          <w:rFonts w:eastAsia="Calibri"/>
          <w:bCs/>
          <w:sz w:val="21"/>
          <w:szCs w:val="21"/>
        </w:rPr>
        <w:t xml:space="preserve">шляху доступу через суміжні приміщення дверні прорізи із захисними дверима такого входу безпосередньо до приміщень ПРУ та СПП із захисними властивостями ПРУ повинні відповідати вимогам 7.5.3.4 цих </w:t>
      </w:r>
      <w:r>
        <w:rPr>
          <w:rFonts w:eastAsia="Calibri"/>
          <w:bCs/>
          <w:sz w:val="21"/>
          <w:szCs w:val="21"/>
        </w:rPr>
        <w:t>н</w:t>
      </w:r>
      <w:r w:rsidRPr="00B173EB">
        <w:rPr>
          <w:rFonts w:eastAsia="Calibri"/>
          <w:bCs/>
          <w:sz w:val="21"/>
          <w:szCs w:val="21"/>
        </w:rPr>
        <w:t xml:space="preserve">орм. </w:t>
      </w:r>
    </w:p>
    <w:p w14:paraId="5005B387"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У разі проєктування </w:t>
      </w:r>
      <w:r w:rsidRPr="00B173EB">
        <w:rPr>
          <w:rFonts w:eastAsia="Calibri"/>
          <w:bCs/>
          <w:sz w:val="21"/>
          <w:szCs w:val="21"/>
        </w:rPr>
        <w:t xml:space="preserve">шляху доступу через підземні або заглиблені переходи (тунелі), що поєднують ПРУ або СПП із захисними властивостями ПРУ з іншими будівлями, дверні прорізи із захисними дверями такого входу безпосередньо до приміщень ПРУ та СПП із захисними властивостями ПРУ (між тунелем та ПРУ) повинні відповідати вимогам 7.5.3.4 цих </w:t>
      </w:r>
      <w:r>
        <w:rPr>
          <w:rFonts w:eastAsia="Calibri"/>
          <w:bCs/>
          <w:sz w:val="21"/>
          <w:szCs w:val="21"/>
        </w:rPr>
        <w:t>н</w:t>
      </w:r>
      <w:r w:rsidRPr="00B173EB">
        <w:rPr>
          <w:rFonts w:eastAsia="Calibri"/>
          <w:bCs/>
          <w:sz w:val="21"/>
          <w:szCs w:val="21"/>
        </w:rPr>
        <w:t>орм.</w:t>
      </w:r>
    </w:p>
    <w:p w14:paraId="05C51D76" w14:textId="77777777" w:rsidR="007A4520" w:rsidRPr="00B173EB" w:rsidRDefault="007A4520" w:rsidP="007A4520">
      <w:pPr>
        <w:spacing w:before="0" w:line="288" w:lineRule="auto"/>
        <w:ind w:firstLine="709"/>
        <w:rPr>
          <w:rFonts w:eastAsia="Calibri"/>
          <w:bCs/>
          <w:sz w:val="21"/>
          <w:szCs w:val="21"/>
        </w:rPr>
      </w:pPr>
      <w:r w:rsidRPr="00811993">
        <w:rPr>
          <w:rFonts w:eastAsia="Calibri"/>
          <w:bCs/>
          <w:sz w:val="21"/>
          <w:szCs w:val="21"/>
        </w:rPr>
        <w:t xml:space="preserve">Захисні властивості підземних або </w:t>
      </w:r>
      <w:r>
        <w:rPr>
          <w:rFonts w:eastAsia="Calibri"/>
          <w:bCs/>
          <w:sz w:val="21"/>
          <w:szCs w:val="21"/>
        </w:rPr>
        <w:t>заглиблених переходів (тунелів)</w:t>
      </w:r>
      <w:r w:rsidRPr="00B173EB">
        <w:rPr>
          <w:rFonts w:eastAsia="Calibri"/>
          <w:bCs/>
          <w:sz w:val="21"/>
          <w:szCs w:val="21"/>
        </w:rPr>
        <w:t xml:space="preserve">, які поєднують окремо розташовані ПРУ або СПП із захисними властивостями ПРУ з будівлями закладів освіти та закладів охорони здоров'я (стаціонарів), повинні відповідати </w:t>
      </w:r>
      <w:r w:rsidRPr="00811993">
        <w:rPr>
          <w:rFonts w:eastAsia="Calibri"/>
          <w:bCs/>
          <w:sz w:val="21"/>
          <w:szCs w:val="21"/>
        </w:rPr>
        <w:t xml:space="preserve">захисним властивостям </w:t>
      </w:r>
      <w:r w:rsidRPr="00B173EB">
        <w:rPr>
          <w:rFonts w:eastAsia="Calibri"/>
          <w:bCs/>
          <w:sz w:val="21"/>
          <w:szCs w:val="21"/>
        </w:rPr>
        <w:t xml:space="preserve">ПРУ або СПП із захисними властивостями ПРУ, </w:t>
      </w:r>
      <w:r>
        <w:rPr>
          <w:rFonts w:eastAsia="Calibri"/>
          <w:bCs/>
          <w:sz w:val="21"/>
          <w:szCs w:val="21"/>
        </w:rPr>
        <w:t xml:space="preserve">бути </w:t>
      </w:r>
      <w:r w:rsidRPr="00B173EB">
        <w:rPr>
          <w:rFonts w:eastAsia="Calibri"/>
          <w:bCs/>
          <w:sz w:val="21"/>
          <w:szCs w:val="21"/>
        </w:rPr>
        <w:t>розрахов</w:t>
      </w:r>
      <w:r>
        <w:rPr>
          <w:rFonts w:eastAsia="Calibri"/>
          <w:bCs/>
          <w:sz w:val="21"/>
          <w:szCs w:val="21"/>
        </w:rPr>
        <w:t xml:space="preserve">ані </w:t>
      </w:r>
      <w:r w:rsidRPr="00B173EB">
        <w:rPr>
          <w:rFonts w:eastAsia="Calibri"/>
          <w:bCs/>
          <w:sz w:val="21"/>
          <w:szCs w:val="21"/>
        </w:rPr>
        <w:t xml:space="preserve"> на навантаження та впливи, </w:t>
      </w:r>
      <w:r>
        <w:rPr>
          <w:rFonts w:eastAsia="Calibri"/>
          <w:bCs/>
          <w:sz w:val="21"/>
          <w:szCs w:val="21"/>
        </w:rPr>
        <w:t xml:space="preserve">в тому числі </w:t>
      </w:r>
      <w:r w:rsidRPr="00B173EB">
        <w:rPr>
          <w:rFonts w:eastAsia="Calibri"/>
          <w:bCs/>
          <w:sz w:val="21"/>
          <w:szCs w:val="21"/>
        </w:rPr>
        <w:t>на дію повітряної ударної хвилі відповідно</w:t>
      </w:r>
      <w:r>
        <w:rPr>
          <w:rFonts w:eastAsia="Calibri"/>
          <w:bCs/>
          <w:sz w:val="21"/>
          <w:szCs w:val="21"/>
        </w:rPr>
        <w:t xml:space="preserve"> до </w:t>
      </w:r>
      <w:r w:rsidRPr="00B173EB">
        <w:rPr>
          <w:rFonts w:eastAsia="Calibri"/>
          <w:bCs/>
          <w:sz w:val="21"/>
          <w:szCs w:val="21"/>
        </w:rPr>
        <w:t xml:space="preserve"> вимог 14.1 цих </w:t>
      </w:r>
      <w:r>
        <w:rPr>
          <w:rFonts w:eastAsia="Calibri"/>
          <w:bCs/>
          <w:sz w:val="21"/>
          <w:szCs w:val="21"/>
        </w:rPr>
        <w:t>н</w:t>
      </w:r>
      <w:r w:rsidRPr="00B173EB">
        <w:rPr>
          <w:rFonts w:eastAsia="Calibri"/>
          <w:bCs/>
          <w:sz w:val="21"/>
          <w:szCs w:val="21"/>
        </w:rPr>
        <w:t>орм</w:t>
      </w:r>
      <w:r>
        <w:rPr>
          <w:rFonts w:eastAsia="Calibri"/>
          <w:bCs/>
          <w:sz w:val="21"/>
          <w:szCs w:val="21"/>
        </w:rPr>
        <w:t>,</w:t>
      </w:r>
      <w:r w:rsidRPr="00B173EB">
        <w:rPr>
          <w:rFonts w:eastAsia="Calibri"/>
          <w:bCs/>
          <w:sz w:val="21"/>
          <w:szCs w:val="21"/>
        </w:rPr>
        <w:t xml:space="preserve"> та проникнення і вторинне сколювання згідно з вимогами 14.2.3 цих </w:t>
      </w:r>
      <w:r>
        <w:rPr>
          <w:rFonts w:eastAsia="Calibri"/>
          <w:bCs/>
          <w:sz w:val="21"/>
          <w:szCs w:val="21"/>
        </w:rPr>
        <w:t>н</w:t>
      </w:r>
      <w:r w:rsidRPr="00B173EB">
        <w:rPr>
          <w:rFonts w:eastAsia="Calibri"/>
          <w:bCs/>
          <w:sz w:val="21"/>
          <w:szCs w:val="21"/>
        </w:rPr>
        <w:t>орм. Допускається встановлювати захисні двері при вході в підземний або заглиблений перехід (тунелі)  із будівлі.</w:t>
      </w:r>
    </w:p>
    <w:p w14:paraId="7607DC0E"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Допускається влаштовувати підземні або заглиблені переходи (тунелі), які поєднують окремо розташовані ПРУ або СПП із захисними властивостями ПРУ із іншими будівлями, якщо вони відповідають вимогам абзацу п’ятого 7.5.3.1</w:t>
      </w:r>
      <w:r w:rsidRPr="00B173EB">
        <w:rPr>
          <w:rFonts w:eastAsia="Calibri"/>
          <w:bCs/>
          <w:sz w:val="21"/>
          <w:szCs w:val="21"/>
          <w:vertAlign w:val="superscript"/>
        </w:rPr>
        <w:t>2</w:t>
      </w:r>
      <w:r w:rsidRPr="00B173EB">
        <w:rPr>
          <w:rFonts w:eastAsia="Calibri"/>
          <w:bCs/>
          <w:sz w:val="21"/>
          <w:szCs w:val="21"/>
        </w:rPr>
        <w:t xml:space="preserve">  цих </w:t>
      </w:r>
      <w:r>
        <w:rPr>
          <w:rFonts w:eastAsia="Calibri"/>
          <w:bCs/>
          <w:sz w:val="21"/>
          <w:szCs w:val="21"/>
        </w:rPr>
        <w:t>н</w:t>
      </w:r>
      <w:r w:rsidRPr="00B173EB">
        <w:rPr>
          <w:rFonts w:eastAsia="Calibri"/>
          <w:bCs/>
          <w:sz w:val="21"/>
          <w:szCs w:val="21"/>
        </w:rPr>
        <w:t>орм.</w:t>
      </w:r>
    </w:p>
    <w:p w14:paraId="5AB86DE2" w14:textId="77777777" w:rsidR="007A4520" w:rsidRPr="00B173EB" w:rsidRDefault="001E748C" w:rsidP="007A4520">
      <w:pPr>
        <w:spacing w:before="0" w:line="288" w:lineRule="auto"/>
        <w:ind w:firstLine="709"/>
        <w:rPr>
          <w:rFonts w:eastAsia="Calibri"/>
          <w:bCs/>
          <w:sz w:val="21"/>
          <w:szCs w:val="21"/>
        </w:rPr>
      </w:pPr>
      <w:r w:rsidRPr="00CA7C54">
        <w:rPr>
          <w:b/>
          <w:color w:val="000000" w:themeColor="text1"/>
          <w:sz w:val="21"/>
          <w:szCs w:val="21"/>
        </w:rPr>
        <w:t>7.5.3.2</w:t>
      </w:r>
      <w:r w:rsidRPr="00CA7C54">
        <w:rPr>
          <w:color w:val="000000" w:themeColor="text1"/>
          <w:sz w:val="21"/>
          <w:szCs w:val="21"/>
        </w:rPr>
        <w:t xml:space="preserve"> </w:t>
      </w:r>
      <w:r w:rsidR="007A4520" w:rsidRPr="00B173EB">
        <w:rPr>
          <w:rFonts w:eastAsia="Calibri"/>
          <w:bCs/>
          <w:sz w:val="21"/>
          <w:szCs w:val="21"/>
        </w:rPr>
        <w:t>При місткості ПРУ та СПП із захисними властивостями ПРУ до 15 осіб включно допускається обладн</w:t>
      </w:r>
      <w:r w:rsidR="007A4520">
        <w:rPr>
          <w:rFonts w:eastAsia="Calibri"/>
          <w:bCs/>
          <w:sz w:val="21"/>
          <w:szCs w:val="21"/>
        </w:rPr>
        <w:t xml:space="preserve">увати </w:t>
      </w:r>
      <w:r w:rsidR="007A4520" w:rsidRPr="00B173EB">
        <w:rPr>
          <w:rFonts w:eastAsia="Calibri"/>
          <w:bCs/>
          <w:sz w:val="21"/>
          <w:szCs w:val="21"/>
        </w:rPr>
        <w:t>од</w:t>
      </w:r>
      <w:r w:rsidR="007A4520">
        <w:rPr>
          <w:rFonts w:eastAsia="Calibri"/>
          <w:bCs/>
          <w:sz w:val="21"/>
          <w:szCs w:val="21"/>
        </w:rPr>
        <w:t xml:space="preserve">ин </w:t>
      </w:r>
      <w:r w:rsidR="007A4520" w:rsidRPr="00B173EB">
        <w:rPr>
          <w:rFonts w:eastAsia="Calibri"/>
          <w:bCs/>
          <w:sz w:val="21"/>
          <w:szCs w:val="21"/>
        </w:rPr>
        <w:t>вх</w:t>
      </w:r>
      <w:r w:rsidR="007A4520">
        <w:rPr>
          <w:rFonts w:eastAsia="Calibri"/>
          <w:bCs/>
          <w:sz w:val="21"/>
          <w:szCs w:val="21"/>
        </w:rPr>
        <w:t>ід</w:t>
      </w:r>
      <w:r w:rsidR="007A4520" w:rsidRPr="00B173EB">
        <w:rPr>
          <w:rFonts w:eastAsia="Calibri"/>
          <w:bCs/>
          <w:sz w:val="21"/>
          <w:szCs w:val="21"/>
        </w:rPr>
        <w:t xml:space="preserve"> за умови влаштування аварійного виходу у </w:t>
      </w:r>
      <w:r w:rsidR="007A4520" w:rsidRPr="00A86287">
        <w:rPr>
          <w:rFonts w:eastAsia="Calibri"/>
          <w:bCs/>
          <w:sz w:val="21"/>
          <w:szCs w:val="21"/>
        </w:rPr>
        <w:t xml:space="preserve">вигляді прорізу, </w:t>
      </w:r>
      <w:r w:rsidR="007A4520">
        <w:rPr>
          <w:rFonts w:eastAsia="Calibri"/>
          <w:bCs/>
          <w:sz w:val="21"/>
          <w:szCs w:val="21"/>
        </w:rPr>
        <w:t>який запов</w:t>
      </w:r>
      <w:r w:rsidR="007A4520" w:rsidRPr="00A86287">
        <w:rPr>
          <w:rFonts w:eastAsia="Calibri"/>
          <w:bCs/>
          <w:sz w:val="21"/>
          <w:szCs w:val="21"/>
        </w:rPr>
        <w:t>юється захисним люком.</w:t>
      </w:r>
    </w:p>
    <w:p w14:paraId="705C56EF"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Для окремо</w:t>
      </w:r>
      <w:r>
        <w:rPr>
          <w:rFonts w:eastAsia="Calibri"/>
          <w:bCs/>
          <w:sz w:val="21"/>
          <w:szCs w:val="21"/>
        </w:rPr>
        <w:t xml:space="preserve"> </w:t>
      </w:r>
      <w:r w:rsidRPr="00B173EB">
        <w:rPr>
          <w:rFonts w:eastAsia="Calibri"/>
          <w:bCs/>
          <w:sz w:val="21"/>
          <w:szCs w:val="21"/>
        </w:rPr>
        <w:t xml:space="preserve">розташованих та прибудованих ПРУ та СПП із захисними властивостями ПРУ допускається розташовувати захисний люк </w:t>
      </w:r>
      <w:r>
        <w:rPr>
          <w:rFonts w:eastAsia="Calibri"/>
          <w:bCs/>
          <w:sz w:val="21"/>
          <w:szCs w:val="21"/>
          <w:lang w:val="ru-RU"/>
        </w:rPr>
        <w:t>у</w:t>
      </w:r>
      <w:r w:rsidRPr="00B173EB">
        <w:rPr>
          <w:rFonts w:eastAsia="Calibri"/>
          <w:bCs/>
          <w:sz w:val="21"/>
          <w:szCs w:val="21"/>
        </w:rPr>
        <w:t xml:space="preserve"> стелі, із забезпеченням доступу до нього за допомогою стаціонарної або мобільної вертикальної драбини. </w:t>
      </w:r>
    </w:p>
    <w:p w14:paraId="217FF4E1"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Захисний люк має відповідати наступним вимогам: </w:t>
      </w:r>
    </w:p>
    <w:p w14:paraId="44E21E80" w14:textId="77777777" w:rsidR="007A4520" w:rsidRPr="00600F07" w:rsidRDefault="007A4520" w:rsidP="007A4520">
      <w:pPr>
        <w:spacing w:before="0" w:line="288" w:lineRule="auto"/>
        <w:ind w:firstLine="709"/>
        <w:rPr>
          <w:rFonts w:eastAsia="Calibri"/>
          <w:bCs/>
          <w:sz w:val="21"/>
          <w:szCs w:val="21"/>
        </w:rPr>
      </w:pPr>
      <w:r w:rsidRPr="00600F07">
        <w:rPr>
          <w:rFonts w:eastAsia="Calibri"/>
          <w:bCs/>
          <w:sz w:val="21"/>
          <w:szCs w:val="21"/>
        </w:rPr>
        <w:t>1) влаштовуватись у зовнішніх огороджувальних конструкціях (стелі, зовнішніх стінах) ПРУ або СПП із захисними властивостями ПРУ;</w:t>
      </w:r>
    </w:p>
    <w:p w14:paraId="31B8E845" w14:textId="77777777" w:rsidR="007A4520" w:rsidRPr="00B173EB" w:rsidRDefault="007A4520" w:rsidP="007A4520">
      <w:pPr>
        <w:spacing w:before="0" w:line="288" w:lineRule="auto"/>
        <w:ind w:firstLine="709"/>
        <w:rPr>
          <w:rFonts w:eastAsia="Calibri"/>
          <w:bCs/>
          <w:sz w:val="21"/>
          <w:szCs w:val="21"/>
        </w:rPr>
      </w:pPr>
      <w:r w:rsidRPr="00600F07">
        <w:rPr>
          <w:rFonts w:eastAsia="Calibri"/>
          <w:bCs/>
          <w:sz w:val="21"/>
          <w:szCs w:val="21"/>
        </w:rPr>
        <w:t>2) розташовуватись на протилежній до входу стороні;</w:t>
      </w:r>
      <w:r w:rsidRPr="00B173EB">
        <w:rPr>
          <w:rFonts w:eastAsia="Calibri"/>
          <w:bCs/>
          <w:sz w:val="21"/>
          <w:szCs w:val="21"/>
        </w:rPr>
        <w:t xml:space="preserve"> </w:t>
      </w:r>
    </w:p>
    <w:p w14:paraId="0768E211"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3) відповідати вимогам 7.5.3.4 цих </w:t>
      </w:r>
      <w:r>
        <w:rPr>
          <w:rFonts w:eastAsia="Calibri"/>
          <w:bCs/>
          <w:sz w:val="21"/>
          <w:szCs w:val="21"/>
        </w:rPr>
        <w:t>н</w:t>
      </w:r>
      <w:r w:rsidRPr="00B173EB">
        <w:rPr>
          <w:rFonts w:eastAsia="Calibri"/>
          <w:bCs/>
          <w:sz w:val="21"/>
          <w:szCs w:val="21"/>
        </w:rPr>
        <w:t xml:space="preserve">орм; </w:t>
      </w:r>
    </w:p>
    <w:p w14:paraId="5DB5602B" w14:textId="77777777" w:rsidR="007A4520" w:rsidRDefault="007A4520" w:rsidP="007A4520">
      <w:pPr>
        <w:spacing w:before="0" w:line="288" w:lineRule="auto"/>
        <w:ind w:firstLine="709"/>
        <w:rPr>
          <w:rFonts w:eastAsia="Calibri"/>
          <w:bCs/>
          <w:sz w:val="21"/>
          <w:szCs w:val="21"/>
        </w:rPr>
      </w:pPr>
      <w:r w:rsidRPr="00B173EB">
        <w:rPr>
          <w:rFonts w:eastAsia="Calibri"/>
          <w:bCs/>
          <w:sz w:val="21"/>
          <w:szCs w:val="21"/>
        </w:rPr>
        <w:t xml:space="preserve">4) мати мінімальні розміри в просвіті: 0,6 м х 0,9 м - для люків, що облаштовуються у стелі та 0,8 м х (h) 1,5 м - для люків, що облаштовуються у зовнішніх стінах; </w:t>
      </w:r>
    </w:p>
    <w:p w14:paraId="12374217"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5) відкриватись назовні у напрямку виходу людей назовні (на вулицю); </w:t>
      </w:r>
    </w:p>
    <w:p w14:paraId="6CEF387B"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6) фіксуватись у відкритому положенні (для люків, що облаштовуються у стелі). </w:t>
      </w:r>
    </w:p>
    <w:p w14:paraId="3056B581"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Аварійний вихід у напрямку назовні  (на вулицю) може бути забезпечений:</w:t>
      </w:r>
    </w:p>
    <w:p w14:paraId="097DE238"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 </w:t>
      </w:r>
      <w:r w:rsidRPr="00B173EB">
        <w:rPr>
          <w:rFonts w:eastAsia="Calibri"/>
          <w:bCs/>
          <w:sz w:val="21"/>
          <w:szCs w:val="21"/>
        </w:rPr>
        <w:t xml:space="preserve">через вертикальну шахту, яка безпосередньо веде назовні (на вулицю); </w:t>
      </w:r>
    </w:p>
    <w:p w14:paraId="3D5C3557"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 </w:t>
      </w:r>
      <w:r w:rsidRPr="00B173EB">
        <w:rPr>
          <w:rFonts w:eastAsia="Calibri"/>
          <w:bCs/>
          <w:sz w:val="21"/>
          <w:szCs w:val="21"/>
        </w:rPr>
        <w:t xml:space="preserve">через горизонтальний підземний або заглиблений перехід (тунель, шахту), який безпосередньо веде назовні (на вулицю); </w:t>
      </w:r>
    </w:p>
    <w:p w14:paraId="157730E3"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 </w:t>
      </w:r>
      <w:r w:rsidRPr="00B173EB">
        <w:rPr>
          <w:rFonts w:eastAsia="Calibri"/>
          <w:bCs/>
          <w:sz w:val="21"/>
          <w:szCs w:val="21"/>
        </w:rPr>
        <w:t>через вертикальну шахту, яка безпосередньо веде назовні (на вулицю) та яка поєднана з ПРУ та СПП із захисними властивостями ПРУ горизонтальним підземним або заглибленим переходом (тунелем, шахтою)</w:t>
      </w:r>
      <w:r>
        <w:rPr>
          <w:rFonts w:eastAsia="Calibri"/>
          <w:bCs/>
          <w:sz w:val="21"/>
          <w:szCs w:val="21"/>
        </w:rPr>
        <w:t>.</w:t>
      </w:r>
    </w:p>
    <w:p w14:paraId="189B259F"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Розміри в просвіті вертикальних шахт мають бути не менше ніж 0,6</w:t>
      </w:r>
      <w:r>
        <w:rPr>
          <w:rFonts w:eastAsia="Calibri"/>
          <w:bCs/>
          <w:sz w:val="21"/>
          <w:szCs w:val="21"/>
        </w:rPr>
        <w:t xml:space="preserve"> </w:t>
      </w:r>
      <w:r w:rsidRPr="00B173EB">
        <w:rPr>
          <w:rFonts w:eastAsia="Calibri"/>
          <w:bCs/>
          <w:sz w:val="21"/>
          <w:szCs w:val="21"/>
        </w:rPr>
        <w:t>м х 0,9</w:t>
      </w:r>
      <w:r>
        <w:rPr>
          <w:rFonts w:eastAsia="Calibri"/>
          <w:bCs/>
          <w:sz w:val="21"/>
          <w:szCs w:val="21"/>
        </w:rPr>
        <w:t xml:space="preserve"> </w:t>
      </w:r>
      <w:r w:rsidRPr="00B173EB">
        <w:rPr>
          <w:rFonts w:eastAsia="Calibri"/>
          <w:bCs/>
          <w:sz w:val="21"/>
          <w:szCs w:val="21"/>
        </w:rPr>
        <w:t xml:space="preserve">м,    горизонтальних підземних або заглиблених переходів (тунелів, шахт): при новому будівництві </w:t>
      </w:r>
      <w:r>
        <w:rPr>
          <w:rFonts w:eastAsia="Calibri"/>
          <w:bCs/>
          <w:sz w:val="21"/>
          <w:szCs w:val="21"/>
        </w:rPr>
        <w:t>–</w:t>
      </w:r>
      <w:r w:rsidRPr="00B173EB">
        <w:rPr>
          <w:rFonts w:eastAsia="Calibri"/>
          <w:bCs/>
          <w:sz w:val="21"/>
          <w:szCs w:val="21"/>
        </w:rPr>
        <w:t xml:space="preserve"> не менше ніж 1,5</w:t>
      </w:r>
      <w:r>
        <w:rPr>
          <w:rFonts w:eastAsia="Calibri"/>
          <w:bCs/>
          <w:sz w:val="21"/>
          <w:szCs w:val="21"/>
        </w:rPr>
        <w:t xml:space="preserve"> </w:t>
      </w:r>
      <w:r w:rsidRPr="00B173EB">
        <w:rPr>
          <w:rFonts w:eastAsia="Calibri"/>
          <w:bCs/>
          <w:sz w:val="21"/>
          <w:szCs w:val="21"/>
        </w:rPr>
        <w:t>м х 1,5</w:t>
      </w:r>
      <w:r>
        <w:rPr>
          <w:rFonts w:eastAsia="Calibri"/>
          <w:bCs/>
          <w:sz w:val="21"/>
          <w:szCs w:val="21"/>
        </w:rPr>
        <w:t xml:space="preserve"> </w:t>
      </w:r>
      <w:r w:rsidRPr="00B173EB">
        <w:rPr>
          <w:rFonts w:eastAsia="Calibri"/>
          <w:bCs/>
          <w:sz w:val="21"/>
          <w:szCs w:val="21"/>
        </w:rPr>
        <w:t xml:space="preserve">м, </w:t>
      </w:r>
      <w:r>
        <w:rPr>
          <w:rFonts w:eastAsia="Calibri"/>
          <w:bCs/>
          <w:sz w:val="21"/>
          <w:szCs w:val="21"/>
        </w:rPr>
        <w:t xml:space="preserve">у разі </w:t>
      </w:r>
      <w:r w:rsidRPr="00B173EB">
        <w:rPr>
          <w:rFonts w:eastAsia="Calibri"/>
          <w:bCs/>
          <w:sz w:val="21"/>
          <w:szCs w:val="21"/>
        </w:rPr>
        <w:t xml:space="preserve">реконструкції </w:t>
      </w:r>
      <w:r>
        <w:rPr>
          <w:rFonts w:eastAsia="Calibri"/>
          <w:bCs/>
          <w:sz w:val="21"/>
          <w:szCs w:val="21"/>
        </w:rPr>
        <w:t>–</w:t>
      </w:r>
      <w:r w:rsidRPr="00B173EB">
        <w:rPr>
          <w:rFonts w:eastAsia="Calibri"/>
          <w:bCs/>
          <w:sz w:val="21"/>
          <w:szCs w:val="21"/>
        </w:rPr>
        <w:t xml:space="preserve">  не менше ніж 0,9 м х (h)1,3 м.</w:t>
      </w:r>
    </w:p>
    <w:p w14:paraId="12FEFE3C"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lastRenderedPageBreak/>
        <w:t xml:space="preserve">Вертикальні шахти по всій висоті повинні облаштовуватись вертикальними металевими драбинами. </w:t>
      </w:r>
    </w:p>
    <w:p w14:paraId="5B6C037C"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Для ПРУ до 15 осіб допускається шахтні виходи аварійних виходів обладнувати оголовками, висоту яких </w:t>
      </w:r>
      <w:r w:rsidRPr="001C4B41">
        <w:rPr>
          <w:rFonts w:eastAsia="Calibri"/>
          <w:bCs/>
          <w:color w:val="000000" w:themeColor="text1"/>
          <w:sz w:val="21"/>
          <w:szCs w:val="21"/>
        </w:rPr>
        <w:t>h</w:t>
      </w:r>
      <w:r w:rsidRPr="001C4B41">
        <w:rPr>
          <w:rFonts w:eastAsia="Calibri"/>
          <w:bCs/>
          <w:color w:val="000000" w:themeColor="text1"/>
          <w:sz w:val="21"/>
          <w:szCs w:val="21"/>
          <w:vertAlign w:val="subscript"/>
        </w:rPr>
        <w:t>ог</w:t>
      </w:r>
      <w:r w:rsidRPr="00B173EB">
        <w:rPr>
          <w:rFonts w:eastAsia="Calibri"/>
          <w:bCs/>
          <w:sz w:val="21"/>
          <w:szCs w:val="21"/>
        </w:rPr>
        <w:t xml:space="preserve"> необхідно приймати не менше ніж 0,5 м та не більше ніж 2,5 м. </w:t>
      </w:r>
    </w:p>
    <w:p w14:paraId="59CE9505"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Оголовок аварійного виходу має завершуватися </w:t>
      </w:r>
      <w:r>
        <w:rPr>
          <w:rFonts w:eastAsia="Calibri"/>
          <w:bCs/>
          <w:sz w:val="21"/>
          <w:szCs w:val="21"/>
        </w:rPr>
        <w:t xml:space="preserve">не менше ніж </w:t>
      </w:r>
      <w:r w:rsidRPr="00B173EB">
        <w:rPr>
          <w:rFonts w:eastAsia="Calibri"/>
          <w:bCs/>
          <w:sz w:val="21"/>
          <w:szCs w:val="21"/>
        </w:rPr>
        <w:t>одним отвором для виходу назовні розміром у просвіті не менше  0,6</w:t>
      </w:r>
      <w:r>
        <w:rPr>
          <w:rFonts w:eastAsia="Calibri"/>
          <w:bCs/>
          <w:sz w:val="21"/>
          <w:szCs w:val="21"/>
        </w:rPr>
        <w:t xml:space="preserve"> </w:t>
      </w:r>
      <w:r w:rsidRPr="00B173EB">
        <w:rPr>
          <w:rFonts w:eastAsia="Calibri"/>
          <w:bCs/>
          <w:sz w:val="21"/>
          <w:szCs w:val="21"/>
        </w:rPr>
        <w:t>м х 0,9</w:t>
      </w:r>
      <w:r>
        <w:rPr>
          <w:rFonts w:eastAsia="Calibri"/>
          <w:bCs/>
          <w:sz w:val="21"/>
          <w:szCs w:val="21"/>
        </w:rPr>
        <w:t xml:space="preserve"> </w:t>
      </w:r>
      <w:r w:rsidRPr="00B173EB">
        <w:rPr>
          <w:rFonts w:eastAsia="Calibri"/>
          <w:bCs/>
          <w:sz w:val="21"/>
          <w:szCs w:val="21"/>
        </w:rPr>
        <w:t xml:space="preserve">м. Такі отвори </w:t>
      </w:r>
      <w:r>
        <w:rPr>
          <w:rFonts w:eastAsia="Calibri"/>
          <w:bCs/>
          <w:sz w:val="21"/>
          <w:szCs w:val="21"/>
        </w:rPr>
        <w:t>слід</w:t>
      </w:r>
      <w:r w:rsidRPr="00B173EB">
        <w:rPr>
          <w:rFonts w:eastAsia="Calibri"/>
          <w:bCs/>
          <w:sz w:val="21"/>
          <w:szCs w:val="21"/>
        </w:rPr>
        <w:t xml:space="preserve"> заповнювати гратами (жалюзі, люками), що відкриваються назовні (для вертикальних отворів) або униз (для горизонтальних отворів).</w:t>
      </w:r>
    </w:p>
    <w:p w14:paraId="6537CD03"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Покриття оголовків аварійних виходів рекомендовано виконувати з матеріалу, з якого виконано весь оголовок.</w:t>
      </w:r>
    </w:p>
    <w:p w14:paraId="28C0D105"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Горизонтальні підземні або заглиблені переходи (тунелі, шахти) та оголовки аварійних виходів розраховують з урахуванням вимог 14.1.2.6, 14.1.3.6, 14.1.3.7, 14.1.3.10 цих </w:t>
      </w:r>
      <w:r>
        <w:rPr>
          <w:rFonts w:eastAsia="Calibri"/>
          <w:bCs/>
          <w:sz w:val="21"/>
          <w:szCs w:val="21"/>
        </w:rPr>
        <w:t>н</w:t>
      </w:r>
      <w:r w:rsidRPr="00B173EB">
        <w:rPr>
          <w:rFonts w:eastAsia="Calibri"/>
          <w:bCs/>
          <w:sz w:val="21"/>
          <w:szCs w:val="21"/>
        </w:rPr>
        <w:t>орм.</w:t>
      </w:r>
    </w:p>
    <w:p w14:paraId="081F79FF" w14:textId="15BDFD88"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При місткості СПП із захисними властивостями ПРУ до 15 осіб включно, розташованих у підвальних та цокольних приміщеннях, допускається використовувати як аварійні виходи вікна з приямками, передбачені </w:t>
      </w:r>
      <w:hyperlink r:id="rId148" w:history="1">
        <w:r w:rsidRPr="000D61F6">
          <w:rPr>
            <w:rStyle w:val="ac"/>
            <w:rFonts w:eastAsia="Calibri" w:cs="Arial"/>
            <w:bCs/>
            <w:sz w:val="21"/>
            <w:szCs w:val="21"/>
          </w:rPr>
          <w:t>ДБН В.1.1-7</w:t>
        </w:r>
      </w:hyperlink>
      <w:r w:rsidRPr="00B173EB">
        <w:rPr>
          <w:rFonts w:eastAsia="Calibri"/>
          <w:bCs/>
          <w:sz w:val="21"/>
          <w:szCs w:val="21"/>
        </w:rPr>
        <w:t xml:space="preserve">, за умови обладнання їх металевими віконницями, що відкриваються назовні та відповідають вимогам 9.1.2.3 цих </w:t>
      </w:r>
      <w:r>
        <w:rPr>
          <w:rFonts w:eastAsia="Calibri"/>
          <w:bCs/>
          <w:sz w:val="21"/>
          <w:szCs w:val="21"/>
        </w:rPr>
        <w:t>н</w:t>
      </w:r>
      <w:r w:rsidRPr="00B173EB">
        <w:rPr>
          <w:rFonts w:eastAsia="Calibri"/>
          <w:bCs/>
          <w:sz w:val="21"/>
          <w:szCs w:val="21"/>
        </w:rPr>
        <w:t xml:space="preserve">орм, або облаштування захисної стінки-екрану, що запобігає прямому потраплянню в основне приміщення іонізуючого випромінювання та уламків боєприпасів. </w:t>
      </w:r>
    </w:p>
    <w:p w14:paraId="3A97E28F"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У разі облаштування захисної стінки-екрану до або після віконного отвору він має виступати за габарити віконного отвору не менше ніж на 0,3 м та забезпечувати нормативні захисні властивості протирадіаційного укриття відповідної групи.</w:t>
      </w:r>
    </w:p>
    <w:p w14:paraId="1FEE6721" w14:textId="6A5AC04B" w:rsidR="003C4E04" w:rsidRPr="00CA7C54" w:rsidRDefault="001E748C" w:rsidP="007A4520">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7.5.3.3</w:t>
      </w:r>
      <w:r w:rsidRPr="00CA7C54">
        <w:rPr>
          <w:color w:val="000000" w:themeColor="text1"/>
          <w:sz w:val="21"/>
          <w:szCs w:val="21"/>
        </w:rPr>
        <w:t xml:space="preserve"> </w:t>
      </w:r>
      <w:r w:rsidR="007A4520" w:rsidRPr="00B173EB">
        <w:rPr>
          <w:rFonts w:eastAsia="Calibri"/>
          <w:bCs/>
          <w:sz w:val="21"/>
          <w:szCs w:val="21"/>
        </w:rPr>
        <w:t>Входи до ПРУ та СПП із захисними властивостями ПРУ повинні бути захищені від атмосферних опадів та поверхневих вод. Павільйони, що захищають входи та аварійні виходи (за межами зон завалів) від атмосферних опадів, повинні виконуватись з легких негорючих матеріалів.</w:t>
      </w:r>
    </w:p>
    <w:p w14:paraId="14F7B7E4" w14:textId="77777777" w:rsidR="007A4520" w:rsidRDefault="001E748C" w:rsidP="007A4520">
      <w:pPr>
        <w:spacing w:before="0" w:line="288" w:lineRule="auto"/>
        <w:ind w:firstLine="709"/>
        <w:rPr>
          <w:rFonts w:eastAsia="Calibri"/>
          <w:bCs/>
          <w:sz w:val="21"/>
          <w:szCs w:val="21"/>
        </w:rPr>
      </w:pPr>
      <w:r w:rsidRPr="00CA7C54">
        <w:rPr>
          <w:b/>
          <w:color w:val="000000" w:themeColor="text1"/>
          <w:sz w:val="21"/>
          <w:szCs w:val="21"/>
        </w:rPr>
        <w:t>7.5.3.4</w:t>
      </w:r>
      <w:r w:rsidRPr="00CA7C54">
        <w:rPr>
          <w:color w:val="000000" w:themeColor="text1"/>
          <w:sz w:val="21"/>
          <w:szCs w:val="21"/>
        </w:rPr>
        <w:t xml:space="preserve">  </w:t>
      </w:r>
      <w:r w:rsidR="007A4520" w:rsidRPr="00B173EB">
        <w:rPr>
          <w:rFonts w:eastAsia="Calibri"/>
          <w:bCs/>
          <w:sz w:val="21"/>
          <w:szCs w:val="21"/>
        </w:rPr>
        <w:t>Дверні прорізи входів до ПРУ або СПП із захисними властивостями ПРУ</w:t>
      </w:r>
      <w:r w:rsidR="007A4520">
        <w:rPr>
          <w:rFonts w:eastAsia="Calibri"/>
          <w:bCs/>
          <w:sz w:val="21"/>
          <w:szCs w:val="21"/>
        </w:rPr>
        <w:t xml:space="preserve"> слід </w:t>
      </w:r>
      <w:r w:rsidR="007A4520" w:rsidRPr="00B173EB">
        <w:rPr>
          <w:rFonts w:eastAsia="Calibri"/>
          <w:bCs/>
          <w:sz w:val="21"/>
          <w:szCs w:val="21"/>
        </w:rPr>
        <w:t xml:space="preserve"> заповнювати захисними дверима з негорючих матеріалів, що мають несучу здатність </w:t>
      </w:r>
      <w:r w:rsidR="007A4520">
        <w:rPr>
          <w:rFonts w:eastAsia="Calibri"/>
          <w:bCs/>
          <w:sz w:val="21"/>
          <w:szCs w:val="21"/>
        </w:rPr>
        <w:t xml:space="preserve"> </w:t>
      </w:r>
      <w:r w:rsidR="007A4520" w:rsidRPr="00B173EB">
        <w:rPr>
          <w:rFonts w:eastAsia="Calibri"/>
          <w:bCs/>
          <w:sz w:val="21"/>
          <w:szCs w:val="21"/>
        </w:rPr>
        <w:t>(у т.ч. поворотн</w:t>
      </w:r>
      <w:r w:rsidR="007A4520">
        <w:rPr>
          <w:rFonts w:eastAsia="Calibri"/>
          <w:bCs/>
          <w:sz w:val="21"/>
          <w:szCs w:val="21"/>
        </w:rPr>
        <w:t>і</w:t>
      </w:r>
      <w:r w:rsidR="007A4520" w:rsidRPr="00B173EB">
        <w:rPr>
          <w:rFonts w:eastAsia="Calibri"/>
          <w:bCs/>
          <w:sz w:val="21"/>
          <w:szCs w:val="21"/>
        </w:rPr>
        <w:t xml:space="preserve"> механізм</w:t>
      </w:r>
      <w:r w:rsidR="007A4520">
        <w:rPr>
          <w:rFonts w:eastAsia="Calibri"/>
          <w:bCs/>
          <w:sz w:val="21"/>
          <w:szCs w:val="21"/>
        </w:rPr>
        <w:t>и</w:t>
      </w:r>
      <w:r w:rsidR="007A4520" w:rsidRPr="00B173EB">
        <w:rPr>
          <w:rFonts w:eastAsia="Calibri"/>
          <w:bCs/>
          <w:sz w:val="21"/>
          <w:szCs w:val="21"/>
        </w:rPr>
        <w:t xml:space="preserve"> та конструкції замка) для утримання навантаження від надлишкового тиску вибухової хвилі</w:t>
      </w:r>
      <w:r w:rsidR="007A4520">
        <w:rPr>
          <w:rFonts w:eastAsia="Calibri"/>
          <w:bCs/>
          <w:sz w:val="21"/>
          <w:szCs w:val="21"/>
        </w:rPr>
        <w:t>,</w:t>
      </w:r>
      <w:r w:rsidR="007A4520" w:rsidRPr="00B173EB">
        <w:rPr>
          <w:rFonts w:eastAsia="Calibri"/>
          <w:bCs/>
          <w:sz w:val="21"/>
          <w:szCs w:val="21"/>
        </w:rPr>
        <w:t xml:space="preserve"> що відповідає захисним властивостям ПРУ або СПП із захисними властивостями ПРУ. </w:t>
      </w:r>
    </w:p>
    <w:p w14:paraId="4EFCD46D"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Дозволяється заповн</w:t>
      </w:r>
      <w:r>
        <w:rPr>
          <w:rFonts w:eastAsia="Calibri"/>
          <w:bCs/>
          <w:sz w:val="21"/>
          <w:szCs w:val="21"/>
        </w:rPr>
        <w:t xml:space="preserve">ювати </w:t>
      </w:r>
      <w:r w:rsidRPr="00B173EB">
        <w:rPr>
          <w:rFonts w:eastAsia="Calibri"/>
          <w:bCs/>
          <w:sz w:val="21"/>
          <w:szCs w:val="21"/>
        </w:rPr>
        <w:t xml:space="preserve"> дверн</w:t>
      </w:r>
      <w:r>
        <w:rPr>
          <w:rFonts w:eastAsia="Calibri"/>
          <w:bCs/>
          <w:sz w:val="21"/>
          <w:szCs w:val="21"/>
        </w:rPr>
        <w:t>і</w:t>
      </w:r>
      <w:r w:rsidRPr="00B173EB">
        <w:rPr>
          <w:rFonts w:eastAsia="Calibri"/>
          <w:bCs/>
          <w:sz w:val="21"/>
          <w:szCs w:val="21"/>
        </w:rPr>
        <w:t xml:space="preserve"> проріз</w:t>
      </w:r>
      <w:r>
        <w:rPr>
          <w:rFonts w:eastAsia="Calibri"/>
          <w:bCs/>
          <w:sz w:val="21"/>
          <w:szCs w:val="21"/>
        </w:rPr>
        <w:t>и</w:t>
      </w:r>
      <w:r w:rsidRPr="00B173EB">
        <w:rPr>
          <w:rFonts w:eastAsia="Calibri"/>
          <w:bCs/>
          <w:sz w:val="21"/>
          <w:szCs w:val="21"/>
        </w:rPr>
        <w:t xml:space="preserve"> ПРУ або СПП із захисними властивостями ПРУ захисно-герметичними дверима.</w:t>
      </w:r>
    </w:p>
    <w:p w14:paraId="546E4738"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Захисні двері мають відповідати групі захисту ПРУ або СПП із захисними властивостями ПРУ з урахуванням коефіцієнтів входу</w:t>
      </w:r>
      <w:r>
        <w:rPr>
          <w:rFonts w:eastAsia="Calibri"/>
          <w:bCs/>
          <w:sz w:val="21"/>
          <w:szCs w:val="21"/>
        </w:rPr>
        <w:t xml:space="preserve"> (</w:t>
      </w:r>
      <w:r w:rsidRPr="00B173EB">
        <w:rPr>
          <w:rFonts w:eastAsia="Calibri"/>
          <w:bCs/>
          <w:sz w:val="21"/>
          <w:szCs w:val="21"/>
        </w:rPr>
        <w:t>таблиц</w:t>
      </w:r>
      <w:r>
        <w:rPr>
          <w:rFonts w:eastAsia="Calibri"/>
          <w:bCs/>
          <w:sz w:val="21"/>
          <w:szCs w:val="21"/>
        </w:rPr>
        <w:t>я</w:t>
      </w:r>
      <w:r w:rsidRPr="00B173EB">
        <w:rPr>
          <w:rFonts w:eastAsia="Calibri"/>
          <w:bCs/>
          <w:sz w:val="21"/>
          <w:szCs w:val="21"/>
        </w:rPr>
        <w:t xml:space="preserve"> 14.7</w:t>
      </w:r>
      <w:r>
        <w:rPr>
          <w:rFonts w:eastAsia="Calibri"/>
          <w:bCs/>
          <w:sz w:val="21"/>
          <w:szCs w:val="21"/>
        </w:rPr>
        <w:t>)</w:t>
      </w:r>
      <w:r w:rsidRPr="00B173EB">
        <w:rPr>
          <w:rFonts w:eastAsia="Calibri"/>
          <w:bCs/>
          <w:sz w:val="21"/>
          <w:szCs w:val="21"/>
        </w:rPr>
        <w:t xml:space="preserve"> та динамічності </w:t>
      </w:r>
      <w:r>
        <w:rPr>
          <w:rFonts w:eastAsia="Calibri"/>
          <w:bCs/>
          <w:sz w:val="21"/>
          <w:szCs w:val="21"/>
        </w:rPr>
        <w:t>(</w:t>
      </w:r>
      <w:r w:rsidRPr="00B173EB">
        <w:rPr>
          <w:rFonts w:eastAsia="Calibri"/>
          <w:bCs/>
          <w:sz w:val="21"/>
          <w:szCs w:val="21"/>
        </w:rPr>
        <w:t>14.1.3.7</w:t>
      </w:r>
      <w:r>
        <w:rPr>
          <w:rFonts w:eastAsia="Calibri"/>
          <w:bCs/>
          <w:sz w:val="21"/>
          <w:szCs w:val="21"/>
        </w:rPr>
        <w:t>)</w:t>
      </w:r>
      <w:r w:rsidRPr="00B173EB">
        <w:rPr>
          <w:rFonts w:eastAsia="Calibri"/>
          <w:bCs/>
          <w:sz w:val="21"/>
          <w:szCs w:val="21"/>
        </w:rPr>
        <w:t>.</w:t>
      </w:r>
    </w:p>
    <w:p w14:paraId="25AEFF38"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Мінімальне квазістатичне (еквівалентне) рівномірно-розподілене навантаження </w:t>
      </w:r>
      <w:r w:rsidRPr="00237246">
        <w:rPr>
          <w:rFonts w:ascii="Times New Roman" w:eastAsia="Calibri" w:hAnsi="Times New Roman" w:cs="Times New Roman"/>
          <w:bCs/>
          <w:sz w:val="24"/>
          <w:szCs w:val="24"/>
        </w:rPr>
        <w:t>qех,eqv,</w:t>
      </w:r>
      <w:r w:rsidRPr="00B173EB">
        <w:rPr>
          <w:rFonts w:eastAsia="Calibri"/>
          <w:bCs/>
          <w:sz w:val="21"/>
          <w:szCs w:val="21"/>
        </w:rPr>
        <w:t xml:space="preserve"> (кПа), яке повинні витримувати захисні двері</w:t>
      </w:r>
      <w:r>
        <w:rPr>
          <w:rFonts w:eastAsia="Calibri"/>
          <w:bCs/>
          <w:sz w:val="21"/>
          <w:szCs w:val="21"/>
        </w:rPr>
        <w:t>,</w:t>
      </w:r>
      <w:r w:rsidRPr="00B173EB">
        <w:rPr>
          <w:rFonts w:eastAsia="Calibri"/>
          <w:bCs/>
          <w:sz w:val="21"/>
          <w:szCs w:val="21"/>
        </w:rPr>
        <w:t xml:space="preserve"> слід визначати згідно з 14.1.3.7 цих </w:t>
      </w:r>
      <w:r>
        <w:rPr>
          <w:rFonts w:eastAsia="Calibri"/>
          <w:bCs/>
          <w:sz w:val="21"/>
          <w:szCs w:val="21"/>
        </w:rPr>
        <w:t>н</w:t>
      </w:r>
      <w:r w:rsidRPr="00B173EB">
        <w:rPr>
          <w:rFonts w:eastAsia="Calibri"/>
          <w:bCs/>
          <w:sz w:val="21"/>
          <w:szCs w:val="21"/>
        </w:rPr>
        <w:t xml:space="preserve">орм. </w:t>
      </w:r>
    </w:p>
    <w:p w14:paraId="4581D2F2" w14:textId="77777777" w:rsidR="007A4520" w:rsidRPr="00B173EB" w:rsidRDefault="007A4520" w:rsidP="007A4520">
      <w:pPr>
        <w:spacing w:before="0" w:line="288" w:lineRule="auto"/>
        <w:ind w:firstLine="709"/>
        <w:rPr>
          <w:rFonts w:eastAsia="Calibri"/>
          <w:bCs/>
          <w:sz w:val="21"/>
          <w:szCs w:val="21"/>
        </w:rPr>
      </w:pPr>
      <w:r w:rsidRPr="00001FD5">
        <w:rPr>
          <w:rFonts w:eastAsia="Calibri"/>
          <w:bCs/>
          <w:sz w:val="21"/>
          <w:szCs w:val="21"/>
        </w:rPr>
        <w:t>Захисні двері підбирають так, щоб їх параметр розрахункового навантаження</w:t>
      </w:r>
      <w:r w:rsidRPr="00B173EB">
        <w:rPr>
          <w:rFonts w:eastAsia="Calibri"/>
          <w:bCs/>
          <w:sz w:val="21"/>
          <w:szCs w:val="21"/>
        </w:rPr>
        <w:t xml:space="preserve"> дорівнював або перевищував значення </w:t>
      </w:r>
      <w:r w:rsidRPr="00237246">
        <w:rPr>
          <w:rFonts w:ascii="Times New Roman" w:eastAsia="Calibri" w:hAnsi="Times New Roman" w:cs="Times New Roman"/>
          <w:bCs/>
          <w:sz w:val="24"/>
          <w:szCs w:val="24"/>
        </w:rPr>
        <w:t>qех,eqv</w:t>
      </w:r>
      <w:r w:rsidRPr="00B173EB">
        <w:rPr>
          <w:rFonts w:eastAsia="Calibri"/>
          <w:bCs/>
          <w:sz w:val="21"/>
          <w:szCs w:val="21"/>
        </w:rPr>
        <w:t xml:space="preserve">, кПа. </w:t>
      </w:r>
    </w:p>
    <w:p w14:paraId="20867252" w14:textId="77777777" w:rsidR="007A4520" w:rsidRPr="00B173EB" w:rsidRDefault="007A4520" w:rsidP="007A4520">
      <w:pPr>
        <w:spacing w:before="0" w:line="288" w:lineRule="auto"/>
        <w:ind w:firstLine="709"/>
        <w:rPr>
          <w:rFonts w:eastAsia="Calibri"/>
          <w:bCs/>
          <w:sz w:val="21"/>
          <w:szCs w:val="21"/>
        </w:rPr>
      </w:pPr>
      <w:r w:rsidRPr="00F870FE">
        <w:rPr>
          <w:rFonts w:eastAsia="Calibri"/>
          <w:b/>
          <w:bCs/>
          <w:sz w:val="21"/>
          <w:szCs w:val="21"/>
        </w:rPr>
        <w:t>Примітка</w:t>
      </w:r>
      <w:r w:rsidRPr="00B173EB">
        <w:rPr>
          <w:rFonts w:eastAsia="Calibri"/>
          <w:bCs/>
          <w:sz w:val="21"/>
          <w:szCs w:val="21"/>
        </w:rPr>
        <w:t>. Розрахунок викону</w:t>
      </w:r>
      <w:r>
        <w:rPr>
          <w:rFonts w:eastAsia="Calibri"/>
          <w:bCs/>
          <w:sz w:val="21"/>
          <w:szCs w:val="21"/>
        </w:rPr>
        <w:t xml:space="preserve">ють </w:t>
      </w:r>
      <w:r w:rsidRPr="00B173EB">
        <w:rPr>
          <w:rFonts w:eastAsia="Calibri"/>
          <w:bCs/>
          <w:sz w:val="21"/>
          <w:szCs w:val="21"/>
        </w:rPr>
        <w:t xml:space="preserve">у такій послідовності: </w:t>
      </w:r>
    </w:p>
    <w:p w14:paraId="60DC768C"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1) за таблицею А.2 </w:t>
      </w:r>
      <w:r>
        <w:rPr>
          <w:rFonts w:eastAsia="Calibri"/>
          <w:bCs/>
          <w:sz w:val="21"/>
          <w:szCs w:val="21"/>
        </w:rPr>
        <w:t xml:space="preserve">— </w:t>
      </w:r>
      <w:r w:rsidRPr="00B173EB">
        <w:rPr>
          <w:rFonts w:eastAsia="Calibri"/>
          <w:bCs/>
          <w:sz w:val="21"/>
          <w:szCs w:val="21"/>
        </w:rPr>
        <w:t xml:space="preserve">надмірний тиск повітряної ударної хвилі </w:t>
      </w:r>
      <w:r w:rsidRPr="00064079">
        <w:rPr>
          <w:rFonts w:ascii="Times New Roman" w:eastAsia="Calibri" w:hAnsi="Times New Roman" w:cs="Times New Roman"/>
          <w:bCs/>
          <w:sz w:val="24"/>
          <w:szCs w:val="24"/>
        </w:rPr>
        <w:t>ΔРех, кПа</w:t>
      </w:r>
      <w:r w:rsidRPr="00B173EB">
        <w:rPr>
          <w:rFonts w:eastAsia="Calibri"/>
          <w:bCs/>
          <w:sz w:val="21"/>
          <w:szCs w:val="21"/>
        </w:rPr>
        <w:t xml:space="preserve">; </w:t>
      </w:r>
    </w:p>
    <w:p w14:paraId="04BCD2FF"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2) за таблицею 14.7 </w:t>
      </w:r>
      <w:r>
        <w:rPr>
          <w:rFonts w:eastAsia="Calibri"/>
          <w:bCs/>
          <w:sz w:val="21"/>
          <w:szCs w:val="21"/>
        </w:rPr>
        <w:t xml:space="preserve">— </w:t>
      </w:r>
      <w:r w:rsidRPr="00B173EB">
        <w:rPr>
          <w:rFonts w:eastAsia="Calibri"/>
          <w:bCs/>
          <w:sz w:val="21"/>
          <w:szCs w:val="21"/>
        </w:rPr>
        <w:t>коефіцієнт входу</w:t>
      </w:r>
      <w:r>
        <w:rPr>
          <w:rFonts w:eastAsia="Calibri"/>
          <w:bCs/>
          <w:sz w:val="21"/>
          <w:szCs w:val="21"/>
        </w:rPr>
        <w:t>,</w:t>
      </w:r>
      <w:r w:rsidRPr="00B173EB">
        <w:rPr>
          <w:rFonts w:eastAsia="Calibri"/>
          <w:bCs/>
          <w:sz w:val="21"/>
          <w:szCs w:val="21"/>
        </w:rPr>
        <w:t xml:space="preserve"> Кв; </w:t>
      </w:r>
    </w:p>
    <w:p w14:paraId="5AF736F5"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3) за таблицею 14.12 (остання колонка)</w:t>
      </w:r>
      <w:r>
        <w:rPr>
          <w:rFonts w:eastAsia="Calibri"/>
          <w:bCs/>
          <w:sz w:val="21"/>
          <w:szCs w:val="21"/>
        </w:rPr>
        <w:t xml:space="preserve"> — </w:t>
      </w:r>
      <w:r w:rsidRPr="00B173EB">
        <w:rPr>
          <w:rFonts w:eastAsia="Calibri"/>
          <w:bCs/>
          <w:sz w:val="21"/>
          <w:szCs w:val="21"/>
        </w:rPr>
        <w:t>коефіцієнт динамічності</w:t>
      </w:r>
      <w:r>
        <w:rPr>
          <w:rFonts w:eastAsia="Calibri"/>
          <w:bCs/>
          <w:sz w:val="21"/>
          <w:szCs w:val="21"/>
        </w:rPr>
        <w:t>,</w:t>
      </w:r>
      <w:r w:rsidRPr="00B173EB">
        <w:rPr>
          <w:rFonts w:eastAsia="Calibri"/>
          <w:bCs/>
          <w:sz w:val="21"/>
          <w:szCs w:val="21"/>
        </w:rPr>
        <w:t xml:space="preserve"> Кд; </w:t>
      </w:r>
    </w:p>
    <w:p w14:paraId="5904494B" w14:textId="77777777" w:rsidR="007A4520" w:rsidRPr="00B173EB" w:rsidRDefault="007A4520" w:rsidP="00B06E8E">
      <w:pPr>
        <w:spacing w:before="0" w:line="288" w:lineRule="auto"/>
        <w:ind w:firstLine="709"/>
        <w:rPr>
          <w:rFonts w:eastAsia="Calibri"/>
          <w:bCs/>
          <w:sz w:val="21"/>
          <w:szCs w:val="21"/>
        </w:rPr>
      </w:pPr>
      <w:r w:rsidRPr="00B173EB">
        <w:rPr>
          <w:rFonts w:eastAsia="Calibri"/>
          <w:bCs/>
          <w:sz w:val="21"/>
          <w:szCs w:val="21"/>
        </w:rPr>
        <w:t xml:space="preserve">4) за формулою </w:t>
      </w:r>
      <w:r w:rsidRPr="00064079">
        <w:rPr>
          <w:rFonts w:ascii="Times New Roman" w:eastAsia="Calibri" w:hAnsi="Times New Roman" w:cs="Times New Roman"/>
          <w:bCs/>
          <w:sz w:val="24"/>
          <w:szCs w:val="24"/>
        </w:rPr>
        <w:t>Р = Kв×ΔРех</w:t>
      </w:r>
      <w:r w:rsidRPr="00B173EB">
        <w:rPr>
          <w:rFonts w:eastAsia="Calibri"/>
          <w:bCs/>
          <w:sz w:val="21"/>
          <w:szCs w:val="21"/>
        </w:rPr>
        <w:t xml:space="preserve"> (таблиця 13.7) </w:t>
      </w:r>
      <w:r>
        <w:rPr>
          <w:rFonts w:eastAsia="Calibri"/>
          <w:bCs/>
          <w:sz w:val="21"/>
          <w:szCs w:val="21"/>
        </w:rPr>
        <w:t xml:space="preserve">— </w:t>
      </w:r>
      <w:r w:rsidRPr="00B173EB">
        <w:rPr>
          <w:rFonts w:eastAsia="Calibri"/>
          <w:bCs/>
          <w:sz w:val="21"/>
          <w:szCs w:val="21"/>
        </w:rPr>
        <w:t xml:space="preserve">значення Р, кПа; </w:t>
      </w:r>
    </w:p>
    <w:p w14:paraId="17F71FD4" w14:textId="147C987E" w:rsidR="007A4520" w:rsidRPr="00CA7C54" w:rsidRDefault="007A4520" w:rsidP="00B06E8E">
      <w:pPr>
        <w:spacing w:before="0" w:line="288" w:lineRule="auto"/>
        <w:ind w:firstLine="709"/>
        <w:contextualSpacing/>
        <w:rPr>
          <w:color w:val="000000" w:themeColor="text1"/>
          <w:sz w:val="21"/>
          <w:szCs w:val="21"/>
        </w:rPr>
      </w:pPr>
      <w:r w:rsidRPr="00B173EB">
        <w:rPr>
          <w:rFonts w:eastAsia="Calibri"/>
          <w:bCs/>
          <w:sz w:val="21"/>
          <w:szCs w:val="21"/>
        </w:rPr>
        <w:t>5) згідно з 14.1.3.7 визнач</w:t>
      </w:r>
      <w:r>
        <w:rPr>
          <w:rFonts w:eastAsia="Calibri"/>
          <w:bCs/>
          <w:sz w:val="21"/>
          <w:szCs w:val="21"/>
        </w:rPr>
        <w:t xml:space="preserve">ають </w:t>
      </w:r>
      <w:r w:rsidRPr="00064079">
        <w:rPr>
          <w:rFonts w:ascii="Times New Roman" w:eastAsia="Calibri" w:hAnsi="Times New Roman" w:cs="Times New Roman"/>
          <w:bCs/>
          <w:sz w:val="24"/>
          <w:szCs w:val="24"/>
        </w:rPr>
        <w:t>qех,eqv, кПа</w:t>
      </w:r>
      <w:r w:rsidRPr="00B173EB">
        <w:rPr>
          <w:rFonts w:eastAsia="Calibri"/>
          <w:bCs/>
          <w:sz w:val="21"/>
          <w:szCs w:val="21"/>
        </w:rPr>
        <w:t>.</w:t>
      </w:r>
    </w:p>
    <w:p w14:paraId="4D844EB7" w14:textId="77777777" w:rsidR="00B06E8E" w:rsidRDefault="001E748C" w:rsidP="00B06E8E">
      <w:pPr>
        <w:spacing w:before="0" w:line="288" w:lineRule="auto"/>
        <w:ind w:firstLine="709"/>
        <w:rPr>
          <w:rFonts w:eastAsia="Calibri"/>
          <w:bCs/>
          <w:sz w:val="21"/>
          <w:szCs w:val="21"/>
        </w:rPr>
      </w:pPr>
      <w:r w:rsidRPr="00CA7C54">
        <w:rPr>
          <w:b/>
          <w:color w:val="000000" w:themeColor="text1"/>
          <w:sz w:val="21"/>
          <w:szCs w:val="21"/>
        </w:rPr>
        <w:t>7.5.3.5</w:t>
      </w:r>
      <w:r w:rsidRPr="00CA7C54">
        <w:rPr>
          <w:color w:val="000000" w:themeColor="text1"/>
          <w:sz w:val="21"/>
          <w:szCs w:val="21"/>
        </w:rPr>
        <w:t xml:space="preserve"> </w:t>
      </w:r>
      <w:r w:rsidR="00B06E8E" w:rsidRPr="00B173EB">
        <w:rPr>
          <w:rFonts w:eastAsia="Calibri"/>
          <w:bCs/>
          <w:sz w:val="21"/>
          <w:szCs w:val="21"/>
        </w:rPr>
        <w:t xml:space="preserve">Входи в ПРУ та СПП із захисними властивостями ПРУ слід проєктувати розосередженими. Рекомендується мінімальну відстань </w:t>
      </w:r>
      <w:r w:rsidR="00B06E8E" w:rsidRPr="00AB21E2">
        <w:rPr>
          <w:rFonts w:ascii="Times New Roman" w:eastAsia="Calibri" w:hAnsi="Times New Roman" w:cs="Times New Roman"/>
          <w:bCs/>
          <w:sz w:val="21"/>
          <w:szCs w:val="21"/>
        </w:rPr>
        <w:t>L</w:t>
      </w:r>
      <w:r w:rsidR="00B06E8E" w:rsidRPr="00B173EB">
        <w:rPr>
          <w:rFonts w:eastAsia="Calibri"/>
          <w:bCs/>
          <w:sz w:val="21"/>
          <w:szCs w:val="21"/>
        </w:rPr>
        <w:t xml:space="preserve">, м, між суміжними входами до ПРУ та СПП із захисними властивостями ПРУ визначати за емпіричною формулою: </w:t>
      </w:r>
      <w:r w:rsidR="00B06E8E" w:rsidRPr="00064079">
        <w:rPr>
          <w:rFonts w:ascii="Times New Roman" w:eastAsia="Calibri" w:hAnsi="Times New Roman" w:cs="Times New Roman"/>
          <w:bCs/>
          <w:sz w:val="24"/>
          <w:szCs w:val="24"/>
        </w:rPr>
        <w:t>L=1,5√ П</w:t>
      </w:r>
      <w:r w:rsidR="00B06E8E" w:rsidRPr="00B173EB">
        <w:rPr>
          <w:rFonts w:eastAsia="Calibri"/>
          <w:bCs/>
          <w:sz w:val="21"/>
          <w:szCs w:val="21"/>
        </w:rPr>
        <w:t xml:space="preserve">, </w:t>
      </w:r>
    </w:p>
    <w:p w14:paraId="67CC9A12" w14:textId="77777777" w:rsidR="00B06E8E" w:rsidRPr="00B173EB" w:rsidRDefault="00B06E8E" w:rsidP="00B06E8E">
      <w:pPr>
        <w:spacing w:before="0" w:line="288" w:lineRule="auto"/>
        <w:rPr>
          <w:rFonts w:eastAsia="Calibri"/>
          <w:bCs/>
          <w:sz w:val="21"/>
          <w:szCs w:val="21"/>
        </w:rPr>
      </w:pPr>
      <w:r w:rsidRPr="00B173EB">
        <w:rPr>
          <w:rFonts w:eastAsia="Calibri"/>
          <w:bCs/>
          <w:sz w:val="21"/>
          <w:szCs w:val="21"/>
        </w:rPr>
        <w:t xml:space="preserve">де </w:t>
      </w:r>
      <w:r w:rsidRPr="00064079">
        <w:rPr>
          <w:rFonts w:ascii="Times New Roman" w:eastAsia="Calibri" w:hAnsi="Times New Roman" w:cs="Times New Roman"/>
          <w:bCs/>
          <w:sz w:val="24"/>
          <w:szCs w:val="24"/>
        </w:rPr>
        <w:t xml:space="preserve">П </w:t>
      </w:r>
      <w:r w:rsidRPr="00B173EB">
        <w:rPr>
          <w:rFonts w:eastAsia="Calibri"/>
          <w:bCs/>
          <w:sz w:val="21"/>
          <w:szCs w:val="21"/>
        </w:rPr>
        <w:t>– периметр, який вимірю</w:t>
      </w:r>
      <w:r>
        <w:rPr>
          <w:rFonts w:eastAsia="Calibri"/>
          <w:bCs/>
          <w:sz w:val="21"/>
          <w:szCs w:val="21"/>
        </w:rPr>
        <w:t xml:space="preserve">ють </w:t>
      </w:r>
      <w:r w:rsidRPr="00B173EB">
        <w:rPr>
          <w:rFonts w:eastAsia="Calibri"/>
          <w:bCs/>
          <w:sz w:val="21"/>
          <w:szCs w:val="21"/>
        </w:rPr>
        <w:t>по контуру захисної споруди цивільного захисту.</w:t>
      </w:r>
    </w:p>
    <w:p w14:paraId="2F3F8B58" w14:textId="77777777"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 xml:space="preserve">Входи </w:t>
      </w:r>
      <w:r>
        <w:rPr>
          <w:rFonts w:eastAsia="Calibri"/>
          <w:bCs/>
          <w:sz w:val="21"/>
          <w:szCs w:val="21"/>
        </w:rPr>
        <w:t>слід</w:t>
      </w:r>
      <w:r w:rsidRPr="00B173EB">
        <w:rPr>
          <w:rFonts w:eastAsia="Calibri"/>
          <w:bCs/>
          <w:sz w:val="21"/>
          <w:szCs w:val="21"/>
        </w:rPr>
        <w:t xml:space="preserve"> про</w:t>
      </w:r>
      <w:r>
        <w:rPr>
          <w:rFonts w:eastAsia="Calibri"/>
          <w:bCs/>
          <w:sz w:val="21"/>
          <w:szCs w:val="21"/>
        </w:rPr>
        <w:t>є</w:t>
      </w:r>
      <w:r w:rsidRPr="00B173EB">
        <w:rPr>
          <w:rFonts w:eastAsia="Calibri"/>
          <w:bCs/>
          <w:sz w:val="21"/>
          <w:szCs w:val="21"/>
        </w:rPr>
        <w:t>ктувати з урахуванням напрямку руху основних потоків до  ПРУ та СПП із захисними властивостями ПРУ.</w:t>
      </w:r>
    </w:p>
    <w:p w14:paraId="0F8ED3B5" w14:textId="77777777" w:rsidR="00B06E8E" w:rsidRPr="00811993" w:rsidRDefault="001D44F6" w:rsidP="00B06E8E">
      <w:pPr>
        <w:spacing w:before="0" w:line="288" w:lineRule="auto"/>
        <w:ind w:firstLine="709"/>
        <w:rPr>
          <w:rFonts w:eastAsia="Calibri"/>
          <w:bCs/>
          <w:sz w:val="21"/>
          <w:szCs w:val="21"/>
        </w:rPr>
      </w:pPr>
      <w:r w:rsidRPr="00CA7C54">
        <w:rPr>
          <w:b/>
          <w:color w:val="000000" w:themeColor="text1"/>
          <w:sz w:val="21"/>
          <w:szCs w:val="21"/>
        </w:rPr>
        <w:lastRenderedPageBreak/>
        <w:t>7</w:t>
      </w:r>
      <w:r w:rsidR="001E748C" w:rsidRPr="00CA7C54">
        <w:rPr>
          <w:b/>
          <w:color w:val="000000" w:themeColor="text1"/>
          <w:sz w:val="21"/>
          <w:szCs w:val="21"/>
        </w:rPr>
        <w:t>.5.3.6</w:t>
      </w:r>
      <w:r w:rsidR="001E748C" w:rsidRPr="00CA7C54">
        <w:rPr>
          <w:color w:val="000000" w:themeColor="text1"/>
          <w:sz w:val="21"/>
          <w:szCs w:val="21"/>
        </w:rPr>
        <w:t xml:space="preserve"> </w:t>
      </w:r>
      <w:r w:rsidR="00B06E8E" w:rsidRPr="00811993">
        <w:rPr>
          <w:rFonts w:eastAsia="Calibri"/>
          <w:bCs/>
          <w:sz w:val="21"/>
          <w:szCs w:val="21"/>
        </w:rPr>
        <w:t>Дверні прорізи з захисними дверима входів, евакуаційних виходів, аварійних виходів, пандусів</w:t>
      </w:r>
      <w:r w:rsidR="00B06E8E">
        <w:rPr>
          <w:rFonts w:eastAsia="Calibri"/>
          <w:bCs/>
          <w:sz w:val="21"/>
          <w:szCs w:val="21"/>
        </w:rPr>
        <w:t>,</w:t>
      </w:r>
      <w:r w:rsidR="00B06E8E" w:rsidRPr="00811993">
        <w:rPr>
          <w:rFonts w:eastAsia="Calibri"/>
          <w:bCs/>
          <w:sz w:val="21"/>
          <w:szCs w:val="21"/>
        </w:rPr>
        <w:t xml:space="preserve"> піднесених над поверхнею, що ведуть до внутрішнього захищеного об’єму ПРУ та СПП із захисними властивостями ПРУ, повинні забезпечувати необхідний захист від іонізуючого випромінювання у разі радіоактивного забруднення місцевості, дії засобів звичайного </w:t>
      </w:r>
      <w:r w:rsidR="00B06E8E" w:rsidRPr="00806CCC">
        <w:rPr>
          <w:rFonts w:eastAsia="Calibri"/>
          <w:bCs/>
          <w:sz w:val="21"/>
          <w:szCs w:val="21"/>
        </w:rPr>
        <w:t>ураження та виключати можливість їх прямого потрапляння у приміщення, які захищаються.</w:t>
      </w:r>
      <w:r w:rsidR="00B06E8E">
        <w:rPr>
          <w:rFonts w:eastAsia="Calibri"/>
          <w:bCs/>
          <w:sz w:val="21"/>
          <w:szCs w:val="21"/>
        </w:rPr>
        <w:t xml:space="preserve"> </w:t>
      </w:r>
    </w:p>
    <w:p w14:paraId="755C6F23" w14:textId="77777777" w:rsidR="00B06E8E" w:rsidRPr="00811993" w:rsidRDefault="00B06E8E" w:rsidP="00B06E8E">
      <w:pPr>
        <w:spacing w:before="0" w:line="288" w:lineRule="auto"/>
        <w:ind w:firstLine="709"/>
        <w:rPr>
          <w:rFonts w:eastAsia="Calibri"/>
          <w:bCs/>
          <w:sz w:val="21"/>
          <w:szCs w:val="21"/>
        </w:rPr>
      </w:pPr>
      <w:r w:rsidRPr="00811993">
        <w:rPr>
          <w:rFonts w:eastAsia="Calibri"/>
          <w:bCs/>
          <w:sz w:val="21"/>
          <w:szCs w:val="21"/>
        </w:rPr>
        <w:t>Для цього слід передбачати влаштування на шляхах доступу поворотів (одного або двох) під кутом 90</w:t>
      </w:r>
      <w:r w:rsidRPr="00A03C72">
        <w:rPr>
          <w:rFonts w:eastAsia="Calibri"/>
          <w:bCs/>
          <w:sz w:val="21"/>
          <w:szCs w:val="21"/>
          <w:vertAlign w:val="superscript"/>
        </w:rPr>
        <w:t>о</w:t>
      </w:r>
      <w:r w:rsidRPr="00811993">
        <w:rPr>
          <w:rFonts w:eastAsia="Calibri"/>
          <w:bCs/>
          <w:sz w:val="21"/>
          <w:szCs w:val="21"/>
        </w:rPr>
        <w:t xml:space="preserve"> або встановлення напроти дверного прорізу захисних стінок-екранів (із влаштуванням  перекриття між такими екранами і ПРУ або СПП </w:t>
      </w:r>
      <w:r>
        <w:rPr>
          <w:rFonts w:eastAsia="Calibri"/>
          <w:bCs/>
          <w:sz w:val="21"/>
          <w:szCs w:val="21"/>
        </w:rPr>
        <w:t>із захисними властивостями ПРУ).</w:t>
      </w:r>
    </w:p>
    <w:p w14:paraId="76208E3E" w14:textId="6F212D1E" w:rsidR="00B06E8E" w:rsidRPr="00811993" w:rsidRDefault="00B06E8E" w:rsidP="00B06E8E">
      <w:pPr>
        <w:spacing w:before="0" w:line="288" w:lineRule="auto"/>
        <w:ind w:firstLine="709"/>
        <w:rPr>
          <w:rFonts w:eastAsia="Calibri"/>
          <w:bCs/>
          <w:sz w:val="21"/>
          <w:szCs w:val="21"/>
        </w:rPr>
      </w:pPr>
      <w:r w:rsidRPr="00811993">
        <w:rPr>
          <w:rFonts w:eastAsia="Calibri"/>
          <w:bCs/>
          <w:sz w:val="21"/>
          <w:szCs w:val="21"/>
        </w:rPr>
        <w:t>Захисн</w:t>
      </w:r>
      <w:r>
        <w:rPr>
          <w:rFonts w:eastAsia="Calibri"/>
          <w:bCs/>
          <w:sz w:val="21"/>
          <w:szCs w:val="21"/>
        </w:rPr>
        <w:t>у</w:t>
      </w:r>
      <w:r w:rsidRPr="00811993">
        <w:rPr>
          <w:rFonts w:eastAsia="Calibri"/>
          <w:bCs/>
          <w:sz w:val="21"/>
          <w:szCs w:val="21"/>
        </w:rPr>
        <w:t xml:space="preserve"> товщин</w:t>
      </w:r>
      <w:r>
        <w:rPr>
          <w:rFonts w:eastAsia="Calibri"/>
          <w:bCs/>
          <w:sz w:val="21"/>
          <w:szCs w:val="21"/>
        </w:rPr>
        <w:t>у</w:t>
      </w:r>
      <w:r w:rsidRPr="00811993">
        <w:rPr>
          <w:rFonts w:eastAsia="Calibri"/>
          <w:bCs/>
          <w:sz w:val="21"/>
          <w:szCs w:val="21"/>
        </w:rPr>
        <w:t xml:space="preserve"> захисних стінок-екранів та перекриття прийма</w:t>
      </w:r>
      <w:r>
        <w:rPr>
          <w:rFonts w:eastAsia="Calibri"/>
          <w:bCs/>
          <w:sz w:val="21"/>
          <w:szCs w:val="21"/>
        </w:rPr>
        <w:t xml:space="preserve">ють відповідно до 14.2.3 цих норм. </w:t>
      </w:r>
    </w:p>
    <w:p w14:paraId="59FDDC87" w14:textId="77777777" w:rsidR="00B06E8E" w:rsidRDefault="00B06E8E" w:rsidP="00B06E8E">
      <w:pPr>
        <w:spacing w:before="0" w:line="288" w:lineRule="auto"/>
        <w:ind w:firstLine="709"/>
        <w:rPr>
          <w:rFonts w:eastAsia="Calibri"/>
          <w:bCs/>
          <w:sz w:val="21"/>
          <w:szCs w:val="21"/>
        </w:rPr>
      </w:pPr>
      <w:r w:rsidRPr="00811993">
        <w:rPr>
          <w:rFonts w:eastAsia="Calibri"/>
          <w:bCs/>
          <w:sz w:val="21"/>
          <w:szCs w:val="21"/>
        </w:rPr>
        <w:t>При цьому відстань між захисною стінкою-екраном та початком сходів або пандуса має бути не менше ніж 1500 мм для можливості маневрування на кріслі колісному.</w:t>
      </w:r>
    </w:p>
    <w:p w14:paraId="78316917" w14:textId="77777777" w:rsidR="00B06E8E" w:rsidRPr="00B173EB" w:rsidRDefault="001E748C" w:rsidP="00B06E8E">
      <w:pPr>
        <w:spacing w:before="0" w:line="288" w:lineRule="auto"/>
        <w:ind w:firstLine="709"/>
        <w:rPr>
          <w:rFonts w:eastAsia="Calibri"/>
          <w:bCs/>
          <w:sz w:val="21"/>
          <w:szCs w:val="21"/>
        </w:rPr>
      </w:pPr>
      <w:r w:rsidRPr="00CA7C54">
        <w:rPr>
          <w:b/>
          <w:color w:val="000000" w:themeColor="text1"/>
          <w:sz w:val="21"/>
          <w:szCs w:val="21"/>
        </w:rPr>
        <w:t>7.5.3.7</w:t>
      </w:r>
      <w:r w:rsidRPr="00CA7C54">
        <w:rPr>
          <w:color w:val="000000" w:themeColor="text1"/>
          <w:sz w:val="21"/>
          <w:szCs w:val="21"/>
        </w:rPr>
        <w:t xml:space="preserve"> </w:t>
      </w:r>
      <w:r w:rsidR="00B06E8E" w:rsidRPr="00B173EB">
        <w:rPr>
          <w:rFonts w:eastAsia="Calibri"/>
          <w:bCs/>
          <w:sz w:val="21"/>
          <w:szCs w:val="21"/>
        </w:rPr>
        <w:t>Ширин</w:t>
      </w:r>
      <w:r w:rsidR="00B06E8E">
        <w:rPr>
          <w:rFonts w:eastAsia="Calibri"/>
          <w:bCs/>
          <w:sz w:val="21"/>
          <w:szCs w:val="21"/>
        </w:rPr>
        <w:t>у</w:t>
      </w:r>
      <w:r w:rsidR="00B06E8E" w:rsidRPr="00B173EB">
        <w:rPr>
          <w:rFonts w:eastAsia="Calibri"/>
          <w:bCs/>
          <w:sz w:val="21"/>
          <w:szCs w:val="21"/>
        </w:rPr>
        <w:t xml:space="preserve"> у просвіті елементів входів до ПРУ та СПП із захисними властивостями ПРУ прийма</w:t>
      </w:r>
      <w:r w:rsidR="00B06E8E">
        <w:rPr>
          <w:rFonts w:eastAsia="Calibri"/>
          <w:bCs/>
          <w:sz w:val="21"/>
          <w:szCs w:val="21"/>
        </w:rPr>
        <w:t xml:space="preserve">ють </w:t>
      </w:r>
      <w:r w:rsidR="00B06E8E" w:rsidRPr="00B173EB">
        <w:rPr>
          <w:rFonts w:eastAsia="Calibri"/>
          <w:bCs/>
          <w:sz w:val="21"/>
          <w:szCs w:val="21"/>
        </w:rPr>
        <w:t xml:space="preserve">не менше </w:t>
      </w:r>
      <w:r w:rsidR="00B06E8E">
        <w:rPr>
          <w:rFonts w:eastAsia="Calibri"/>
          <w:bCs/>
          <w:sz w:val="21"/>
          <w:szCs w:val="21"/>
        </w:rPr>
        <w:t xml:space="preserve">ніж </w:t>
      </w:r>
      <w:r w:rsidR="00B06E8E" w:rsidRPr="00B173EB">
        <w:rPr>
          <w:rFonts w:eastAsia="Calibri"/>
          <w:bCs/>
          <w:sz w:val="21"/>
          <w:szCs w:val="21"/>
        </w:rPr>
        <w:t xml:space="preserve">(м): </w:t>
      </w:r>
    </w:p>
    <w:p w14:paraId="1A998AD3"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дверей – 0,9 м; </w:t>
      </w:r>
    </w:p>
    <w:p w14:paraId="0F6F70AF"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сходів –1,35 м з ухилом 1:2 (</w:t>
      </w:r>
      <w:r>
        <w:rPr>
          <w:rFonts w:eastAsia="Calibri"/>
          <w:bCs/>
          <w:sz w:val="21"/>
          <w:szCs w:val="21"/>
        </w:rPr>
        <w:t xml:space="preserve">у разі </w:t>
      </w:r>
      <w:r w:rsidRPr="00B173EB">
        <w:rPr>
          <w:rFonts w:eastAsia="Calibri"/>
          <w:bCs/>
          <w:sz w:val="21"/>
          <w:szCs w:val="21"/>
        </w:rPr>
        <w:t xml:space="preserve">реконструкції допускається 1:1,5); </w:t>
      </w:r>
    </w:p>
    <w:p w14:paraId="4142AD9C" w14:textId="2D881ED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пандусів – згідно з </w:t>
      </w:r>
      <w:hyperlink r:id="rId149" w:history="1">
        <w:r w:rsidRPr="00166B6D">
          <w:rPr>
            <w:rStyle w:val="ac"/>
            <w:rFonts w:eastAsia="Calibri" w:cs="Arial"/>
            <w:bCs/>
            <w:sz w:val="21"/>
            <w:szCs w:val="21"/>
          </w:rPr>
          <w:t>ДБН В.2.2-40</w:t>
        </w:r>
      </w:hyperlink>
      <w:r w:rsidRPr="00B173EB">
        <w:rPr>
          <w:rFonts w:eastAsia="Calibri"/>
          <w:bCs/>
          <w:sz w:val="21"/>
          <w:szCs w:val="21"/>
        </w:rPr>
        <w:t xml:space="preserve">; </w:t>
      </w:r>
    </w:p>
    <w:p w14:paraId="360B10D0"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підземних переходів (тунелів) – 1,5 м; </w:t>
      </w:r>
    </w:p>
    <w:p w14:paraId="6190DEEA"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підземних переходів (для закладів охорони здоров’я) – 2,0 м.</w:t>
      </w:r>
    </w:p>
    <w:p w14:paraId="50AB9A8E" w14:textId="77777777" w:rsidR="00B06E8E" w:rsidRDefault="001E748C" w:rsidP="00B06E8E">
      <w:pPr>
        <w:spacing w:before="0" w:line="288" w:lineRule="auto"/>
        <w:ind w:firstLine="709"/>
        <w:rPr>
          <w:rFonts w:eastAsia="Calibri"/>
          <w:bCs/>
          <w:sz w:val="21"/>
          <w:szCs w:val="21"/>
        </w:rPr>
      </w:pPr>
      <w:r w:rsidRPr="00CA7C54">
        <w:rPr>
          <w:b/>
          <w:color w:val="000000" w:themeColor="text1"/>
          <w:sz w:val="21"/>
          <w:szCs w:val="21"/>
        </w:rPr>
        <w:t>7.5.3.8</w:t>
      </w:r>
      <w:r w:rsidRPr="00CA7C54">
        <w:rPr>
          <w:color w:val="000000" w:themeColor="text1"/>
          <w:sz w:val="21"/>
          <w:szCs w:val="21"/>
        </w:rPr>
        <w:t xml:space="preserve"> </w:t>
      </w:r>
      <w:r w:rsidR="00B06E8E" w:rsidRPr="00B173EB">
        <w:rPr>
          <w:rFonts w:eastAsia="Calibri"/>
          <w:bCs/>
          <w:sz w:val="21"/>
          <w:szCs w:val="21"/>
        </w:rPr>
        <w:t>При входах до ПРУ слід влаштовувати водозбірні приямки.</w:t>
      </w:r>
    </w:p>
    <w:p w14:paraId="25817B28" w14:textId="2B3A0C3A" w:rsidR="00B06E8E" w:rsidRPr="00B173EB" w:rsidRDefault="001E748C" w:rsidP="00B06E8E">
      <w:pPr>
        <w:spacing w:before="0" w:line="288" w:lineRule="auto"/>
        <w:ind w:firstLine="709"/>
        <w:rPr>
          <w:rFonts w:eastAsia="Calibri"/>
          <w:bCs/>
          <w:sz w:val="21"/>
          <w:szCs w:val="21"/>
        </w:rPr>
      </w:pPr>
      <w:r w:rsidRPr="00CA7C54">
        <w:rPr>
          <w:b/>
          <w:color w:val="000000" w:themeColor="text1"/>
          <w:sz w:val="21"/>
          <w:szCs w:val="21"/>
        </w:rPr>
        <w:t>7.5.3.9</w:t>
      </w:r>
      <w:r w:rsidRPr="00CA7C54">
        <w:rPr>
          <w:color w:val="000000" w:themeColor="text1"/>
          <w:sz w:val="21"/>
          <w:szCs w:val="21"/>
        </w:rPr>
        <w:t xml:space="preserve"> </w:t>
      </w:r>
      <w:r w:rsidR="00B06E8E" w:rsidRPr="00B173EB">
        <w:rPr>
          <w:rFonts w:eastAsia="Calibri"/>
          <w:bCs/>
          <w:sz w:val="21"/>
          <w:szCs w:val="21"/>
        </w:rPr>
        <w:t xml:space="preserve">ПРУ та СПП із захисними властивостями ПРУ місткістю 16 осіб і більше повинні мати не менше одного аварійного виходу, який розташовано за межами зон можливих завалів від навколишніх будівель згідно з вимогами </w:t>
      </w:r>
      <w:hyperlink r:id="rId150" w:history="1">
        <w:r w:rsidR="00B06E8E" w:rsidRPr="00166B6D">
          <w:rPr>
            <w:rStyle w:val="ac"/>
            <w:rFonts w:eastAsia="Calibri" w:cs="Arial"/>
            <w:bCs/>
            <w:sz w:val="21"/>
            <w:szCs w:val="21"/>
          </w:rPr>
          <w:t>ДБН В.1.2-4</w:t>
        </w:r>
      </w:hyperlink>
      <w:r w:rsidR="00B06E8E" w:rsidRPr="00B173EB">
        <w:rPr>
          <w:rFonts w:eastAsia="Calibri"/>
          <w:bCs/>
          <w:sz w:val="21"/>
          <w:szCs w:val="21"/>
        </w:rPr>
        <w:t xml:space="preserve"> та з урахуванням вимог 7.5.1.18 та розділу 14 цих </w:t>
      </w:r>
      <w:r w:rsidR="00B06E8E">
        <w:rPr>
          <w:rFonts w:eastAsia="Calibri"/>
          <w:bCs/>
          <w:sz w:val="21"/>
          <w:szCs w:val="21"/>
        </w:rPr>
        <w:t>н</w:t>
      </w:r>
      <w:r w:rsidR="00B06E8E" w:rsidRPr="00B173EB">
        <w:rPr>
          <w:rFonts w:eastAsia="Calibri"/>
          <w:bCs/>
          <w:sz w:val="21"/>
          <w:szCs w:val="21"/>
        </w:rPr>
        <w:t>орм</w:t>
      </w:r>
      <w:r w:rsidR="00B06E8E">
        <w:rPr>
          <w:rFonts w:eastAsia="Calibri"/>
          <w:bCs/>
          <w:sz w:val="21"/>
          <w:szCs w:val="21"/>
        </w:rPr>
        <w:t>,</w:t>
      </w:r>
      <w:r w:rsidR="00B06E8E" w:rsidRPr="00B173EB">
        <w:rPr>
          <w:rFonts w:eastAsia="Calibri"/>
          <w:bCs/>
          <w:sz w:val="21"/>
          <w:szCs w:val="21"/>
        </w:rPr>
        <w:t xml:space="preserve"> або не менше одного аварійного виходу в межах зон можливих завалів за умови влаштування оголовка відповідно до вимог 7.5.1.19 та </w:t>
      </w:r>
      <w:r w:rsidR="00B06E8E">
        <w:rPr>
          <w:rFonts w:eastAsia="Calibri"/>
          <w:bCs/>
          <w:sz w:val="21"/>
          <w:szCs w:val="21"/>
        </w:rPr>
        <w:t>р</w:t>
      </w:r>
      <w:r w:rsidR="00B06E8E" w:rsidRPr="00B173EB">
        <w:rPr>
          <w:rFonts w:eastAsia="Calibri"/>
          <w:bCs/>
          <w:sz w:val="21"/>
          <w:szCs w:val="21"/>
        </w:rPr>
        <w:t xml:space="preserve">озділу 14 цих </w:t>
      </w:r>
      <w:r w:rsidR="00B06E8E">
        <w:rPr>
          <w:rFonts w:eastAsia="Calibri"/>
          <w:bCs/>
          <w:sz w:val="21"/>
          <w:szCs w:val="21"/>
        </w:rPr>
        <w:t>н</w:t>
      </w:r>
      <w:r w:rsidR="00B06E8E" w:rsidRPr="00B173EB">
        <w:rPr>
          <w:rFonts w:eastAsia="Calibri"/>
          <w:bCs/>
          <w:sz w:val="21"/>
          <w:szCs w:val="21"/>
        </w:rPr>
        <w:t>орм.</w:t>
      </w:r>
    </w:p>
    <w:p w14:paraId="735E814C" w14:textId="4AF208AC"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Аварійний вихід, який розташовано за межами зон можливих завалів від навколишніх будівель</w:t>
      </w:r>
      <w:r>
        <w:rPr>
          <w:rFonts w:eastAsia="Calibri"/>
          <w:bCs/>
          <w:sz w:val="21"/>
          <w:szCs w:val="21"/>
        </w:rPr>
        <w:t xml:space="preserve">, </w:t>
      </w:r>
      <w:r w:rsidRPr="00B173EB">
        <w:rPr>
          <w:rFonts w:eastAsia="Calibri"/>
          <w:bCs/>
          <w:sz w:val="21"/>
          <w:szCs w:val="21"/>
        </w:rPr>
        <w:t>слід влаштовувати у вигляді підземного або заглибленого переходу (тунелю) шириною не менше ніж 1,5 м (у просвіті без урахування поручнів) та висотою не менше</w:t>
      </w:r>
      <w:r>
        <w:rPr>
          <w:rFonts w:eastAsia="Calibri"/>
          <w:bCs/>
          <w:sz w:val="21"/>
          <w:szCs w:val="21"/>
        </w:rPr>
        <w:t xml:space="preserve"> </w:t>
      </w:r>
      <w:r w:rsidRPr="00B173EB">
        <w:rPr>
          <w:rFonts w:eastAsia="Calibri"/>
          <w:bCs/>
          <w:sz w:val="21"/>
          <w:szCs w:val="21"/>
        </w:rPr>
        <w:t>ніж 1,5</w:t>
      </w:r>
      <w:r>
        <w:rPr>
          <w:rFonts w:eastAsia="Calibri"/>
          <w:bCs/>
          <w:sz w:val="21"/>
          <w:szCs w:val="21"/>
        </w:rPr>
        <w:t xml:space="preserve"> </w:t>
      </w:r>
      <w:r w:rsidRPr="00B173EB">
        <w:rPr>
          <w:rFonts w:eastAsia="Calibri"/>
          <w:bCs/>
          <w:sz w:val="21"/>
          <w:szCs w:val="21"/>
        </w:rPr>
        <w:t>м (рекомендован</w:t>
      </w:r>
      <w:r>
        <w:rPr>
          <w:rFonts w:eastAsia="Calibri"/>
          <w:bCs/>
          <w:sz w:val="21"/>
          <w:szCs w:val="21"/>
        </w:rPr>
        <w:t>о</w:t>
      </w:r>
      <w:r w:rsidRPr="00B173EB">
        <w:rPr>
          <w:rFonts w:eastAsia="Calibri"/>
          <w:bCs/>
          <w:sz w:val="21"/>
          <w:szCs w:val="21"/>
        </w:rPr>
        <w:t xml:space="preserve"> 2,1 м). </w:t>
      </w:r>
    </w:p>
    <w:p w14:paraId="0B9343AA" w14:textId="77777777"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Дверні прорізи із ПРУ та СПП із захисними властивостями ПРУ у тунель необхідно заповнювати захисними дверима розмірами в просвіті не менше ніж 0,9</w:t>
      </w:r>
      <w:r>
        <w:rPr>
          <w:rFonts w:eastAsia="Calibri"/>
          <w:bCs/>
          <w:sz w:val="21"/>
          <w:szCs w:val="21"/>
        </w:rPr>
        <w:t xml:space="preserve"> </w:t>
      </w:r>
      <w:r w:rsidRPr="00B173EB">
        <w:rPr>
          <w:rFonts w:eastAsia="Calibri"/>
          <w:bCs/>
          <w:sz w:val="21"/>
          <w:szCs w:val="21"/>
        </w:rPr>
        <w:t>м х 2,0</w:t>
      </w:r>
      <w:r>
        <w:rPr>
          <w:rFonts w:eastAsia="Calibri"/>
          <w:bCs/>
          <w:sz w:val="21"/>
          <w:szCs w:val="21"/>
        </w:rPr>
        <w:t xml:space="preserve"> </w:t>
      </w:r>
      <w:r w:rsidRPr="00B173EB">
        <w:rPr>
          <w:rFonts w:eastAsia="Calibri"/>
          <w:bCs/>
          <w:sz w:val="21"/>
          <w:szCs w:val="21"/>
        </w:rPr>
        <w:t>м або люком розміром в просвіті не менше ніж 0,9 м х 1,4 м.</w:t>
      </w:r>
    </w:p>
    <w:p w14:paraId="2B977865" w14:textId="77777777"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 xml:space="preserve">Підземні або заглиблені переходи аварійних виходів повинні відповідати групі захисту ПРУ або СПП із захисними властивостями ПРУ, </w:t>
      </w:r>
      <w:r>
        <w:rPr>
          <w:rFonts w:eastAsia="Calibri"/>
          <w:bCs/>
          <w:sz w:val="21"/>
          <w:szCs w:val="21"/>
        </w:rPr>
        <w:t xml:space="preserve">бути </w:t>
      </w:r>
      <w:r w:rsidRPr="00B173EB">
        <w:rPr>
          <w:rFonts w:eastAsia="Calibri"/>
          <w:bCs/>
          <w:sz w:val="21"/>
          <w:szCs w:val="21"/>
        </w:rPr>
        <w:t>розрахов</w:t>
      </w:r>
      <w:r>
        <w:rPr>
          <w:rFonts w:eastAsia="Calibri"/>
          <w:bCs/>
          <w:sz w:val="21"/>
          <w:szCs w:val="21"/>
        </w:rPr>
        <w:t xml:space="preserve">ані </w:t>
      </w:r>
      <w:r w:rsidRPr="00B173EB">
        <w:rPr>
          <w:rFonts w:eastAsia="Calibri"/>
          <w:bCs/>
          <w:sz w:val="21"/>
          <w:szCs w:val="21"/>
        </w:rPr>
        <w:t xml:space="preserve">на навантаження та впливи на дію повітряної ударної хвилі відповідно вимог 14.1 цих </w:t>
      </w:r>
      <w:r>
        <w:rPr>
          <w:rFonts w:eastAsia="Calibri"/>
          <w:bCs/>
          <w:sz w:val="21"/>
          <w:szCs w:val="21"/>
        </w:rPr>
        <w:t>н</w:t>
      </w:r>
      <w:r w:rsidRPr="00B173EB">
        <w:rPr>
          <w:rFonts w:eastAsia="Calibri"/>
          <w:bCs/>
          <w:sz w:val="21"/>
          <w:szCs w:val="21"/>
        </w:rPr>
        <w:t xml:space="preserve">орм, проникнення і вторинне сколювання згідно з вимогами 14.2.3 цих </w:t>
      </w:r>
      <w:r>
        <w:rPr>
          <w:rFonts w:eastAsia="Calibri"/>
          <w:bCs/>
          <w:sz w:val="21"/>
          <w:szCs w:val="21"/>
        </w:rPr>
        <w:t>н</w:t>
      </w:r>
      <w:r w:rsidRPr="00B173EB">
        <w:rPr>
          <w:rFonts w:eastAsia="Calibri"/>
          <w:bCs/>
          <w:sz w:val="21"/>
          <w:szCs w:val="21"/>
        </w:rPr>
        <w:t>орм.</w:t>
      </w:r>
    </w:p>
    <w:p w14:paraId="6CF297E6"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У</w:t>
      </w:r>
      <w:r w:rsidRPr="00B173EB">
        <w:rPr>
          <w:rFonts w:eastAsia="Calibri"/>
          <w:bCs/>
          <w:sz w:val="21"/>
          <w:szCs w:val="21"/>
        </w:rPr>
        <w:t xml:space="preserve"> разі влаштування аварійних виходів (двох і більше) їх слід проєктувати розосередженими із забезпеченням мінімальної відстані між ними 50</w:t>
      </w:r>
      <w:r>
        <w:rPr>
          <w:rFonts w:eastAsia="Calibri"/>
          <w:bCs/>
          <w:sz w:val="21"/>
          <w:szCs w:val="21"/>
        </w:rPr>
        <w:t xml:space="preserve"> </w:t>
      </w:r>
      <w:r w:rsidRPr="00B173EB">
        <w:rPr>
          <w:rFonts w:eastAsia="Calibri"/>
          <w:bCs/>
          <w:sz w:val="21"/>
          <w:szCs w:val="21"/>
        </w:rPr>
        <w:t>м.</w:t>
      </w:r>
    </w:p>
    <w:p w14:paraId="6CC51BAC" w14:textId="77777777" w:rsidR="00B06E8E" w:rsidRPr="00B173EB" w:rsidRDefault="00B06E8E" w:rsidP="00B06E8E">
      <w:pPr>
        <w:spacing w:before="0" w:line="288" w:lineRule="auto"/>
        <w:ind w:firstLine="709"/>
        <w:rPr>
          <w:rFonts w:eastAsia="Calibri"/>
          <w:bCs/>
          <w:sz w:val="21"/>
          <w:szCs w:val="21"/>
        </w:rPr>
      </w:pPr>
      <w:r w:rsidRPr="003A1FAA">
        <w:rPr>
          <w:rFonts w:eastAsia="Calibri"/>
          <w:b/>
          <w:bCs/>
          <w:sz w:val="21"/>
          <w:szCs w:val="21"/>
        </w:rPr>
        <w:t>7.5.3.9</w:t>
      </w:r>
      <w:r w:rsidRPr="003A1FAA">
        <w:rPr>
          <w:rFonts w:eastAsia="Calibri"/>
          <w:b/>
          <w:bCs/>
          <w:sz w:val="21"/>
          <w:szCs w:val="21"/>
          <w:vertAlign w:val="superscript"/>
        </w:rPr>
        <w:t>1</w:t>
      </w:r>
      <w:r w:rsidRPr="00B173EB">
        <w:rPr>
          <w:rFonts w:eastAsia="Calibri"/>
          <w:bCs/>
          <w:sz w:val="21"/>
          <w:szCs w:val="21"/>
        </w:rPr>
        <w:t xml:space="preserve"> Для ПРУ та СПП із захисними властивостями ПРУ місткістю 16 осіб і більше допускається замість аварійного виходу влаштовувати не менше двох евакуаційних виходів (або входів, які виконують функцію евакуаційних виходів). Такі евакуаційні виходи (або входи, які виконують функцію евакуаційних виходів) повинні додатково відповідати </w:t>
      </w:r>
      <w:r>
        <w:rPr>
          <w:rFonts w:eastAsia="Calibri"/>
          <w:bCs/>
          <w:sz w:val="21"/>
          <w:szCs w:val="21"/>
        </w:rPr>
        <w:t xml:space="preserve">таким </w:t>
      </w:r>
      <w:r w:rsidRPr="00B173EB">
        <w:rPr>
          <w:rFonts w:eastAsia="Calibri"/>
          <w:bCs/>
          <w:sz w:val="21"/>
          <w:szCs w:val="21"/>
        </w:rPr>
        <w:t>вимогам:</w:t>
      </w:r>
    </w:p>
    <w:p w14:paraId="60C39130"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вести безпосередньо назовні (на вулицю);</w:t>
      </w:r>
    </w:p>
    <w:p w14:paraId="49A5DA72" w14:textId="226F4AFB"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конструктивно-планувальне рішення вхідної групи повинн</w:t>
      </w:r>
      <w:r>
        <w:rPr>
          <w:rFonts w:eastAsia="Calibri"/>
          <w:bCs/>
          <w:sz w:val="21"/>
          <w:szCs w:val="21"/>
        </w:rPr>
        <w:t>о</w:t>
      </w:r>
      <w:r w:rsidRPr="00B173EB">
        <w:rPr>
          <w:rFonts w:eastAsia="Calibri"/>
          <w:bCs/>
          <w:sz w:val="21"/>
          <w:szCs w:val="21"/>
        </w:rPr>
        <w:t xml:space="preserve"> утворювати замкнутий об’єм (приміщення) без віконних прорізів, конструкції якого (сходові клітки, пандуси, стіни, перекриття, покриття, підлоги тощо) додатково розраховують на дію навантажень</w:t>
      </w:r>
      <w:r>
        <w:rPr>
          <w:rFonts w:eastAsia="Calibri"/>
          <w:bCs/>
          <w:sz w:val="21"/>
          <w:szCs w:val="21"/>
        </w:rPr>
        <w:t>,</w:t>
      </w:r>
      <w:r w:rsidRPr="00B173EB">
        <w:rPr>
          <w:rFonts w:eastAsia="Calibri"/>
          <w:bCs/>
          <w:sz w:val="21"/>
          <w:szCs w:val="21"/>
        </w:rPr>
        <w:t xml:space="preserve"> передбачених до аварійних виходів згідно </w:t>
      </w:r>
      <w:r>
        <w:rPr>
          <w:rFonts w:eastAsia="Calibri"/>
          <w:bCs/>
          <w:sz w:val="21"/>
          <w:szCs w:val="21"/>
        </w:rPr>
        <w:t xml:space="preserve">з </w:t>
      </w:r>
      <w:r w:rsidRPr="00B173EB">
        <w:rPr>
          <w:rFonts w:eastAsia="Calibri"/>
          <w:bCs/>
          <w:sz w:val="21"/>
          <w:szCs w:val="21"/>
        </w:rPr>
        <w:t>вимог</w:t>
      </w:r>
      <w:r>
        <w:rPr>
          <w:rFonts w:eastAsia="Calibri"/>
          <w:bCs/>
          <w:sz w:val="21"/>
          <w:szCs w:val="21"/>
        </w:rPr>
        <w:t>ами</w:t>
      </w:r>
      <w:r w:rsidRPr="00B173EB">
        <w:rPr>
          <w:rFonts w:eastAsia="Calibri"/>
          <w:bCs/>
          <w:sz w:val="21"/>
          <w:szCs w:val="21"/>
        </w:rPr>
        <w:t xml:space="preserve">  14.1.2.6,  14.1.3.6, 14.1.3.7 і 14.1.3.10 та 7.5.3.6 цих </w:t>
      </w:r>
      <w:r>
        <w:rPr>
          <w:rFonts w:eastAsia="Calibri"/>
          <w:bCs/>
          <w:sz w:val="21"/>
          <w:szCs w:val="21"/>
        </w:rPr>
        <w:t>н</w:t>
      </w:r>
      <w:r w:rsidRPr="00B173EB">
        <w:rPr>
          <w:rFonts w:eastAsia="Calibri"/>
          <w:bCs/>
          <w:sz w:val="21"/>
          <w:szCs w:val="21"/>
        </w:rPr>
        <w:t xml:space="preserve">орм; </w:t>
      </w:r>
    </w:p>
    <w:p w14:paraId="7ABA127D"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дверні прорізи, що ведуть із замкнутого об’єму (приміщення) вхідної групи згідно з вимогами абзацу третього п. 7.5.3.9</w:t>
      </w:r>
      <w:r w:rsidRPr="00B173EB">
        <w:rPr>
          <w:rFonts w:eastAsia="Calibri"/>
          <w:bCs/>
          <w:sz w:val="21"/>
          <w:szCs w:val="21"/>
          <w:vertAlign w:val="superscript"/>
        </w:rPr>
        <w:t>1</w:t>
      </w:r>
      <w:r w:rsidRPr="00B173EB">
        <w:rPr>
          <w:rFonts w:eastAsia="Calibri"/>
          <w:bCs/>
          <w:sz w:val="21"/>
          <w:szCs w:val="21"/>
        </w:rPr>
        <w:t xml:space="preserve"> цих </w:t>
      </w:r>
      <w:r>
        <w:rPr>
          <w:rFonts w:eastAsia="Calibri"/>
          <w:bCs/>
          <w:sz w:val="21"/>
          <w:szCs w:val="21"/>
        </w:rPr>
        <w:t>н</w:t>
      </w:r>
      <w:r w:rsidRPr="00B173EB">
        <w:rPr>
          <w:rFonts w:eastAsia="Calibri"/>
          <w:bCs/>
          <w:sz w:val="21"/>
          <w:szCs w:val="21"/>
        </w:rPr>
        <w:t>орм назовні (на вулицю)</w:t>
      </w:r>
      <w:r>
        <w:rPr>
          <w:rFonts w:eastAsia="Calibri"/>
          <w:bCs/>
          <w:sz w:val="21"/>
          <w:szCs w:val="21"/>
        </w:rPr>
        <w:t xml:space="preserve">, слід </w:t>
      </w:r>
      <w:r w:rsidRPr="00B173EB">
        <w:rPr>
          <w:rFonts w:eastAsia="Calibri"/>
          <w:bCs/>
          <w:sz w:val="21"/>
          <w:szCs w:val="21"/>
        </w:rPr>
        <w:t xml:space="preserve">заповнювати захисними дверима відповідно до вимог 7.5.3.4 цих </w:t>
      </w:r>
      <w:r>
        <w:rPr>
          <w:rFonts w:eastAsia="Calibri"/>
          <w:bCs/>
          <w:sz w:val="21"/>
          <w:szCs w:val="21"/>
        </w:rPr>
        <w:t>н</w:t>
      </w:r>
      <w:r w:rsidRPr="00B173EB">
        <w:rPr>
          <w:rFonts w:eastAsia="Calibri"/>
          <w:bCs/>
          <w:sz w:val="21"/>
          <w:szCs w:val="21"/>
        </w:rPr>
        <w:t>орм;</w:t>
      </w:r>
    </w:p>
    <w:p w14:paraId="4F6445C3"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lastRenderedPageBreak/>
        <w:t>–</w:t>
      </w:r>
      <w:r w:rsidRPr="00B173EB">
        <w:rPr>
          <w:rFonts w:eastAsia="Calibri"/>
          <w:bCs/>
          <w:sz w:val="21"/>
          <w:szCs w:val="21"/>
        </w:rPr>
        <w:t xml:space="preserve"> </w:t>
      </w:r>
      <w:r>
        <w:rPr>
          <w:rFonts w:eastAsia="Calibri"/>
          <w:bCs/>
          <w:sz w:val="21"/>
          <w:szCs w:val="21"/>
        </w:rPr>
        <w:t xml:space="preserve">бути </w:t>
      </w:r>
      <w:r w:rsidRPr="00B173EB">
        <w:rPr>
          <w:rFonts w:eastAsia="Calibri"/>
          <w:bCs/>
          <w:sz w:val="21"/>
          <w:szCs w:val="21"/>
        </w:rPr>
        <w:t>розміщ</w:t>
      </w:r>
      <w:r>
        <w:rPr>
          <w:rFonts w:eastAsia="Calibri"/>
          <w:bCs/>
          <w:sz w:val="21"/>
          <w:szCs w:val="21"/>
        </w:rPr>
        <w:t xml:space="preserve">ені </w:t>
      </w:r>
      <w:r w:rsidRPr="00B173EB">
        <w:rPr>
          <w:rFonts w:eastAsia="Calibri"/>
          <w:bCs/>
          <w:sz w:val="21"/>
          <w:szCs w:val="21"/>
        </w:rPr>
        <w:t xml:space="preserve">на протилежних сторонах/фасадах (не допускається розміщна одній осі фасаду). </w:t>
      </w:r>
    </w:p>
    <w:p w14:paraId="54D52986" w14:textId="77777777"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Допускається для вбудованих та прибудованих ПРУ або СПП із захисними властивостями ПРУ їх</w:t>
      </w:r>
      <w:r>
        <w:rPr>
          <w:rFonts w:eastAsia="Calibri"/>
          <w:bCs/>
          <w:sz w:val="21"/>
          <w:szCs w:val="21"/>
        </w:rPr>
        <w:t>нє</w:t>
      </w:r>
      <w:r w:rsidRPr="00B173EB">
        <w:rPr>
          <w:rFonts w:eastAsia="Calibri"/>
          <w:bCs/>
          <w:sz w:val="21"/>
          <w:szCs w:val="21"/>
        </w:rPr>
        <w:t xml:space="preserve"> розміщення на одній стороні/фасаді за умови забезпечення відстані (між осями) дверних прорізів, що ведуть із такого замкнутого об’єму (приміщення) вхідної групи назовні (на вулицю) не менше 50 м.”</w:t>
      </w:r>
    </w:p>
    <w:p w14:paraId="26641E8B" w14:textId="2C00C22C" w:rsidR="003C4E04" w:rsidRPr="00F6335A" w:rsidRDefault="00B06E8E" w:rsidP="00B06E8E">
      <w:pPr>
        <w:spacing w:before="0" w:line="288" w:lineRule="auto"/>
        <w:ind w:firstLine="566"/>
        <w:contextualSpacing/>
        <w:rPr>
          <w:rFonts w:eastAsia="Times New Roman"/>
          <w:b/>
          <w:bCs/>
          <w:i/>
          <w:iCs/>
          <w:color w:val="00B050"/>
          <w:sz w:val="21"/>
          <w:szCs w:val="21"/>
        </w:rPr>
      </w:pPr>
      <w:r w:rsidRPr="00F6335A">
        <w:rPr>
          <w:rFonts w:eastAsia="Times New Roman"/>
          <w:b/>
          <w:bCs/>
          <w:i/>
          <w:iCs/>
          <w:color w:val="00B050"/>
          <w:sz w:val="21"/>
          <w:szCs w:val="21"/>
        </w:rPr>
        <w:t xml:space="preserve">( </w:t>
      </w:r>
      <w:r w:rsidR="00B86B8C">
        <w:rPr>
          <w:rFonts w:eastAsia="Times New Roman"/>
          <w:b/>
          <w:bCs/>
          <w:i/>
          <w:iCs/>
          <w:color w:val="00B050"/>
          <w:sz w:val="21"/>
          <w:szCs w:val="21"/>
        </w:rPr>
        <w:t>7.</w:t>
      </w:r>
      <w:r w:rsidRPr="00F6335A">
        <w:rPr>
          <w:rFonts w:eastAsia="Times New Roman"/>
          <w:b/>
          <w:bCs/>
          <w:i/>
          <w:iCs/>
          <w:color w:val="00B050"/>
          <w:sz w:val="21"/>
          <w:szCs w:val="21"/>
        </w:rPr>
        <w:t>5.3</w:t>
      </w:r>
      <w:r w:rsidR="0091254C">
        <w:rPr>
          <w:rFonts w:eastAsia="Times New Roman"/>
          <w:b/>
          <w:bCs/>
          <w:i/>
          <w:iCs/>
          <w:color w:val="00B050"/>
          <w:sz w:val="21"/>
          <w:szCs w:val="21"/>
        </w:rPr>
        <w:t xml:space="preserve"> підрозділу 7.5</w:t>
      </w:r>
      <w:r w:rsidRPr="00F6335A">
        <w:rPr>
          <w:rFonts w:eastAsia="Times New Roman"/>
          <w:b/>
          <w:bCs/>
          <w:i/>
          <w:iCs/>
          <w:color w:val="00B050"/>
          <w:sz w:val="21"/>
          <w:szCs w:val="21"/>
        </w:rPr>
        <w:t xml:space="preserve"> змінено, Зміна № 2)</w:t>
      </w:r>
    </w:p>
    <w:p w14:paraId="69F474A3" w14:textId="77777777" w:rsidR="003C4E04" w:rsidRPr="00CA7C54" w:rsidRDefault="001E748C" w:rsidP="0042528B">
      <w:pPr>
        <w:pStyle w:val="3"/>
        <w:spacing w:before="0" w:after="60" w:line="288" w:lineRule="auto"/>
        <w:contextualSpacing/>
        <w:rPr>
          <w:color w:val="000000" w:themeColor="text1"/>
          <w:sz w:val="21"/>
          <w:szCs w:val="21"/>
        </w:rPr>
      </w:pPr>
      <w:r w:rsidRPr="00CA7C54">
        <w:rPr>
          <w:color w:val="000000" w:themeColor="text1"/>
          <w:sz w:val="21"/>
          <w:szCs w:val="21"/>
        </w:rPr>
        <w:t xml:space="preserve">7.6 Вимоги опорядження приміщень </w:t>
      </w:r>
    </w:p>
    <w:p w14:paraId="622B8F9E"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7.6.1</w:t>
      </w:r>
      <w:r w:rsidRPr="00CA7C54">
        <w:rPr>
          <w:color w:val="000000" w:themeColor="text1"/>
          <w:sz w:val="21"/>
          <w:szCs w:val="21"/>
        </w:rPr>
        <w:t xml:space="preserve"> Всі елементи опорядження захисних споруд та СПП повинні виконуватись без застосування додаткових (окремих) каркасів кріплення.</w:t>
      </w:r>
    </w:p>
    <w:p w14:paraId="3C318AA6"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Влаштування підвісних стель – не допускається.</w:t>
      </w:r>
    </w:p>
    <w:p w14:paraId="53A0CB82"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7.6.2</w:t>
      </w:r>
      <w:r w:rsidRPr="00CA7C54">
        <w:rPr>
          <w:color w:val="000000" w:themeColor="text1"/>
          <w:sz w:val="21"/>
          <w:szCs w:val="21"/>
        </w:rPr>
        <w:t xml:space="preserve"> В захисних спорудах та СПП не допускається для опорядження евакуаційних коридорів та основних приміщень для укриття застосування скляних та керамічних матеріалів.</w:t>
      </w:r>
    </w:p>
    <w:p w14:paraId="5AAC25D3"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rPr>
        <w:t>Для оздоблення не допускається викорис</w:t>
      </w:r>
      <w:r w:rsidRPr="00CA7C54">
        <w:rPr>
          <w:color w:val="000000" w:themeColor="text1"/>
          <w:sz w:val="21"/>
          <w:szCs w:val="21"/>
          <w:highlight w:val="white"/>
        </w:rPr>
        <w:t>тання комплектів, виробів та матеріалів:</w:t>
      </w:r>
    </w:p>
    <w:p w14:paraId="1933E333"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підвісних стель та фальшпідлог;</w:t>
      </w:r>
    </w:p>
    <w:p w14:paraId="769FE34E"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облицювання скляними елементами, керамічною плиткою або іншими матеріалами, що у разі руйнування (відколювання) може створити гострі уламки.</w:t>
      </w:r>
    </w:p>
    <w:p w14:paraId="6EE027FC" w14:textId="77777777" w:rsidR="003C4E04" w:rsidRPr="00CA7C54" w:rsidRDefault="001E748C" w:rsidP="00064865">
      <w:pPr>
        <w:pBdr>
          <w:top w:val="nil"/>
          <w:left w:val="nil"/>
          <w:bottom w:val="nil"/>
          <w:right w:val="nil"/>
          <w:between w:val="nil"/>
        </w:pBdr>
        <w:spacing w:before="0" w:after="120" w:line="288" w:lineRule="auto"/>
        <w:contextualSpacing/>
        <w:rPr>
          <w:rFonts w:eastAsia="Times New Roman"/>
          <w:color w:val="000000" w:themeColor="text1"/>
          <w:sz w:val="21"/>
          <w:szCs w:val="21"/>
        </w:rPr>
      </w:pPr>
      <w:r w:rsidRPr="00CA7C54">
        <w:rPr>
          <w:color w:val="000000" w:themeColor="text1"/>
          <w:sz w:val="21"/>
          <w:szCs w:val="21"/>
        </w:rPr>
        <w:t>Внутрішнє оздоблення огороджувальних конструкцій (стін, перегородок, стелі, підлоги) СПП має також відповідати вимогам, що висуваються до об'єктів - відповідно функціонального призначення, яке не пов'язане із забезпеченням зменшення впливу на людей небезпечних чинників (факторів).</w:t>
      </w:r>
    </w:p>
    <w:p w14:paraId="286AEA1B" w14:textId="77777777" w:rsidR="003C4E04" w:rsidRPr="00CA7C54" w:rsidRDefault="001E748C" w:rsidP="00064865">
      <w:pPr>
        <w:pStyle w:val="2"/>
        <w:spacing w:before="0" w:after="0" w:line="288" w:lineRule="auto"/>
        <w:contextualSpacing/>
        <w:rPr>
          <w:rFonts w:ascii="Arial" w:hAnsi="Arial"/>
          <w:color w:val="000000" w:themeColor="text1"/>
          <w:sz w:val="21"/>
          <w:szCs w:val="21"/>
        </w:rPr>
      </w:pPr>
      <w:r w:rsidRPr="00CA7C54">
        <w:rPr>
          <w:rFonts w:ascii="Arial" w:hAnsi="Arial"/>
          <w:color w:val="000000" w:themeColor="text1"/>
          <w:sz w:val="21"/>
          <w:szCs w:val="21"/>
        </w:rPr>
        <w:t>8 ДОДАТКОВІ ВИМОГИ ДО ПРО</w:t>
      </w:r>
      <w:r w:rsidR="005F7579" w:rsidRPr="00CA7C54">
        <w:rPr>
          <w:rFonts w:ascii="Arial" w:hAnsi="Arial"/>
          <w:color w:val="000000" w:themeColor="text1"/>
          <w:sz w:val="21"/>
          <w:szCs w:val="21"/>
        </w:rPr>
        <w:t>Є</w:t>
      </w:r>
      <w:r w:rsidRPr="00CA7C54">
        <w:rPr>
          <w:rFonts w:ascii="Arial" w:hAnsi="Arial"/>
          <w:color w:val="000000" w:themeColor="text1"/>
          <w:sz w:val="21"/>
          <w:szCs w:val="21"/>
        </w:rPr>
        <w:t>КТУВАННЯ ЗАХИСНИХ СПОРУД ТА СПП У СКЛАДІ ЗАКЛАДІВ ОХОРОНИ ЗДОРОВ’Я, ЗАКЛАДІВ ОСВІТИ, ГРОМАДСЬКИХ БУДІВЕЛЬ ТА ЖИТЛОВИХ БУДИНКІВ</w:t>
      </w:r>
    </w:p>
    <w:p w14:paraId="28A3D584" w14:textId="77777777" w:rsidR="003C4E04" w:rsidRPr="00CA7C54" w:rsidRDefault="001E748C" w:rsidP="00064865">
      <w:pPr>
        <w:pStyle w:val="3"/>
        <w:spacing w:before="0" w:after="0" w:line="288" w:lineRule="auto"/>
        <w:contextualSpacing/>
        <w:rPr>
          <w:color w:val="000000" w:themeColor="text1"/>
          <w:sz w:val="21"/>
          <w:szCs w:val="21"/>
        </w:rPr>
      </w:pPr>
      <w:bookmarkStart w:id="17" w:name="_heading=h.4bvk7pj" w:colFirst="0" w:colLast="0"/>
      <w:bookmarkEnd w:id="17"/>
      <w:r w:rsidRPr="00CA7C54">
        <w:rPr>
          <w:color w:val="000000" w:themeColor="text1"/>
          <w:sz w:val="21"/>
          <w:szCs w:val="21"/>
        </w:rPr>
        <w:t xml:space="preserve">8.1 Заклади охорони здоров’я </w:t>
      </w:r>
    </w:p>
    <w:p w14:paraId="3042FC46"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8.1.1</w:t>
      </w:r>
      <w:r w:rsidRPr="00CA7C54">
        <w:rPr>
          <w:color w:val="000000" w:themeColor="text1"/>
          <w:sz w:val="21"/>
          <w:szCs w:val="21"/>
        </w:rPr>
        <w:t xml:space="preserve"> Для закладів охорони здоров’я, що надають медичну допомогу в стаціонарних умовах (далі – стаціонари),  перелік обов’язкових основних та допоміжних приміщень для сховищ, ПРУ, СПП визначається медичним заданням із розрахунку переліку приміщень, наведених у  7.2.1.2 – 7.2.1.4, 7.2.2.2 – 7.2.2.3 цих </w:t>
      </w:r>
      <w:r w:rsidR="00064865" w:rsidRPr="00CA7C54">
        <w:rPr>
          <w:color w:val="000000" w:themeColor="text1"/>
          <w:sz w:val="21"/>
          <w:szCs w:val="21"/>
        </w:rPr>
        <w:t>н</w:t>
      </w:r>
      <w:r w:rsidRPr="00CA7C54">
        <w:rPr>
          <w:color w:val="000000" w:themeColor="text1"/>
          <w:sz w:val="21"/>
          <w:szCs w:val="21"/>
        </w:rPr>
        <w:t>орм, та приміщень, необхідних для можливості забезпечення надання безперервної медичної допомоги:</w:t>
      </w:r>
    </w:p>
    <w:p w14:paraId="14D4E2AC"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1) приміщення з ліжками інтенсивної терапії (з розрахунку мінімум 50% ліжок від загальної кількості ліжок інтенсивної терапії, які розташовані в надземних поверхах закладу);</w:t>
      </w:r>
    </w:p>
    <w:p w14:paraId="4608A0C6"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2) приміщення відділення невідкладної допомоги (мінімальний перелік приміщень такий: приміщення санітарного оброблення пацієнтів, операційна, приміщення з ліжками надання невідкладної медичної допомоги пацієнтам, які не потребують інтенсивної терапії з розрахунку мінімум 1% ліжок від загальної кількості ліжок закладу);</w:t>
      </w:r>
    </w:p>
    <w:p w14:paraId="540C9FEC"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3) операційні (з розрахунку одна загальна операційна та одна операційна для пацієнтів, щодо яких встановлюються особливі заходи безпеки; за необхідності, операційна може оснащуватися двома і більше операційними столами);</w:t>
      </w:r>
    </w:p>
    <w:p w14:paraId="03601254"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4) пологова зала (за необхідності може оснащуватися двома і більше гінекологічними кріслами);</w:t>
      </w:r>
    </w:p>
    <w:p w14:paraId="17ABE215" w14:textId="77777777" w:rsidR="000B4BA3" w:rsidRDefault="001E748C" w:rsidP="00064865">
      <w:pPr>
        <w:pBdr>
          <w:top w:val="nil"/>
          <w:left w:val="nil"/>
          <w:bottom w:val="nil"/>
          <w:right w:val="nil"/>
          <w:between w:val="nil"/>
        </w:pBdr>
        <w:spacing w:before="0" w:line="288" w:lineRule="auto"/>
        <w:ind w:firstLine="566"/>
        <w:contextualSpacing/>
        <w:rPr>
          <w:color w:val="000000" w:themeColor="text1"/>
          <w:sz w:val="21"/>
          <w:szCs w:val="21"/>
        </w:rPr>
      </w:pPr>
      <w:r w:rsidRPr="00CA7C54">
        <w:rPr>
          <w:color w:val="000000" w:themeColor="text1"/>
          <w:sz w:val="21"/>
          <w:szCs w:val="21"/>
        </w:rPr>
        <w:t xml:space="preserve">5) </w:t>
      </w:r>
      <w:r w:rsidRPr="000B4BA3">
        <w:rPr>
          <w:color w:val="000000" w:themeColor="text1"/>
          <w:spacing w:val="6"/>
          <w:sz w:val="21"/>
          <w:szCs w:val="21"/>
        </w:rPr>
        <w:t>приміщення перебування пацієнтів, які потребують дотримання ліжкового режиму</w:t>
      </w:r>
    </w:p>
    <w:p w14:paraId="380CF0A2" w14:textId="77777777" w:rsidR="003C4E04" w:rsidRPr="00CA7C54" w:rsidRDefault="001E748C" w:rsidP="000B4BA3">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(з розрахунку мінімум 1% ліжок від загальної кількості ліжок закладу);</w:t>
      </w:r>
    </w:p>
    <w:p w14:paraId="637848B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6) основне приміщення для укриття персоналу; </w:t>
      </w:r>
    </w:p>
    <w:p w14:paraId="188BB5A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7) приміщення медичних газів (кисню); </w:t>
      </w:r>
    </w:p>
    <w:p w14:paraId="42C5BC70"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8) приміщення клініко-діагностичної лабораторії;</w:t>
      </w:r>
    </w:p>
    <w:p w14:paraId="36DAE191"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9) приміщення зберігання запасів обладнання, лікарських засобів та медичних виробів, в тому числі крові та її компонентів; </w:t>
      </w:r>
    </w:p>
    <w:p w14:paraId="060C3918"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10) приміщення для розігріву, прийняття їжі;</w:t>
      </w:r>
    </w:p>
    <w:p w14:paraId="1DF6F0C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11) приміщення для мам з немовлятами (для дитячих лікарень);</w:t>
      </w:r>
    </w:p>
    <w:p w14:paraId="25802929" w14:textId="41132432"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pacing w:val="8"/>
          <w:sz w:val="21"/>
          <w:szCs w:val="21"/>
        </w:rPr>
      </w:pPr>
      <w:r w:rsidRPr="00CA7C54">
        <w:rPr>
          <w:color w:val="000000" w:themeColor="text1"/>
          <w:sz w:val="21"/>
          <w:szCs w:val="21"/>
        </w:rPr>
        <w:lastRenderedPageBreak/>
        <w:t xml:space="preserve">12) </w:t>
      </w:r>
      <w:r w:rsidRPr="00CA7C54">
        <w:rPr>
          <w:color w:val="000000" w:themeColor="text1"/>
          <w:spacing w:val="8"/>
          <w:sz w:val="21"/>
          <w:szCs w:val="21"/>
        </w:rPr>
        <w:t xml:space="preserve">універсальне санітарно-гігієнічні приміщення (мінімум два) відповідно до вимог </w:t>
      </w:r>
      <w:hyperlink r:id="rId151" w:history="1">
        <w:r w:rsidRPr="004D42A6">
          <w:rPr>
            <w:rStyle w:val="ac"/>
            <w:rFonts w:cs="Arial"/>
            <w:spacing w:val="8"/>
            <w:sz w:val="21"/>
            <w:szCs w:val="21"/>
          </w:rPr>
          <w:t>ДБН В.2.2-40</w:t>
        </w:r>
      </w:hyperlink>
      <w:r w:rsidRPr="00CA7C54">
        <w:rPr>
          <w:color w:val="000000" w:themeColor="text1"/>
          <w:spacing w:val="8"/>
          <w:sz w:val="21"/>
          <w:szCs w:val="21"/>
        </w:rPr>
        <w:t>;</w:t>
      </w:r>
    </w:p>
    <w:p w14:paraId="40B7D114"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13) санітарно-гігієнічні приміщення із зоною для душу відповідно до вимог ДСП 354 (мінімум два – одне для медичних працівників та одне для пацієнтів).</w:t>
      </w:r>
    </w:p>
    <w:p w14:paraId="66DCB52B"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Рекомендується основне приміщення для укриття персоналу також розраховувати на укриття пацієнтів, які не потребують дотримання ліжкового режиму.  </w:t>
      </w:r>
    </w:p>
    <w:p w14:paraId="3C1F28B5"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захисних спорудах та СПП закладів охорони здоров’я рекомендується влаштовувати допоміжне приміщення для прийому їжі.</w:t>
      </w:r>
    </w:p>
    <w:p w14:paraId="12698BC9"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8.1.2</w:t>
      </w:r>
      <w:r w:rsidRPr="00CA7C54">
        <w:rPr>
          <w:color w:val="000000" w:themeColor="text1"/>
          <w:sz w:val="21"/>
          <w:szCs w:val="21"/>
        </w:rPr>
        <w:t xml:space="preserve"> При про</w:t>
      </w:r>
      <w:r w:rsidR="00064865" w:rsidRPr="00CA7C54">
        <w:rPr>
          <w:color w:val="000000" w:themeColor="text1"/>
          <w:sz w:val="21"/>
          <w:szCs w:val="21"/>
        </w:rPr>
        <w:t>є</w:t>
      </w:r>
      <w:r w:rsidRPr="00CA7C54">
        <w:rPr>
          <w:color w:val="000000" w:themeColor="text1"/>
          <w:sz w:val="21"/>
          <w:szCs w:val="21"/>
        </w:rPr>
        <w:t xml:space="preserve">ктуванні приміщення, наведені в 8.1.1 цих </w:t>
      </w:r>
      <w:r w:rsidR="00064865" w:rsidRPr="00CA7C54">
        <w:rPr>
          <w:color w:val="000000" w:themeColor="text1"/>
          <w:sz w:val="21"/>
          <w:szCs w:val="21"/>
        </w:rPr>
        <w:t>н</w:t>
      </w:r>
      <w:r w:rsidRPr="00CA7C54">
        <w:rPr>
          <w:color w:val="000000" w:themeColor="text1"/>
          <w:sz w:val="21"/>
          <w:szCs w:val="21"/>
        </w:rPr>
        <w:t>орм, рекомендується включати до  загального переліку приміщень для надання медичної допомоги (відповідно до медичного завдання) з метою їх постійного використання для надання медичної допомоги. </w:t>
      </w:r>
    </w:p>
    <w:p w14:paraId="7624644D"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Медичним завданням дозволяється збільшувати перелік приміщень, необхідних для надання медичної допомоги тощо.</w:t>
      </w:r>
    </w:p>
    <w:p w14:paraId="6D28C658"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8.1.3</w:t>
      </w:r>
      <w:r w:rsidRPr="00CA7C54">
        <w:rPr>
          <w:color w:val="000000" w:themeColor="text1"/>
          <w:sz w:val="21"/>
          <w:szCs w:val="21"/>
        </w:rPr>
        <w:t xml:space="preserve"> У захисних спорудах та СПП стаціонарів основне приміщення для укриття слід розділяти на зони: перебування пацієнтів, надання певних видів медичної допомоги, відпочинку персоналу тощо.</w:t>
      </w:r>
    </w:p>
    <w:p w14:paraId="504E1F38" w14:textId="0A82C5A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8.1.4</w:t>
      </w:r>
      <w:r w:rsidRPr="00CA7C54">
        <w:rPr>
          <w:color w:val="000000" w:themeColor="text1"/>
          <w:sz w:val="21"/>
          <w:szCs w:val="21"/>
        </w:rPr>
        <w:t xml:space="preserve"> Приміщення СПП закладів охорони здоров’я рекомендується про</w:t>
      </w:r>
      <w:r w:rsidR="00064865" w:rsidRPr="00CA7C54">
        <w:rPr>
          <w:color w:val="000000" w:themeColor="text1"/>
          <w:sz w:val="21"/>
          <w:szCs w:val="21"/>
        </w:rPr>
        <w:t>є</w:t>
      </w:r>
      <w:r w:rsidRPr="00CA7C54">
        <w:rPr>
          <w:color w:val="000000" w:themeColor="text1"/>
          <w:sz w:val="21"/>
          <w:szCs w:val="21"/>
        </w:rPr>
        <w:t xml:space="preserve">ктувати, виходячи з їх можливого використання, непов’язаного із укриттям – для забезпечення потреб закладу охорони здоров'я. За умови дотримання протипожежних і санітарно-гігієнічних вимог, вимог інклюзивності відповідно до </w:t>
      </w:r>
      <w:hyperlink r:id="rId152" w:history="1">
        <w:r w:rsidRPr="004D42A6">
          <w:rPr>
            <w:rStyle w:val="ac"/>
            <w:rFonts w:cs="Arial"/>
            <w:sz w:val="21"/>
            <w:szCs w:val="21"/>
          </w:rPr>
          <w:t>ДБН В.2.2-40</w:t>
        </w:r>
      </w:hyperlink>
      <w:r w:rsidRPr="00CA7C54">
        <w:rPr>
          <w:color w:val="000000" w:themeColor="text1"/>
          <w:sz w:val="21"/>
          <w:szCs w:val="21"/>
        </w:rPr>
        <w:t>, а також вимог щодо забезпечення режиму експлуатації, у таких приміщеннях  рекомендовано передбачати:</w:t>
      </w:r>
    </w:p>
    <w:p w14:paraId="60108DEB"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персоналу (для навчання, тренування, виїзних бригад); </w:t>
      </w:r>
    </w:p>
    <w:p w14:paraId="762163C2"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гардеробні;</w:t>
      </w:r>
    </w:p>
    <w:p w14:paraId="79FCFF30"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вестибюлі;</w:t>
      </w:r>
    </w:p>
    <w:p w14:paraId="79D6BC0F"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відвідувачів;</w:t>
      </w:r>
    </w:p>
    <w:p w14:paraId="3DF993BF"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передопераційні та післяопераційні приміщення тощо.</w:t>
      </w:r>
    </w:p>
    <w:p w14:paraId="2AA5C973"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b/>
          <w:color w:val="000000" w:themeColor="text1"/>
          <w:sz w:val="21"/>
          <w:szCs w:val="21"/>
        </w:rPr>
        <w:t>8.1.5</w:t>
      </w:r>
      <w:r w:rsidRPr="00CA7C54">
        <w:rPr>
          <w:color w:val="000000" w:themeColor="text1"/>
          <w:sz w:val="21"/>
          <w:szCs w:val="21"/>
        </w:rPr>
        <w:t xml:space="preserve">  При </w:t>
      </w:r>
      <w:r w:rsidRPr="00CA7C54">
        <w:rPr>
          <w:color w:val="000000" w:themeColor="text1"/>
          <w:sz w:val="21"/>
          <w:szCs w:val="21"/>
          <w:highlight w:val="white"/>
        </w:rPr>
        <w:t>про</w:t>
      </w:r>
      <w:r w:rsidR="00064865" w:rsidRPr="00CA7C54">
        <w:rPr>
          <w:color w:val="000000" w:themeColor="text1"/>
          <w:sz w:val="21"/>
          <w:szCs w:val="21"/>
          <w:highlight w:val="white"/>
        </w:rPr>
        <w:t>є</w:t>
      </w:r>
      <w:r w:rsidRPr="00CA7C54">
        <w:rPr>
          <w:color w:val="000000" w:themeColor="text1"/>
          <w:sz w:val="21"/>
          <w:szCs w:val="21"/>
          <w:highlight w:val="white"/>
        </w:rPr>
        <w:t xml:space="preserve">ктуванні сховищ, ПРУ, СПП стаціонарів, мінімальна площа приміщень, в яких проводять медичні маніпуляції (крім приміщень, зазначених 7.2.1.2 – 7.2.1.4, 7.2.2.2  – 7.2.2.3 цих </w:t>
      </w:r>
      <w:r w:rsidR="00064865" w:rsidRPr="00CA7C54">
        <w:rPr>
          <w:color w:val="000000" w:themeColor="text1"/>
          <w:sz w:val="21"/>
          <w:szCs w:val="21"/>
          <w:highlight w:val="white"/>
        </w:rPr>
        <w:t>н</w:t>
      </w:r>
      <w:r w:rsidRPr="00CA7C54">
        <w:rPr>
          <w:color w:val="000000" w:themeColor="text1"/>
          <w:sz w:val="21"/>
          <w:szCs w:val="21"/>
          <w:highlight w:val="white"/>
        </w:rPr>
        <w:t>орм) визначається медичним завданням.</w:t>
      </w:r>
    </w:p>
    <w:p w14:paraId="352E0A0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highlight w:val="white"/>
        </w:rPr>
        <w:t>8.1.6</w:t>
      </w:r>
      <w:r w:rsidRPr="00CA7C54">
        <w:rPr>
          <w:color w:val="000000" w:themeColor="text1"/>
          <w:sz w:val="21"/>
          <w:szCs w:val="21"/>
          <w:highlight w:val="white"/>
        </w:rPr>
        <w:t>  При про</w:t>
      </w:r>
      <w:r w:rsidR="00064865" w:rsidRPr="00CA7C54">
        <w:rPr>
          <w:color w:val="000000" w:themeColor="text1"/>
          <w:sz w:val="21"/>
          <w:szCs w:val="21"/>
          <w:highlight w:val="white"/>
        </w:rPr>
        <w:t>є</w:t>
      </w:r>
      <w:r w:rsidRPr="00CA7C54">
        <w:rPr>
          <w:color w:val="000000" w:themeColor="text1"/>
          <w:sz w:val="21"/>
          <w:szCs w:val="21"/>
          <w:highlight w:val="white"/>
        </w:rPr>
        <w:t>ктуванні сховищ, ПРУ, СПП закладів охорони здоров’я, що надають медичну допомогу не в стаціонарних умовах (амбулаторно-поліклінічні та інші заклади охорони здоров’я) мінімальна площа приміщень, в яких проводять медичні маніпуляції (крім приміщень, зазначених 7.2.1.2 – 7.2.1.4, 7.2.2.2 – 7.2.2.3 ци</w:t>
      </w:r>
      <w:r w:rsidRPr="00CA7C54">
        <w:rPr>
          <w:color w:val="000000" w:themeColor="text1"/>
          <w:sz w:val="21"/>
          <w:szCs w:val="21"/>
        </w:rPr>
        <w:t xml:space="preserve">х </w:t>
      </w:r>
      <w:r w:rsidR="005E0108" w:rsidRPr="00CA7C54">
        <w:rPr>
          <w:color w:val="000000" w:themeColor="text1"/>
          <w:sz w:val="21"/>
          <w:szCs w:val="21"/>
        </w:rPr>
        <w:t>н</w:t>
      </w:r>
      <w:r w:rsidRPr="00CA7C54">
        <w:rPr>
          <w:color w:val="000000" w:themeColor="text1"/>
          <w:sz w:val="21"/>
          <w:szCs w:val="21"/>
        </w:rPr>
        <w:t>орм), визначається медичним завданням.</w:t>
      </w:r>
    </w:p>
    <w:p w14:paraId="4244ADA7"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pacing w:val="-6"/>
          <w:sz w:val="21"/>
          <w:szCs w:val="21"/>
        </w:rPr>
      </w:pPr>
      <w:r w:rsidRPr="00CA7C54">
        <w:rPr>
          <w:b/>
          <w:color w:val="000000" w:themeColor="text1"/>
          <w:sz w:val="21"/>
          <w:szCs w:val="21"/>
        </w:rPr>
        <w:t>8.1.7</w:t>
      </w:r>
      <w:r w:rsidRPr="00CA7C54">
        <w:rPr>
          <w:color w:val="000000" w:themeColor="text1"/>
          <w:sz w:val="21"/>
          <w:szCs w:val="21"/>
        </w:rPr>
        <w:t xml:space="preserve"> Вимоги щодо площ та кількості санітарних приладів в санітарно-гігієнічних приміщеннях </w:t>
      </w:r>
      <w:r w:rsidRPr="00CA7C54">
        <w:rPr>
          <w:color w:val="000000" w:themeColor="text1"/>
          <w:spacing w:val="-6"/>
          <w:sz w:val="21"/>
          <w:szCs w:val="21"/>
        </w:rPr>
        <w:t>захисних споруд та СПП закладів охорони здоров’я слід приймати відповідно до  вимог ДБН В.2.2-10, але не менше</w:t>
      </w:r>
      <w:r w:rsidR="00E804BD" w:rsidRPr="00CA7C54">
        <w:rPr>
          <w:color w:val="000000" w:themeColor="text1"/>
          <w:spacing w:val="-6"/>
          <w:sz w:val="21"/>
          <w:szCs w:val="21"/>
        </w:rPr>
        <w:t xml:space="preserve"> ніж</w:t>
      </w:r>
      <w:r w:rsidRPr="00CA7C54">
        <w:rPr>
          <w:color w:val="000000" w:themeColor="text1"/>
          <w:spacing w:val="-6"/>
          <w:sz w:val="21"/>
          <w:szCs w:val="21"/>
        </w:rPr>
        <w:t>:</w:t>
      </w:r>
    </w:p>
    <w:p w14:paraId="5FC6AF1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унітаз на кожні 50 осіб в туалетах загального користування; </w:t>
      </w:r>
    </w:p>
    <w:p w14:paraId="6437F3DF"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умивальник на кожні 100 осіб;</w:t>
      </w:r>
    </w:p>
    <w:p w14:paraId="5193AF24" w14:textId="777D54C8"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відповідно до вимог </w:t>
      </w:r>
      <w:hyperlink r:id="rId153" w:history="1">
        <w:r w:rsidR="001E748C" w:rsidRPr="004D42A6">
          <w:rPr>
            <w:rStyle w:val="ac"/>
            <w:rFonts w:cs="Arial"/>
            <w:sz w:val="21"/>
            <w:szCs w:val="21"/>
          </w:rPr>
          <w:t>ДБН В.2.2-40</w:t>
        </w:r>
      </w:hyperlink>
      <w:r w:rsidR="001E748C" w:rsidRPr="00CA7C54">
        <w:rPr>
          <w:color w:val="000000" w:themeColor="text1"/>
          <w:sz w:val="21"/>
          <w:szCs w:val="21"/>
        </w:rPr>
        <w:t xml:space="preserve"> – не менше одного (для місткості захисної споруди від 600 осіб на кожні наступні 600 осіб плюс одне приміщення).</w:t>
      </w:r>
    </w:p>
    <w:p w14:paraId="29B2DEF5" w14:textId="5A7CB3C1"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8.1.8</w:t>
      </w:r>
      <w:r w:rsidRPr="00CA7C54">
        <w:rPr>
          <w:color w:val="000000" w:themeColor="text1"/>
          <w:sz w:val="21"/>
          <w:szCs w:val="21"/>
        </w:rPr>
        <w:t xml:space="preserve"> Окремо розташована захисна споруда або СПП на території стаціонару мають бути поєднані із корпусом закладу охорони здоров'я переходом з урахуванням вимог </w:t>
      </w:r>
      <w:hyperlink r:id="rId154" w:history="1">
        <w:r w:rsidRPr="004D42A6">
          <w:rPr>
            <w:rStyle w:val="ac"/>
            <w:rFonts w:cs="Arial"/>
            <w:sz w:val="21"/>
            <w:szCs w:val="21"/>
          </w:rPr>
          <w:t>ДБН В.2.2-40</w:t>
        </w:r>
      </w:hyperlink>
      <w:r w:rsidRPr="00CA7C54">
        <w:rPr>
          <w:color w:val="000000" w:themeColor="text1"/>
          <w:sz w:val="21"/>
          <w:szCs w:val="21"/>
        </w:rPr>
        <w:t xml:space="preserve"> для забезпечення можливості безпечного проїзду особи на кріслі колісному, ліжка медичного багатофункціонального на коліщатках тощо. Рекомендується такі переходи про</w:t>
      </w:r>
      <w:r w:rsidR="00DC2DD1" w:rsidRPr="00CA7C54">
        <w:rPr>
          <w:color w:val="000000" w:themeColor="text1"/>
          <w:sz w:val="21"/>
          <w:szCs w:val="21"/>
        </w:rPr>
        <w:t>є</w:t>
      </w:r>
      <w:r w:rsidRPr="00CA7C54">
        <w:rPr>
          <w:color w:val="000000" w:themeColor="text1"/>
          <w:sz w:val="21"/>
          <w:szCs w:val="21"/>
        </w:rPr>
        <w:t>ктувати опалювальними.</w:t>
      </w:r>
    </w:p>
    <w:p w14:paraId="4E201F8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З обох боків переходу необхідно розміщувати горизонтальні поручні для переміщення, на висоті від підлоги до верхньої частини поручня від 0,7 м в 0,9 м. Кріплення поручня влаштовується обов’язково знизу.</w:t>
      </w:r>
    </w:p>
    <w:p w14:paraId="4166D65C" w14:textId="072B32B2" w:rsidR="003C4E04" w:rsidRPr="00CA7C54" w:rsidRDefault="001E748C" w:rsidP="0042528B">
      <w:pPr>
        <w:pBdr>
          <w:top w:val="nil"/>
          <w:left w:val="nil"/>
          <w:bottom w:val="nil"/>
          <w:right w:val="nil"/>
          <w:between w:val="nil"/>
        </w:pBdr>
        <w:spacing w:before="0" w:after="60" w:line="288" w:lineRule="auto"/>
        <w:ind w:firstLine="566"/>
        <w:contextualSpacing/>
        <w:rPr>
          <w:rFonts w:eastAsia="Times New Roman"/>
          <w:color w:val="000000" w:themeColor="text1"/>
          <w:sz w:val="21"/>
          <w:szCs w:val="21"/>
        </w:rPr>
      </w:pPr>
      <w:r w:rsidRPr="00CA7C54">
        <w:rPr>
          <w:b/>
          <w:color w:val="000000" w:themeColor="text1"/>
          <w:sz w:val="21"/>
          <w:szCs w:val="21"/>
        </w:rPr>
        <w:lastRenderedPageBreak/>
        <w:t>8.1.9</w:t>
      </w:r>
      <w:r w:rsidRPr="00CA7C54">
        <w:rPr>
          <w:color w:val="000000" w:themeColor="text1"/>
          <w:sz w:val="21"/>
          <w:szCs w:val="21"/>
        </w:rPr>
        <w:t xml:space="preserve"> При новому будівництві та реконструкції захисних споруд та СПП закладів охорони здоров’я вимоги до висоти приміщень, ширини коридорів, внутрішніх дверей тощо мають відповідати вимогам </w:t>
      </w:r>
      <w:hyperlink r:id="rId155" w:history="1">
        <w:r w:rsidRPr="00166B6D">
          <w:rPr>
            <w:rStyle w:val="ac"/>
            <w:rFonts w:cs="Arial"/>
            <w:sz w:val="21"/>
            <w:szCs w:val="21"/>
          </w:rPr>
          <w:t>ДБН В.2.2-10</w:t>
        </w:r>
      </w:hyperlink>
      <w:r w:rsidRPr="00CA7C54">
        <w:rPr>
          <w:color w:val="000000" w:themeColor="text1"/>
          <w:sz w:val="21"/>
          <w:szCs w:val="21"/>
        </w:rPr>
        <w:t xml:space="preserve"> та ДСП 354.</w:t>
      </w:r>
    </w:p>
    <w:p w14:paraId="213A7079" w14:textId="77777777" w:rsidR="003C4E04" w:rsidRPr="00CA7C54" w:rsidRDefault="001E748C" w:rsidP="00064865">
      <w:pPr>
        <w:pStyle w:val="3"/>
        <w:spacing w:before="0" w:after="0" w:line="288" w:lineRule="auto"/>
        <w:contextualSpacing/>
        <w:rPr>
          <w:color w:val="000000" w:themeColor="text1"/>
          <w:sz w:val="21"/>
          <w:szCs w:val="21"/>
        </w:rPr>
      </w:pPr>
      <w:bookmarkStart w:id="18" w:name="_heading=h.1jlao46" w:colFirst="0" w:colLast="0"/>
      <w:bookmarkEnd w:id="18"/>
      <w:r w:rsidRPr="00CA7C54">
        <w:rPr>
          <w:color w:val="000000" w:themeColor="text1"/>
          <w:sz w:val="21"/>
          <w:szCs w:val="21"/>
        </w:rPr>
        <w:t>8.2 Заклади освіти</w:t>
      </w:r>
    </w:p>
    <w:p w14:paraId="59F99EC2" w14:textId="7FB84EF8" w:rsidR="003C4E04" w:rsidRPr="00CA7C54" w:rsidRDefault="001E748C" w:rsidP="00064865">
      <w:pPr>
        <w:spacing w:before="0" w:line="288" w:lineRule="auto"/>
        <w:ind w:firstLine="566"/>
        <w:contextualSpacing/>
        <w:rPr>
          <w:color w:val="000000" w:themeColor="text1"/>
          <w:sz w:val="21"/>
          <w:szCs w:val="21"/>
        </w:rPr>
      </w:pPr>
      <w:r w:rsidRPr="00CA7C54">
        <w:rPr>
          <w:b/>
          <w:color w:val="000000" w:themeColor="text1"/>
          <w:sz w:val="21"/>
          <w:szCs w:val="21"/>
        </w:rPr>
        <w:t>8.2.1</w:t>
      </w:r>
      <w:r w:rsidRPr="00CA7C54">
        <w:rPr>
          <w:color w:val="000000" w:themeColor="text1"/>
          <w:sz w:val="21"/>
          <w:szCs w:val="21"/>
        </w:rPr>
        <w:t xml:space="preserve">  Перелік основних та допоміжних приміщень в захисних спорудах та СПП закладів освіти, зокрема визначених  у</w:t>
      </w:r>
      <w:r w:rsidRPr="00CA7C54">
        <w:rPr>
          <w:color w:val="000000" w:themeColor="text1"/>
          <w:sz w:val="21"/>
          <w:szCs w:val="21"/>
          <w:highlight w:val="white"/>
        </w:rPr>
        <w:t xml:space="preserve"> 7.2.1.2 – 7.2.1.4, 7.2.2.2 – 7.2.2.3 ц</w:t>
      </w:r>
      <w:r w:rsidRPr="00CA7C54">
        <w:rPr>
          <w:color w:val="000000" w:themeColor="text1"/>
          <w:sz w:val="21"/>
          <w:szCs w:val="21"/>
        </w:rPr>
        <w:t xml:space="preserve">их </w:t>
      </w:r>
      <w:r w:rsidR="00DC2DD1" w:rsidRPr="00CA7C54">
        <w:rPr>
          <w:color w:val="000000" w:themeColor="text1"/>
          <w:sz w:val="21"/>
          <w:szCs w:val="21"/>
        </w:rPr>
        <w:t>н</w:t>
      </w:r>
      <w:r w:rsidRPr="00CA7C54">
        <w:rPr>
          <w:color w:val="000000" w:themeColor="text1"/>
          <w:sz w:val="21"/>
          <w:szCs w:val="21"/>
        </w:rPr>
        <w:t xml:space="preserve">орм, дозволяється </w:t>
      </w:r>
      <w:r w:rsidRPr="00CA7C54">
        <w:rPr>
          <w:color w:val="000000" w:themeColor="text1"/>
          <w:spacing w:val="-4"/>
          <w:sz w:val="21"/>
          <w:szCs w:val="21"/>
        </w:rPr>
        <w:t xml:space="preserve">доповнювати за умови дотримання протипожежних і санітарно-гігієнічних вимог, вимог </w:t>
      </w:r>
      <w:hyperlink r:id="rId156" w:history="1">
        <w:r w:rsidRPr="00166B6D">
          <w:rPr>
            <w:rStyle w:val="ac"/>
            <w:rFonts w:cs="Arial"/>
            <w:spacing w:val="-4"/>
            <w:sz w:val="21"/>
            <w:szCs w:val="21"/>
          </w:rPr>
          <w:t>ДБН В.2.2-</w:t>
        </w:r>
        <w:r w:rsidRPr="00166B6D">
          <w:rPr>
            <w:rStyle w:val="ac"/>
            <w:rFonts w:cs="Arial"/>
            <w:sz w:val="21"/>
            <w:szCs w:val="21"/>
          </w:rPr>
          <w:t>9</w:t>
        </w:r>
      </w:hyperlink>
      <w:r w:rsidRPr="00CA7C54">
        <w:rPr>
          <w:color w:val="000000" w:themeColor="text1"/>
          <w:sz w:val="21"/>
          <w:szCs w:val="21"/>
        </w:rPr>
        <w:t xml:space="preserve">, </w:t>
      </w:r>
      <w:hyperlink r:id="rId157" w:history="1">
        <w:r w:rsidRPr="00166B6D">
          <w:rPr>
            <w:rStyle w:val="ac"/>
            <w:rFonts w:cs="Arial"/>
            <w:sz w:val="21"/>
            <w:szCs w:val="21"/>
          </w:rPr>
          <w:t>ДБН В.2.2-4</w:t>
        </w:r>
      </w:hyperlink>
      <w:r w:rsidRPr="00CA7C54">
        <w:rPr>
          <w:color w:val="000000" w:themeColor="text1"/>
          <w:sz w:val="21"/>
          <w:szCs w:val="21"/>
        </w:rPr>
        <w:t xml:space="preserve">, </w:t>
      </w:r>
      <w:hyperlink r:id="rId158" w:history="1">
        <w:r w:rsidRPr="00166B6D">
          <w:rPr>
            <w:rStyle w:val="ac"/>
            <w:rFonts w:cs="Arial"/>
            <w:sz w:val="21"/>
            <w:szCs w:val="21"/>
          </w:rPr>
          <w:t>ДБН В.2.2-3</w:t>
        </w:r>
      </w:hyperlink>
      <w:r w:rsidRPr="00CA7C54">
        <w:rPr>
          <w:color w:val="000000" w:themeColor="text1"/>
          <w:sz w:val="21"/>
          <w:szCs w:val="21"/>
        </w:rPr>
        <w:t xml:space="preserve">, </w:t>
      </w:r>
      <w:hyperlink r:id="rId159" w:history="1">
        <w:r w:rsidRPr="00166B6D">
          <w:rPr>
            <w:rStyle w:val="ac"/>
            <w:rFonts w:cs="Arial"/>
            <w:sz w:val="21"/>
            <w:szCs w:val="21"/>
          </w:rPr>
          <w:t>ДБН Б.2.2-12</w:t>
        </w:r>
      </w:hyperlink>
      <w:r w:rsidRPr="00CA7C54">
        <w:rPr>
          <w:color w:val="000000" w:themeColor="text1"/>
          <w:sz w:val="21"/>
          <w:szCs w:val="21"/>
        </w:rPr>
        <w:t xml:space="preserve">, СР 234, СР 2205, ДСанПіН №144, ДСП 173 та вимог щодо інклюзивності відповідно до </w:t>
      </w:r>
      <w:hyperlink r:id="rId160" w:history="1">
        <w:r w:rsidRPr="00166B6D">
          <w:rPr>
            <w:rStyle w:val="ac"/>
            <w:rFonts w:cs="Arial"/>
            <w:sz w:val="21"/>
            <w:szCs w:val="21"/>
          </w:rPr>
          <w:t>ДБН В.2.2-40</w:t>
        </w:r>
      </w:hyperlink>
      <w:r w:rsidRPr="00CA7C54">
        <w:rPr>
          <w:color w:val="000000" w:themeColor="text1"/>
          <w:sz w:val="21"/>
          <w:szCs w:val="21"/>
        </w:rPr>
        <w:t xml:space="preserve"> (відповідно завдання на проєктування).</w:t>
      </w:r>
    </w:p>
    <w:p w14:paraId="584C5948" w14:textId="087EFB77" w:rsidR="003C4E04" w:rsidRPr="00CA7C54" w:rsidRDefault="001E748C" w:rsidP="00E804BD">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b/>
          <w:color w:val="000000" w:themeColor="text1"/>
          <w:sz w:val="21"/>
          <w:szCs w:val="21"/>
        </w:rPr>
        <w:t xml:space="preserve">8.2.2 </w:t>
      </w:r>
      <w:r w:rsidRPr="00CA7C54">
        <w:rPr>
          <w:color w:val="000000" w:themeColor="text1"/>
          <w:sz w:val="21"/>
          <w:szCs w:val="21"/>
        </w:rPr>
        <w:t xml:space="preserve">Приміщення СПП закладів освіти рекомендується проєктувати, виходячи з їх можливого використання, непов’язаного із укриттям – для забезпечення потреб закладу освіти. За умови </w:t>
      </w:r>
      <w:r w:rsidRPr="00CA7C54">
        <w:rPr>
          <w:color w:val="000000" w:themeColor="text1"/>
          <w:spacing w:val="4"/>
          <w:sz w:val="21"/>
          <w:szCs w:val="21"/>
        </w:rPr>
        <w:t xml:space="preserve">дотримання протипожежних і санітарно-гігієнічних вимог, вимог інклюзивності відповідно до </w:t>
      </w:r>
      <w:hyperlink r:id="rId161" w:history="1">
        <w:r w:rsidRPr="004D42A6">
          <w:rPr>
            <w:rStyle w:val="ac"/>
            <w:rFonts w:cs="Arial"/>
            <w:spacing w:val="4"/>
            <w:sz w:val="21"/>
            <w:szCs w:val="21"/>
          </w:rPr>
          <w:t>ДБН</w:t>
        </w:r>
        <w:r w:rsidRPr="004D42A6">
          <w:rPr>
            <w:rStyle w:val="ac"/>
            <w:rFonts w:cs="Arial"/>
            <w:sz w:val="21"/>
            <w:szCs w:val="21"/>
          </w:rPr>
          <w:t xml:space="preserve"> В.2.2-40</w:t>
        </w:r>
      </w:hyperlink>
      <w:r w:rsidRPr="00CA7C54">
        <w:rPr>
          <w:color w:val="000000" w:themeColor="text1"/>
          <w:sz w:val="21"/>
          <w:szCs w:val="21"/>
        </w:rPr>
        <w:t>, а також вимог щодо забезпечення режиму експлуатації у таких приміщення  рекомендовано передбачати приміщення</w:t>
      </w:r>
      <w:r w:rsidRPr="00CA7C54">
        <w:rPr>
          <w:color w:val="000000" w:themeColor="text1"/>
          <w:sz w:val="21"/>
          <w:szCs w:val="21"/>
          <w:highlight w:val="white"/>
        </w:rPr>
        <w:t xml:space="preserve"> відповідно вимог </w:t>
      </w:r>
      <w:hyperlink r:id="rId162" w:history="1">
        <w:r w:rsidRPr="00166B6D">
          <w:rPr>
            <w:rStyle w:val="ac"/>
            <w:rFonts w:cs="Arial"/>
            <w:sz w:val="21"/>
            <w:szCs w:val="21"/>
            <w:highlight w:val="white"/>
          </w:rPr>
          <w:t>ДБН В.2.2-9</w:t>
        </w:r>
      </w:hyperlink>
      <w:r w:rsidRPr="00CA7C54">
        <w:rPr>
          <w:color w:val="000000" w:themeColor="text1"/>
          <w:sz w:val="21"/>
          <w:szCs w:val="21"/>
          <w:highlight w:val="white"/>
        </w:rPr>
        <w:t xml:space="preserve">, </w:t>
      </w:r>
      <w:r w:rsidR="004D42A6">
        <w:rPr>
          <w:color w:val="000000" w:themeColor="text1"/>
          <w:sz w:val="21"/>
          <w:szCs w:val="21"/>
          <w:highlight w:val="white"/>
        </w:rPr>
        <w:t xml:space="preserve">                  </w:t>
      </w:r>
      <w:hyperlink r:id="rId163" w:history="1">
        <w:r w:rsidRPr="00166B6D">
          <w:rPr>
            <w:rStyle w:val="ac"/>
            <w:rFonts w:cs="Arial"/>
            <w:sz w:val="21"/>
            <w:szCs w:val="21"/>
            <w:highlight w:val="white"/>
          </w:rPr>
          <w:t>ДБН</w:t>
        </w:r>
        <w:r w:rsidRPr="00166B6D">
          <w:rPr>
            <w:rStyle w:val="ac"/>
            <w:rFonts w:cs="Arial"/>
            <w:sz w:val="21"/>
            <w:szCs w:val="21"/>
            <w:highlight w:val="white"/>
          </w:rPr>
          <w:t xml:space="preserve"> </w:t>
        </w:r>
        <w:r w:rsidRPr="00166B6D">
          <w:rPr>
            <w:rStyle w:val="ac"/>
            <w:rFonts w:cs="Arial"/>
            <w:sz w:val="21"/>
            <w:szCs w:val="21"/>
            <w:highlight w:val="white"/>
          </w:rPr>
          <w:t>В</w:t>
        </w:r>
        <w:r w:rsidRPr="00166B6D">
          <w:rPr>
            <w:rStyle w:val="ac"/>
            <w:rFonts w:cs="Arial"/>
            <w:sz w:val="21"/>
            <w:szCs w:val="21"/>
            <w:highlight w:val="white"/>
          </w:rPr>
          <w:t>.</w:t>
        </w:r>
        <w:r w:rsidRPr="00166B6D">
          <w:rPr>
            <w:rStyle w:val="ac"/>
            <w:rFonts w:cs="Arial"/>
            <w:sz w:val="21"/>
            <w:szCs w:val="21"/>
            <w:highlight w:val="white"/>
          </w:rPr>
          <w:t>2.2-</w:t>
        </w:r>
        <w:r w:rsidR="00166B6D" w:rsidRPr="00166B6D">
          <w:rPr>
            <w:rStyle w:val="ac"/>
            <w:rFonts w:cs="Arial"/>
            <w:sz w:val="21"/>
            <w:szCs w:val="21"/>
            <w:highlight w:val="white"/>
          </w:rPr>
          <w:t>3</w:t>
        </w:r>
      </w:hyperlink>
      <w:r w:rsidRPr="00CA7C54">
        <w:rPr>
          <w:color w:val="000000" w:themeColor="text1"/>
          <w:sz w:val="21"/>
          <w:szCs w:val="21"/>
          <w:highlight w:val="white"/>
        </w:rPr>
        <w:t xml:space="preserve">, </w:t>
      </w:r>
      <w:hyperlink r:id="rId164" w:history="1">
        <w:r w:rsidRPr="00166B6D">
          <w:rPr>
            <w:rStyle w:val="ac"/>
            <w:rFonts w:cs="Arial"/>
            <w:sz w:val="21"/>
            <w:szCs w:val="21"/>
            <w:highlight w:val="white"/>
          </w:rPr>
          <w:t>ДБН В.2.2-</w:t>
        </w:r>
        <w:r w:rsidR="00166B6D" w:rsidRPr="00166B6D">
          <w:rPr>
            <w:rStyle w:val="ac"/>
            <w:rFonts w:cs="Arial"/>
            <w:sz w:val="21"/>
            <w:szCs w:val="21"/>
            <w:highlight w:val="white"/>
          </w:rPr>
          <w:t>4</w:t>
        </w:r>
      </w:hyperlink>
      <w:r w:rsidRPr="00CA7C54">
        <w:rPr>
          <w:color w:val="000000" w:themeColor="text1"/>
          <w:sz w:val="21"/>
          <w:szCs w:val="21"/>
          <w:highlight w:val="white"/>
        </w:rPr>
        <w:t>.</w:t>
      </w:r>
    </w:p>
    <w:p w14:paraId="040A1313" w14:textId="77777777" w:rsidR="0062589B" w:rsidRDefault="001E748C" w:rsidP="0006486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b/>
          <w:color w:val="000000" w:themeColor="text1"/>
          <w:sz w:val="21"/>
          <w:szCs w:val="21"/>
        </w:rPr>
        <w:t>8.2.3</w:t>
      </w:r>
      <w:r w:rsidRPr="00CA7C54">
        <w:rPr>
          <w:color w:val="000000" w:themeColor="text1"/>
          <w:sz w:val="21"/>
          <w:szCs w:val="21"/>
        </w:rPr>
        <w:t xml:space="preserve"> В захисних спорудах та СПП спеціальних закладів дошкільної освіти, спеціальних закладів загальної середньої освіти та закладів дошкільної освіти, в яких утворені інклюзивні та/або спеціальні групи, площа на одного вихованця та учасника освітнього процесу визначається завданням на проєктування з урахуванням особливостей організації освітнього процесу для дітей з порушеннями слуху, зору, мовлення, поведінки, опорно-рухового апарату, інтелектуального р</w:t>
      </w:r>
      <w:r w:rsidRPr="00CA7C54">
        <w:rPr>
          <w:color w:val="000000" w:themeColor="text1"/>
          <w:sz w:val="21"/>
          <w:szCs w:val="21"/>
          <w:highlight w:val="white"/>
        </w:rPr>
        <w:t>озвитку чи затримки психічного розвитку, але не менше норм мінімальних площ, наведених у Додатку Б.</w:t>
      </w:r>
    </w:p>
    <w:p w14:paraId="0776420B"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8.2.4</w:t>
      </w:r>
      <w:r w:rsidRPr="00CA7C54">
        <w:rPr>
          <w:color w:val="000000" w:themeColor="text1"/>
          <w:sz w:val="21"/>
          <w:szCs w:val="21"/>
        </w:rPr>
        <w:t>  Рекомендується в захисних спорудах та СПП основне приміщення для укриття поділяти на окремі приміщення/блоки:</w:t>
      </w:r>
    </w:p>
    <w:p w14:paraId="5ED05724"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а) у складі закладів дошкільної освіти:  з розрахунку 60 дітей (3 групи по 20 дітей в закладах загального розвитку) або до 30 дітей в спеціальних закладах для дітей з порушеннями психофізичного розвитку (3 групи по 10 дітей);</w:t>
      </w:r>
    </w:p>
    <w:p w14:paraId="79ABF44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б) закладів загальної сере</w:t>
      </w:r>
      <w:r w:rsidRPr="00CA7C54">
        <w:rPr>
          <w:color w:val="000000" w:themeColor="text1"/>
          <w:sz w:val="21"/>
          <w:szCs w:val="21"/>
          <w:highlight w:val="white"/>
        </w:rPr>
        <w:t>дньої освіти: для учасників освітнього процесу 1-2 класів; 3-4 класів; 5-9 класів; 10-12 класів (допускається об’єднання приміщень/блоків для уча</w:t>
      </w:r>
      <w:r w:rsidRPr="00CA7C54">
        <w:rPr>
          <w:color w:val="000000" w:themeColor="text1"/>
          <w:sz w:val="21"/>
          <w:szCs w:val="21"/>
        </w:rPr>
        <w:t>сників освітнього процесу 1-4 класів та 5-12 класів); </w:t>
      </w:r>
    </w:p>
    <w:p w14:paraId="54C7B085" w14:textId="77777777" w:rsidR="000B4BA3" w:rsidRDefault="001E748C" w:rsidP="00064865">
      <w:pPr>
        <w:pBdr>
          <w:top w:val="nil"/>
          <w:left w:val="nil"/>
          <w:bottom w:val="nil"/>
          <w:right w:val="nil"/>
          <w:between w:val="nil"/>
        </w:pBdr>
        <w:spacing w:before="0" w:line="288" w:lineRule="auto"/>
        <w:ind w:firstLine="566"/>
        <w:contextualSpacing/>
        <w:rPr>
          <w:color w:val="000000" w:themeColor="text1"/>
          <w:sz w:val="21"/>
          <w:szCs w:val="21"/>
        </w:rPr>
      </w:pPr>
      <w:r w:rsidRPr="00CA7C54">
        <w:rPr>
          <w:color w:val="000000" w:themeColor="text1"/>
          <w:sz w:val="21"/>
          <w:szCs w:val="21"/>
        </w:rPr>
        <w:t xml:space="preserve">в) спеціальних закладів загальної середньої освіти: для учасників освітнього процесу: </w:t>
      </w:r>
    </w:p>
    <w:p w14:paraId="0BCBBF0D" w14:textId="77777777" w:rsidR="003C4E04" w:rsidRPr="00CA7C54" w:rsidRDefault="001E748C" w:rsidP="000B4BA3">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1-2 класів; 3-4 класів; 5-11 класів; 12-13 класів;</w:t>
      </w:r>
    </w:p>
    <w:p w14:paraId="226D1C4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г) закладів вищої, фахової передвищої, професійної (професійно-технічної) та післядипломної освіти: на окремі групи задля можливості продовження освітнього процесу (місткість таких груп визначається завданням на проєктування);</w:t>
      </w:r>
    </w:p>
    <w:p w14:paraId="4EE3BA38"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 закладів позашкільної освіти: з урахуванням вікової категорії здобувачів позашкільної освіти (учнів, вихованців, слухачів) для: 3-8 років; 8-11 років; 11-14 років; 14-18 років (допускається об’єднання приміщень/блоків для вікової категорії  здобувачів позашкільної освіти: 3-11; 11-18 років, а здобувачів позашкільної освіти віком 19 і більше років розміщувати окремо). </w:t>
      </w:r>
    </w:p>
    <w:p w14:paraId="116BE70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Місткість та спосіб розподілення приміщень/блоків основного приміщення для укриття закладів освіти визначається завданням на проєктування.</w:t>
      </w:r>
    </w:p>
    <w:p w14:paraId="738B254D"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8.2.5</w:t>
      </w:r>
      <w:r w:rsidRPr="00CA7C54">
        <w:rPr>
          <w:color w:val="000000" w:themeColor="text1"/>
          <w:sz w:val="21"/>
          <w:szCs w:val="21"/>
        </w:rPr>
        <w:t xml:space="preserve"> В захисних спорудах та СПП закладів дошкільної освіти необхідно передбачити: </w:t>
      </w:r>
    </w:p>
    <w:p w14:paraId="3C22DD6E" w14:textId="01883C98"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туалетні приміщення для дітей: із розрахунку 1 дитячий унітаз на 15 дітей із розмежуванням (перегородками) дитячих унітазів, окремо для дівчат та хлопчиків, мінімум один з яких повинен бути обладнаний відповідно до вимог </w:t>
      </w:r>
      <w:hyperlink r:id="rId165" w:history="1">
        <w:r w:rsidR="001E748C" w:rsidRPr="004D42A6">
          <w:rPr>
            <w:rStyle w:val="ac"/>
            <w:rFonts w:cs="Arial"/>
            <w:sz w:val="21"/>
            <w:szCs w:val="21"/>
          </w:rPr>
          <w:t>ДБН В.2.2-40</w:t>
        </w:r>
      </w:hyperlink>
      <w:r w:rsidR="001E748C" w:rsidRPr="00CA7C54">
        <w:rPr>
          <w:color w:val="000000" w:themeColor="text1"/>
          <w:sz w:val="21"/>
          <w:szCs w:val="21"/>
        </w:rPr>
        <w:t>; </w:t>
      </w:r>
    </w:p>
    <w:p w14:paraId="20959284" w14:textId="054C9555" w:rsidR="003C4E04" w:rsidRPr="00CA7C54" w:rsidRDefault="00DA053D" w:rsidP="00064865">
      <w:pPr>
        <w:pBdr>
          <w:top w:val="nil"/>
          <w:left w:val="nil"/>
          <w:bottom w:val="nil"/>
          <w:right w:val="nil"/>
          <w:between w:val="nil"/>
        </w:pBdr>
        <w:spacing w:before="0" w:line="288" w:lineRule="auto"/>
        <w:ind w:firstLine="566"/>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умивальники для дітей: із розрахунку 1 умивальник на 15 дітей, мінімум один з яких повинен бути понижений для можливістю користування ним дитини на кріслі колісному відповідно до вимог </w:t>
      </w:r>
      <w:hyperlink r:id="rId166" w:history="1">
        <w:r w:rsidR="001E748C" w:rsidRPr="004D42A6">
          <w:rPr>
            <w:rStyle w:val="ac"/>
            <w:rFonts w:cs="Arial"/>
            <w:sz w:val="21"/>
            <w:szCs w:val="21"/>
          </w:rPr>
          <w:t>ДБН В.2.2-40</w:t>
        </w:r>
      </w:hyperlink>
      <w:r w:rsidR="001E748C" w:rsidRPr="00CA7C54">
        <w:rPr>
          <w:color w:val="000000" w:themeColor="text1"/>
          <w:sz w:val="21"/>
          <w:szCs w:val="21"/>
        </w:rPr>
        <w:t xml:space="preserve">; </w:t>
      </w:r>
    </w:p>
    <w:p w14:paraId="2522855B" w14:textId="50877C90" w:rsidR="003C4E04" w:rsidRPr="0066405A"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pacing w:val="-4"/>
          <w:sz w:val="21"/>
          <w:szCs w:val="21"/>
        </w:rPr>
      </w:pPr>
      <w:r>
        <w:rPr>
          <w:color w:val="000000" w:themeColor="text1"/>
          <w:sz w:val="21"/>
          <w:szCs w:val="21"/>
        </w:rPr>
        <w:t xml:space="preserve">- </w:t>
      </w:r>
      <w:r w:rsidR="001E748C" w:rsidRPr="0066405A">
        <w:rPr>
          <w:color w:val="000000" w:themeColor="text1"/>
          <w:spacing w:val="-4"/>
          <w:sz w:val="21"/>
          <w:szCs w:val="21"/>
        </w:rPr>
        <w:t xml:space="preserve">універсальне санітарно-гігієнічне приміщення із зоною для душу згідно з вимог </w:t>
      </w:r>
      <w:hyperlink r:id="rId167" w:history="1">
        <w:r w:rsidR="001E748C" w:rsidRPr="004D42A6">
          <w:rPr>
            <w:rStyle w:val="ac"/>
            <w:rFonts w:cs="Arial"/>
            <w:spacing w:val="-4"/>
            <w:sz w:val="21"/>
            <w:szCs w:val="21"/>
          </w:rPr>
          <w:t>ДБН В.2.2-40</w:t>
        </w:r>
      </w:hyperlink>
      <w:r w:rsidR="001E748C" w:rsidRPr="0066405A">
        <w:rPr>
          <w:color w:val="000000" w:themeColor="text1"/>
          <w:spacing w:val="-4"/>
          <w:sz w:val="21"/>
          <w:szCs w:val="21"/>
        </w:rPr>
        <w:t xml:space="preserve"> із розрахунку 1 приміщення на 40 осіб (дорослих), але не менше одного; </w:t>
      </w:r>
    </w:p>
    <w:p w14:paraId="3862BEC3"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туалетні приміщення для дорослих: із розрахунку 1 кабінка з унітазом на 20 осіб. </w:t>
      </w:r>
    </w:p>
    <w:p w14:paraId="3F3D1C5A" w14:textId="7A2989A8"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lastRenderedPageBreak/>
        <w:t xml:space="preserve">За умови кількості персоналу до 20 осіб, допускається влаштування мінімум одного </w:t>
      </w:r>
      <w:r w:rsidRPr="00CA7C54">
        <w:rPr>
          <w:color w:val="000000" w:themeColor="text1"/>
          <w:spacing w:val="-4"/>
          <w:sz w:val="21"/>
          <w:szCs w:val="21"/>
        </w:rPr>
        <w:t xml:space="preserve">універсального санітарно-гігієнічного приміщення із зоною для душу згідно з вимогами </w:t>
      </w:r>
      <w:hyperlink r:id="rId168" w:history="1">
        <w:r w:rsidRPr="004D42A6">
          <w:rPr>
            <w:rStyle w:val="ac"/>
            <w:rFonts w:cs="Arial"/>
            <w:spacing w:val="-4"/>
            <w:sz w:val="21"/>
            <w:szCs w:val="21"/>
          </w:rPr>
          <w:t>ДБН В.2.2-40</w:t>
        </w:r>
      </w:hyperlink>
      <w:r w:rsidRPr="00CA7C54">
        <w:rPr>
          <w:color w:val="000000" w:themeColor="text1"/>
          <w:spacing w:val="-4"/>
          <w:sz w:val="21"/>
          <w:szCs w:val="21"/>
        </w:rPr>
        <w:t>.</w:t>
      </w:r>
      <w:r w:rsidRPr="00CA7C54">
        <w:rPr>
          <w:color w:val="000000" w:themeColor="text1"/>
          <w:sz w:val="21"/>
          <w:szCs w:val="21"/>
        </w:rPr>
        <w:t> </w:t>
      </w:r>
    </w:p>
    <w:p w14:paraId="2675768C"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умовах реконструкції, за наявності конструктивних обмежень та за відповідним обґрунтуванням, завданням на проєктування дозволяється зменшувати кількість: </w:t>
      </w:r>
    </w:p>
    <w:p w14:paraId="0351A823" w14:textId="77777777" w:rsidR="003C4E04" w:rsidRPr="00CA7C54" w:rsidRDefault="00DA053D" w:rsidP="00DA053D">
      <w:pPr>
        <w:pBdr>
          <w:top w:val="nil"/>
          <w:left w:val="nil"/>
          <w:bottom w:val="nil"/>
          <w:right w:val="nil"/>
          <w:between w:val="nil"/>
        </w:pBdr>
        <w:spacing w:before="0" w:line="288" w:lineRule="auto"/>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туалетних приміщень для дітей: із розрахунку не менше 1 дитячий унітаз на 30 дітей із розмежуванням (перегородками) дитячих унітазів, окремо для дівчат та хлопчиків; </w:t>
      </w:r>
    </w:p>
    <w:p w14:paraId="6EAC00EE"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не менше 1 умивальник на 30 дітей; </w:t>
      </w:r>
    </w:p>
    <w:p w14:paraId="57ACAFD6" w14:textId="77777777" w:rsidR="003C4E04" w:rsidRPr="00DA053D"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pacing w:val="-4"/>
          <w:sz w:val="21"/>
          <w:szCs w:val="21"/>
        </w:rPr>
      </w:pPr>
      <w:r>
        <w:rPr>
          <w:color w:val="000000" w:themeColor="text1"/>
          <w:sz w:val="21"/>
          <w:szCs w:val="21"/>
        </w:rPr>
        <w:t xml:space="preserve">- </w:t>
      </w:r>
      <w:r w:rsidR="001E748C" w:rsidRPr="00DA053D">
        <w:rPr>
          <w:color w:val="000000" w:themeColor="text1"/>
          <w:spacing w:val="-4"/>
          <w:sz w:val="21"/>
          <w:szCs w:val="21"/>
        </w:rPr>
        <w:t>туалетних приміщень для дорослих: із розрахунку не менше ніж 1 кабінка з унітазом на 40 осіб; </w:t>
      </w:r>
    </w:p>
    <w:p w14:paraId="16E27B96" w14:textId="63135498"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універсальних санітарно-гігієнічного приміщення із зоною для душу, але не менше   одного, обладнаного згідно з вимогами </w:t>
      </w:r>
      <w:hyperlink r:id="rId169" w:history="1">
        <w:r w:rsidR="001E748C" w:rsidRPr="004D42A6">
          <w:rPr>
            <w:rStyle w:val="ac"/>
            <w:rFonts w:cs="Arial"/>
            <w:sz w:val="21"/>
            <w:szCs w:val="21"/>
          </w:rPr>
          <w:t>ДБН В.2.2-40.</w:t>
        </w:r>
      </w:hyperlink>
    </w:p>
    <w:p w14:paraId="09ABF0F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8.2.6</w:t>
      </w:r>
      <w:r w:rsidRPr="00CA7C54">
        <w:rPr>
          <w:color w:val="000000" w:themeColor="text1"/>
          <w:sz w:val="21"/>
          <w:szCs w:val="21"/>
        </w:rPr>
        <w:t xml:space="preserve"> В захисних спорудах та СПП закладів загальної середньої освіти необхідно передбачити: </w:t>
      </w:r>
    </w:p>
    <w:p w14:paraId="2448653D"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туалетні приміщення для дітей: із розрахунку 1 кабінка з унітазом на 30 дітей, окремо для дівчат та хлопчиків; </w:t>
      </w:r>
    </w:p>
    <w:p w14:paraId="0860946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1 умивальник на 60 дітей; </w:t>
      </w:r>
    </w:p>
    <w:p w14:paraId="7C29F294"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туалетні приміщення для дорослих: із розрахунку 1 кабінка з унітазом на 20 осіб (дорослих); </w:t>
      </w:r>
    </w:p>
    <w:p w14:paraId="704C1CB0" w14:textId="62F6945E"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із зоною для душу, обладнане відповідно до вимог </w:t>
      </w:r>
      <w:hyperlink r:id="rId170" w:history="1">
        <w:r w:rsidR="001E748C" w:rsidRPr="004D42A6">
          <w:rPr>
            <w:rStyle w:val="ac"/>
            <w:rFonts w:cs="Arial"/>
            <w:sz w:val="21"/>
            <w:szCs w:val="21"/>
          </w:rPr>
          <w:t>ДБН В.2.2-40</w:t>
        </w:r>
      </w:hyperlink>
      <w:r w:rsidR="001E748C" w:rsidRPr="00CA7C54">
        <w:rPr>
          <w:color w:val="000000" w:themeColor="text1"/>
          <w:sz w:val="21"/>
          <w:szCs w:val="21"/>
        </w:rPr>
        <w:t>: мінімум одне. </w:t>
      </w:r>
    </w:p>
    <w:p w14:paraId="32F56EC5"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умовах реконструкції, за наявності конструктивних обмежень та за відповідним обґрунтуванням, завданням на проєктування дозволяється зменшувати кількість: </w:t>
      </w:r>
    </w:p>
    <w:p w14:paraId="0CA74586"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туалетних приміщень для дітей: із розрахунку не менше ніж 1 кабінка з унітазом на 60 дітей; </w:t>
      </w:r>
    </w:p>
    <w:p w14:paraId="0822E3E0"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не менше ніж 1 умивальник на 100 дітей; </w:t>
      </w:r>
    </w:p>
    <w:p w14:paraId="3D8CB2B6"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pacing w:val="-4"/>
          <w:sz w:val="21"/>
          <w:szCs w:val="21"/>
        </w:rPr>
      </w:pPr>
      <w:r>
        <w:rPr>
          <w:color w:val="000000" w:themeColor="text1"/>
          <w:spacing w:val="-4"/>
          <w:sz w:val="21"/>
          <w:szCs w:val="21"/>
        </w:rPr>
        <w:t xml:space="preserve">- </w:t>
      </w:r>
      <w:r w:rsidR="001E748C" w:rsidRPr="00CA7C54">
        <w:rPr>
          <w:color w:val="000000" w:themeColor="text1"/>
          <w:spacing w:val="-4"/>
          <w:sz w:val="21"/>
          <w:szCs w:val="21"/>
        </w:rPr>
        <w:t>туалетних приміщень для дорослих: із розрахунку не менше ніж 1 кабінка з унітазом на 40 осіб, </w:t>
      </w:r>
    </w:p>
    <w:p w14:paraId="59B0BBA5" w14:textId="45968206"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універсальних санітарно-гігієнічного приміщення із зоною для душу – не менше</w:t>
      </w:r>
      <w:r w:rsidR="00DC2DD1" w:rsidRPr="00CA7C54">
        <w:rPr>
          <w:color w:val="000000" w:themeColor="text1"/>
          <w:sz w:val="21"/>
          <w:szCs w:val="21"/>
        </w:rPr>
        <w:t xml:space="preserve"> ніж </w:t>
      </w:r>
      <w:r w:rsidR="001E748C" w:rsidRPr="00CA7C54">
        <w:rPr>
          <w:color w:val="000000" w:themeColor="text1"/>
          <w:sz w:val="21"/>
          <w:szCs w:val="21"/>
        </w:rPr>
        <w:t xml:space="preserve"> одного, обладнаного згідно з вимогами </w:t>
      </w:r>
      <w:hyperlink r:id="rId171" w:history="1">
        <w:r w:rsidR="001E748C" w:rsidRPr="004D42A6">
          <w:rPr>
            <w:rStyle w:val="ac"/>
            <w:rFonts w:cs="Arial"/>
            <w:sz w:val="21"/>
            <w:szCs w:val="21"/>
          </w:rPr>
          <w:t>ДБН В.2.2-40</w:t>
        </w:r>
      </w:hyperlink>
      <w:r w:rsidR="001E748C" w:rsidRPr="00CA7C54">
        <w:rPr>
          <w:color w:val="000000" w:themeColor="text1"/>
          <w:sz w:val="21"/>
          <w:szCs w:val="21"/>
        </w:rPr>
        <w:t>.</w:t>
      </w:r>
    </w:p>
    <w:p w14:paraId="6C1B8660"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8.2.7</w:t>
      </w:r>
      <w:r w:rsidRPr="00CA7C54">
        <w:rPr>
          <w:color w:val="000000" w:themeColor="text1"/>
          <w:sz w:val="21"/>
          <w:szCs w:val="21"/>
        </w:rPr>
        <w:t xml:space="preserve"> В захисних спорудах та СПП у складі закладів вищої, фахової передвищої, професійної (професійно-технічної) та післядипломної освіти необхідно передбачити: </w:t>
      </w:r>
    </w:p>
    <w:p w14:paraId="76FEFE1E"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туалетні приміщення для учнів, студентів та дорослих: із розрахунку 1 кабінка з унітазом на 50 осіб, окремо для жінок та чоловіків; </w:t>
      </w:r>
    </w:p>
    <w:p w14:paraId="2F67BECF"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учнів, студентів та дорослих: із розрахунку 1 умивальник на 80 осіб; </w:t>
      </w:r>
    </w:p>
    <w:p w14:paraId="3A0FD30E" w14:textId="363D8359"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із зоною для душу, обладнане відповідно до вимог </w:t>
      </w:r>
      <w:hyperlink r:id="rId172" w:history="1">
        <w:r w:rsidR="001E748C" w:rsidRPr="004D42A6">
          <w:rPr>
            <w:rStyle w:val="ac"/>
            <w:rFonts w:cs="Arial"/>
            <w:sz w:val="21"/>
            <w:szCs w:val="21"/>
          </w:rPr>
          <w:t>ДБН В.2.2-40</w:t>
        </w:r>
      </w:hyperlink>
      <w:r w:rsidR="001E748C" w:rsidRPr="00CA7C54">
        <w:rPr>
          <w:color w:val="000000" w:themeColor="text1"/>
          <w:sz w:val="21"/>
          <w:szCs w:val="21"/>
        </w:rPr>
        <w:t>: із розрахунку одне на 200 осіб, але не менше одного. </w:t>
      </w:r>
    </w:p>
    <w:p w14:paraId="0C20A159"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умовах реконструкції, за наявності конструктивних обмежень та за відповідним обґрунтуванням, завданням на проєктування дозволяється зменшувати кількість: </w:t>
      </w:r>
    </w:p>
    <w:p w14:paraId="5ADA7DF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туалетних приміщень для учнів, студентів та дорослих: із розрахунку 1 кабінка з унітазом на 100 осіб, окремо (для жінок та чоловіків); </w:t>
      </w:r>
    </w:p>
    <w:p w14:paraId="0B1F5423"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умивальників для учнів, студентів та дорослих: із розрахунку 1 умивальник на 100 осіб; </w:t>
      </w:r>
    </w:p>
    <w:p w14:paraId="4BEB694D" w14:textId="4B17DF26"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універсальних санітарно-гігієнічного приміщення із зоною для душу – не менше одного, обладнаного згідно з вимогами </w:t>
      </w:r>
      <w:hyperlink r:id="rId173" w:history="1">
        <w:r w:rsidR="001E748C" w:rsidRPr="004D42A6">
          <w:rPr>
            <w:rStyle w:val="ac"/>
            <w:rFonts w:cs="Arial"/>
            <w:sz w:val="21"/>
            <w:szCs w:val="21"/>
          </w:rPr>
          <w:t>ДБН В.2.2-40</w:t>
        </w:r>
      </w:hyperlink>
      <w:r w:rsidR="001E748C" w:rsidRPr="00CA7C54">
        <w:rPr>
          <w:color w:val="000000" w:themeColor="text1"/>
          <w:sz w:val="21"/>
          <w:szCs w:val="21"/>
        </w:rPr>
        <w:t>.</w:t>
      </w:r>
    </w:p>
    <w:p w14:paraId="21339DB8"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8.2.8</w:t>
      </w:r>
      <w:r w:rsidRPr="00CA7C54">
        <w:rPr>
          <w:color w:val="000000" w:themeColor="text1"/>
          <w:sz w:val="21"/>
          <w:szCs w:val="21"/>
        </w:rPr>
        <w:t xml:space="preserve"> В захисних спорудах та СПП у складі закладів позашкільної освіти необхідно передбачити:</w:t>
      </w:r>
    </w:p>
    <w:p w14:paraId="5436612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кабінки для дітей: із розрахунку 1 кабінка на 30 дітей, окремо для дівчат та хлопчиків;</w:t>
      </w:r>
    </w:p>
    <w:p w14:paraId="4539EFAE"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1 умивальник на 60 дітей;</w:t>
      </w:r>
    </w:p>
    <w:p w14:paraId="5AACD03C"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 для дорослих: із розрахунку 1 унітаз на 20 осіб  персоналу;</w:t>
      </w:r>
    </w:p>
    <w:p w14:paraId="32BD6876" w14:textId="7AB770C9"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із зоною для душу, обладнане відповідно до вимог </w:t>
      </w:r>
      <w:hyperlink r:id="rId174" w:history="1">
        <w:r w:rsidR="001E748C" w:rsidRPr="004D42A6">
          <w:rPr>
            <w:rStyle w:val="ac"/>
            <w:rFonts w:cs="Arial"/>
            <w:sz w:val="21"/>
            <w:szCs w:val="21"/>
          </w:rPr>
          <w:t>ДБН В.2.2-40</w:t>
        </w:r>
      </w:hyperlink>
      <w:r w:rsidR="001E748C" w:rsidRPr="00CA7C54">
        <w:rPr>
          <w:color w:val="000000" w:themeColor="text1"/>
          <w:sz w:val="21"/>
          <w:szCs w:val="21"/>
        </w:rPr>
        <w:t>: мінімум одне. </w:t>
      </w:r>
    </w:p>
    <w:p w14:paraId="275D4877"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lastRenderedPageBreak/>
        <w:t>В умовах реконструкції, за наявності конструктивних обмежень та за відповідним обґрунтуванням, завданням на проєктування дозволяється зменшувати кількість:</w:t>
      </w:r>
    </w:p>
    <w:p w14:paraId="40B1CFA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туалетів для дітей: із розрахунку не менше ніж 1 унітаз на 60 дітей;</w:t>
      </w:r>
    </w:p>
    <w:p w14:paraId="00780C05"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не менше ніж 1 умивальник на 90 дітей; </w:t>
      </w:r>
    </w:p>
    <w:p w14:paraId="1871C0D5"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туалетів для дорослих: із розрахунку не менше ніж 1 унітаз на 40 осіб персоналу, </w:t>
      </w:r>
    </w:p>
    <w:p w14:paraId="5EFF7AE1" w14:textId="79C98C3B" w:rsidR="003C4E04" w:rsidRPr="00CA7C54" w:rsidRDefault="001E748C" w:rsidP="0042528B">
      <w:pPr>
        <w:pBdr>
          <w:top w:val="nil"/>
          <w:left w:val="nil"/>
          <w:bottom w:val="nil"/>
          <w:right w:val="nil"/>
          <w:between w:val="nil"/>
        </w:pBdr>
        <w:spacing w:before="0" w:after="60" w:line="288" w:lineRule="auto"/>
        <w:ind w:firstLine="0"/>
        <w:contextualSpacing/>
        <w:rPr>
          <w:rFonts w:eastAsia="Times New Roman"/>
          <w:color w:val="000000" w:themeColor="text1"/>
          <w:sz w:val="21"/>
          <w:szCs w:val="21"/>
        </w:rPr>
      </w:pPr>
      <w:r w:rsidRPr="00CA7C54">
        <w:rPr>
          <w:color w:val="000000" w:themeColor="text1"/>
          <w:sz w:val="21"/>
          <w:szCs w:val="21"/>
        </w:rPr>
        <w:t xml:space="preserve">універсальних санітарно-гігієнічного приміщення із зоною для душу – не менше одного, обладнаного згідно з вимогами </w:t>
      </w:r>
      <w:hyperlink r:id="rId175" w:history="1">
        <w:r w:rsidRPr="004D42A6">
          <w:rPr>
            <w:rStyle w:val="ac"/>
            <w:rFonts w:cs="Arial"/>
            <w:sz w:val="21"/>
            <w:szCs w:val="21"/>
          </w:rPr>
          <w:t>ДБН В.2.2-40</w:t>
        </w:r>
      </w:hyperlink>
      <w:r w:rsidRPr="00CA7C54">
        <w:rPr>
          <w:color w:val="000000" w:themeColor="text1"/>
          <w:sz w:val="21"/>
          <w:szCs w:val="21"/>
        </w:rPr>
        <w:t>.</w:t>
      </w:r>
    </w:p>
    <w:p w14:paraId="0A19E45E" w14:textId="77777777" w:rsidR="003C4E04" w:rsidRPr="00CA7C54" w:rsidRDefault="001E748C" w:rsidP="00064865">
      <w:pPr>
        <w:pStyle w:val="3"/>
        <w:spacing w:before="0" w:after="0" w:line="288" w:lineRule="auto"/>
        <w:contextualSpacing/>
        <w:rPr>
          <w:color w:val="000000" w:themeColor="text1"/>
          <w:sz w:val="21"/>
          <w:szCs w:val="21"/>
        </w:rPr>
      </w:pPr>
      <w:r w:rsidRPr="00CA7C54">
        <w:rPr>
          <w:color w:val="000000" w:themeColor="text1"/>
          <w:sz w:val="21"/>
          <w:szCs w:val="21"/>
        </w:rPr>
        <w:t>8.3 Громадські будівлі та житлові будинки</w:t>
      </w:r>
    </w:p>
    <w:p w14:paraId="1E5AA50B" w14:textId="4925D6C3"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b/>
          <w:color w:val="000000" w:themeColor="text1"/>
          <w:sz w:val="21"/>
          <w:szCs w:val="21"/>
        </w:rPr>
        <w:t>8.3.1</w:t>
      </w:r>
      <w:r w:rsidRPr="00CA7C54">
        <w:rPr>
          <w:color w:val="000000" w:themeColor="text1"/>
          <w:sz w:val="21"/>
          <w:szCs w:val="21"/>
        </w:rPr>
        <w:t xml:space="preserve"> Захисні споруд</w:t>
      </w:r>
      <w:r w:rsidRPr="00CA7C54">
        <w:rPr>
          <w:color w:val="000000" w:themeColor="text1"/>
          <w:sz w:val="21"/>
          <w:szCs w:val="21"/>
          <w:highlight w:val="white"/>
        </w:rPr>
        <w:t xml:space="preserve">и та СПП інших громадських будівель та житлових будинків проєктують з урахуванням забезпечення їх доступності для людей з інвалідністю та інших маломобільних груп населення відповідно до вимог цих норм та </w:t>
      </w:r>
      <w:hyperlink r:id="rId176" w:history="1">
        <w:r w:rsidRPr="004D42A6">
          <w:rPr>
            <w:rStyle w:val="ac"/>
            <w:rFonts w:cs="Arial"/>
            <w:sz w:val="21"/>
            <w:szCs w:val="21"/>
            <w:highlight w:val="white"/>
          </w:rPr>
          <w:t>ДБН В.2.2-40</w:t>
        </w:r>
      </w:hyperlink>
      <w:r w:rsidRPr="00CA7C54">
        <w:rPr>
          <w:color w:val="000000" w:themeColor="text1"/>
          <w:sz w:val="21"/>
          <w:szCs w:val="21"/>
          <w:highlight w:val="white"/>
        </w:rPr>
        <w:t>.</w:t>
      </w:r>
    </w:p>
    <w:p w14:paraId="167A67F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8.3.2</w:t>
      </w:r>
      <w:r w:rsidRPr="00CA7C54">
        <w:rPr>
          <w:color w:val="000000" w:themeColor="text1"/>
          <w:sz w:val="21"/>
          <w:szCs w:val="21"/>
        </w:rPr>
        <w:t xml:space="preserve"> Кількість санітарно-гігієнічних приміщень в захисних спорудах та СПП інших громадських будівель та житлових будинків визначається завданням на проєктування з урахуванням функціонування приміщень в мирний час та відповідно до  вимог будівельних норм за видами будівель і споруд, але не менше ніж:</w:t>
      </w:r>
    </w:p>
    <w:p w14:paraId="70F462AC" w14:textId="77777777" w:rsidR="003C4E04" w:rsidRPr="00CA7C54" w:rsidRDefault="00E55C21"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унітаз на кожні 50 осіб – для жінок;</w:t>
      </w:r>
    </w:p>
    <w:p w14:paraId="6A7A53CC" w14:textId="77777777" w:rsidR="003C4E04" w:rsidRPr="00CA7C54" w:rsidRDefault="00E55C21"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унітаз та один пісуар на кожні 100 осіб – для чоловіків;</w:t>
      </w:r>
    </w:p>
    <w:p w14:paraId="71EDA7ED" w14:textId="77777777" w:rsidR="003C4E04" w:rsidRPr="00CA7C54" w:rsidRDefault="00E55C21"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умивальник на кожні 100 осіб;</w:t>
      </w:r>
    </w:p>
    <w:p w14:paraId="455021BD" w14:textId="51635C16" w:rsidR="003C4E04" w:rsidRPr="00CA7C54" w:rsidRDefault="00E55C21"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відповідно до вимог </w:t>
      </w:r>
      <w:hyperlink r:id="rId177" w:history="1">
        <w:r w:rsidR="001E748C" w:rsidRPr="004D42A6">
          <w:rPr>
            <w:rStyle w:val="ac"/>
            <w:rFonts w:cs="Arial"/>
            <w:sz w:val="21"/>
            <w:szCs w:val="21"/>
          </w:rPr>
          <w:t>ДБН В.2.2-40</w:t>
        </w:r>
      </w:hyperlink>
      <w:r w:rsidR="001E748C" w:rsidRPr="00CA7C54">
        <w:rPr>
          <w:color w:val="000000" w:themeColor="text1"/>
          <w:sz w:val="21"/>
          <w:szCs w:val="21"/>
        </w:rPr>
        <w:t xml:space="preserve"> – не менше одного (для місткості захисної споруди від 200 осіб на кожні наступні 200 осіб плюс одне приміщення).</w:t>
      </w:r>
    </w:p>
    <w:p w14:paraId="2E2B2634" w14:textId="77777777" w:rsidR="003C4E04" w:rsidRPr="00CA7C54" w:rsidRDefault="001E748C" w:rsidP="00143CA2">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8.3.3</w:t>
      </w:r>
      <w:r w:rsidRPr="00CA7C54">
        <w:rPr>
          <w:color w:val="000000" w:themeColor="text1"/>
          <w:sz w:val="21"/>
          <w:szCs w:val="21"/>
        </w:rPr>
        <w:t xml:space="preserve"> Приміщення в захисних спорудах та СПП інших громадських будівель та житлових будинків, у тому числі основне приміщення для укриття, допускається поділяти на окремі приміщення/блоки.</w:t>
      </w:r>
    </w:p>
    <w:p w14:paraId="48656ADD" w14:textId="77777777" w:rsidR="00143CA2" w:rsidRPr="00CA7C54" w:rsidRDefault="00143CA2" w:rsidP="00143CA2">
      <w:pPr>
        <w:pBdr>
          <w:top w:val="nil"/>
          <w:left w:val="nil"/>
          <w:bottom w:val="nil"/>
          <w:right w:val="nil"/>
          <w:between w:val="nil"/>
        </w:pBdr>
        <w:spacing w:before="0" w:line="288" w:lineRule="auto"/>
        <w:contextualSpacing/>
        <w:rPr>
          <w:color w:val="000000" w:themeColor="text1"/>
          <w:sz w:val="21"/>
          <w:szCs w:val="21"/>
        </w:rPr>
      </w:pPr>
    </w:p>
    <w:p w14:paraId="75C16F2F" w14:textId="77777777" w:rsidR="003C4E04" w:rsidRPr="00CA7C54" w:rsidRDefault="001E748C" w:rsidP="0042528B">
      <w:pPr>
        <w:pStyle w:val="2"/>
        <w:spacing w:before="0" w:after="60" w:line="288" w:lineRule="auto"/>
        <w:contextualSpacing/>
        <w:rPr>
          <w:rFonts w:ascii="Arial" w:hAnsi="Arial"/>
          <w:smallCaps/>
          <w:color w:val="000000" w:themeColor="text1"/>
          <w:sz w:val="21"/>
          <w:szCs w:val="21"/>
        </w:rPr>
      </w:pPr>
      <w:r w:rsidRPr="00CA7C54">
        <w:rPr>
          <w:rFonts w:ascii="Arial" w:hAnsi="Arial"/>
          <w:smallCaps/>
          <w:color w:val="000000" w:themeColor="text1"/>
          <w:sz w:val="21"/>
          <w:szCs w:val="21"/>
        </w:rPr>
        <w:t>9 ОСОБЛИВОСТІ КОНСТРУКТИВНИХ РІШЕНЬ</w:t>
      </w:r>
    </w:p>
    <w:p w14:paraId="18D3422E" w14:textId="77777777" w:rsidR="003C4E04" w:rsidRPr="00CA7C54" w:rsidRDefault="001E748C" w:rsidP="00143CA2">
      <w:pPr>
        <w:pStyle w:val="3"/>
        <w:spacing w:before="0" w:after="0" w:line="288" w:lineRule="auto"/>
        <w:contextualSpacing/>
        <w:rPr>
          <w:color w:val="000000" w:themeColor="text1"/>
          <w:sz w:val="21"/>
          <w:szCs w:val="21"/>
        </w:rPr>
      </w:pPr>
      <w:r w:rsidRPr="00CA7C54">
        <w:rPr>
          <w:color w:val="000000" w:themeColor="text1"/>
        </w:rPr>
        <w:t xml:space="preserve">9.1.1 </w:t>
      </w:r>
      <w:r w:rsidRPr="00CA7C54">
        <w:rPr>
          <w:color w:val="000000" w:themeColor="text1"/>
          <w:sz w:val="21"/>
          <w:szCs w:val="21"/>
        </w:rPr>
        <w:t xml:space="preserve">Сховища та СПП із захисними властивостями сховищ </w:t>
      </w:r>
    </w:p>
    <w:p w14:paraId="7B9EABF5"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9.1.1.1 </w:t>
      </w:r>
      <w:r w:rsidRPr="00CA7C54">
        <w:rPr>
          <w:color w:val="000000" w:themeColor="text1"/>
          <w:sz w:val="21"/>
          <w:szCs w:val="21"/>
        </w:rPr>
        <w:t>Прийняті конструктивні схеми, зовнішні огороджувальні конструкції (матеріал, з яких їх виконано) мають забезпечувати:</w:t>
      </w:r>
    </w:p>
    <w:p w14:paraId="1137E0A0" w14:textId="77777777" w:rsidR="003C4E04" w:rsidRPr="00CA7C54" w:rsidRDefault="009F690B" w:rsidP="00143CA2">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стійкість до дії небезпечних чинників (факторів), передбач</w:t>
      </w:r>
      <w:r w:rsidR="001E748C" w:rsidRPr="00CA7C54">
        <w:rPr>
          <w:color w:val="000000" w:themeColor="text1"/>
          <w:sz w:val="21"/>
          <w:szCs w:val="21"/>
          <w:highlight w:val="white"/>
        </w:rPr>
        <w:t>ених  5.8 цих</w:t>
      </w:r>
      <w:r w:rsidR="00143CA2" w:rsidRPr="00CA7C54">
        <w:rPr>
          <w:color w:val="000000" w:themeColor="text1"/>
          <w:sz w:val="21"/>
          <w:szCs w:val="21"/>
        </w:rPr>
        <w:t>н</w:t>
      </w:r>
      <w:r w:rsidR="001E748C" w:rsidRPr="00CA7C54">
        <w:rPr>
          <w:color w:val="000000" w:themeColor="text1"/>
          <w:sz w:val="21"/>
          <w:szCs w:val="21"/>
        </w:rPr>
        <w:t>орм;</w:t>
      </w:r>
    </w:p>
    <w:p w14:paraId="27B10F1A" w14:textId="77777777" w:rsidR="003C4E04" w:rsidRPr="00CA7C54" w:rsidRDefault="009F690B" w:rsidP="00143CA2">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збереження цілісності та герметичності під час усього періоду експлуатації об’єкта;</w:t>
      </w:r>
    </w:p>
    <w:p w14:paraId="4E9D1C08" w14:textId="77777777" w:rsidR="003C4E04" w:rsidRPr="00CA7C54" w:rsidRDefault="009F690B" w:rsidP="00143CA2">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стійкість її окремих конструктивних елементів та споруди у цілому до аварійної комбінації навантажень;</w:t>
      </w:r>
    </w:p>
    <w:p w14:paraId="7C493299" w14:textId="77777777" w:rsidR="003C4E04" w:rsidRPr="00CA7C54" w:rsidRDefault="009F690B" w:rsidP="00143CA2">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дотримання температурно-вологісного режиму в середині приміщень.</w:t>
      </w:r>
    </w:p>
    <w:p w14:paraId="1F2713AA" w14:textId="77777777" w:rsidR="003C4E04" w:rsidRPr="00CA7C54" w:rsidRDefault="001E748C" w:rsidP="00143CA2">
      <w:pPr>
        <w:spacing w:before="0" w:line="288" w:lineRule="auto"/>
        <w:contextualSpacing/>
        <w:rPr>
          <w:color w:val="000000" w:themeColor="text1"/>
          <w:sz w:val="21"/>
          <w:szCs w:val="21"/>
        </w:rPr>
      </w:pPr>
      <w:r w:rsidRPr="00CA7C54">
        <w:rPr>
          <w:color w:val="000000" w:themeColor="text1"/>
          <w:sz w:val="21"/>
          <w:szCs w:val="21"/>
        </w:rPr>
        <w:t>Сховища та СПП із захисними властивостями сховищ мають бути запроєктовані таким чино</w:t>
      </w:r>
      <w:r w:rsidR="003045B7" w:rsidRPr="00CA7C54">
        <w:rPr>
          <w:color w:val="000000" w:themeColor="text1"/>
          <w:sz w:val="21"/>
          <w:szCs w:val="21"/>
        </w:rPr>
        <w:t xml:space="preserve">м, щоб забезпечити нормативний </w:t>
      </w:r>
      <w:r w:rsidRPr="00CA7C54">
        <w:rPr>
          <w:color w:val="000000" w:themeColor="text1"/>
          <w:sz w:val="21"/>
          <w:szCs w:val="21"/>
        </w:rPr>
        <w:t>ступень послаблення радіаційного впливу</w:t>
      </w:r>
      <w:r w:rsidRPr="00CA7C54">
        <w:rPr>
          <w:color w:val="000000" w:themeColor="text1"/>
          <w:sz w:val="21"/>
          <w:szCs w:val="21"/>
        </w:rPr>
        <w:br/>
        <w:t xml:space="preserve">(ступінь захисту, </w:t>
      </w:r>
      <w:r w:rsidRPr="00CA7C54">
        <w:rPr>
          <w:i/>
          <w:color w:val="000000" w:themeColor="text1"/>
          <w:sz w:val="21"/>
          <w:szCs w:val="21"/>
        </w:rPr>
        <w:t>Аз</w:t>
      </w:r>
      <w:r w:rsidRPr="00CA7C54">
        <w:rPr>
          <w:color w:val="000000" w:themeColor="text1"/>
          <w:sz w:val="21"/>
          <w:szCs w:val="21"/>
        </w:rPr>
        <w:t>) з урахуванням відповідного класу споруди, що визначається згідно з таблицею А.1 додатк</w:t>
      </w:r>
      <w:r w:rsidR="00143CA2" w:rsidRPr="00CA7C54">
        <w:rPr>
          <w:color w:val="000000" w:themeColor="text1"/>
          <w:sz w:val="21"/>
          <w:szCs w:val="21"/>
        </w:rPr>
        <w:t>а</w:t>
      </w:r>
      <w:r w:rsidRPr="00CA7C54">
        <w:rPr>
          <w:color w:val="000000" w:themeColor="text1"/>
          <w:sz w:val="21"/>
          <w:szCs w:val="21"/>
        </w:rPr>
        <w:t xml:space="preserve"> А цих </w:t>
      </w:r>
      <w:r w:rsidR="00143CA2" w:rsidRPr="00CA7C54">
        <w:rPr>
          <w:color w:val="000000" w:themeColor="text1"/>
          <w:sz w:val="21"/>
          <w:szCs w:val="21"/>
        </w:rPr>
        <w:t>н</w:t>
      </w:r>
      <w:r w:rsidRPr="00CA7C54">
        <w:rPr>
          <w:color w:val="000000" w:themeColor="text1"/>
          <w:sz w:val="21"/>
          <w:szCs w:val="21"/>
        </w:rPr>
        <w:t>орм, та підтверджується розрахунком згідно додатк</w:t>
      </w:r>
      <w:r w:rsidR="00143CA2" w:rsidRPr="00CA7C54">
        <w:rPr>
          <w:color w:val="000000" w:themeColor="text1"/>
          <w:sz w:val="21"/>
          <w:szCs w:val="21"/>
        </w:rPr>
        <w:t>а</w:t>
      </w:r>
      <w:r w:rsidRPr="00CA7C54">
        <w:rPr>
          <w:color w:val="000000" w:themeColor="text1"/>
          <w:sz w:val="21"/>
          <w:szCs w:val="21"/>
        </w:rPr>
        <w:t xml:space="preserve"> Г цих </w:t>
      </w:r>
      <w:r w:rsidR="00143CA2" w:rsidRPr="00CA7C54">
        <w:rPr>
          <w:color w:val="000000" w:themeColor="text1"/>
          <w:sz w:val="21"/>
          <w:szCs w:val="21"/>
        </w:rPr>
        <w:t>н</w:t>
      </w:r>
      <w:r w:rsidRPr="00CA7C54">
        <w:rPr>
          <w:color w:val="000000" w:themeColor="text1"/>
          <w:sz w:val="21"/>
          <w:szCs w:val="21"/>
        </w:rPr>
        <w:t>орм.</w:t>
      </w:r>
    </w:p>
    <w:p w14:paraId="392A32CE"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9.1.1.2</w:t>
      </w:r>
      <w:r w:rsidRPr="00CA7C54">
        <w:rPr>
          <w:color w:val="000000" w:themeColor="text1"/>
          <w:sz w:val="21"/>
          <w:szCs w:val="21"/>
        </w:rPr>
        <w:t xml:space="preserve"> Для окремо розташованих захисних споруд та  СПП рекомендовано влаштовувати по периметру та зверху додаткове покриття ґрунтом або іншим сипучім матеріалом шаром не менше </w:t>
      </w:r>
      <w:r w:rsidR="00143CA2" w:rsidRPr="00CA7C54">
        <w:rPr>
          <w:color w:val="000000" w:themeColor="text1"/>
          <w:sz w:val="21"/>
          <w:szCs w:val="21"/>
        </w:rPr>
        <w:t xml:space="preserve">ніж </w:t>
      </w:r>
      <w:r w:rsidRPr="00CA7C54">
        <w:rPr>
          <w:color w:val="000000" w:themeColor="text1"/>
          <w:sz w:val="21"/>
          <w:szCs w:val="21"/>
        </w:rPr>
        <w:t>0,8 м і влаштуванням по верху твердого покриття або екран</w:t>
      </w:r>
      <w:r w:rsidR="00C04491" w:rsidRPr="00CA7C54">
        <w:rPr>
          <w:color w:val="000000" w:themeColor="text1"/>
          <w:sz w:val="21"/>
          <w:szCs w:val="21"/>
        </w:rPr>
        <w:t>а</w:t>
      </w:r>
      <w:r w:rsidRPr="00CA7C54">
        <w:rPr>
          <w:color w:val="000000" w:themeColor="text1"/>
          <w:sz w:val="21"/>
          <w:szCs w:val="21"/>
        </w:rPr>
        <w:t>.</w:t>
      </w:r>
    </w:p>
    <w:p w14:paraId="22EBDEB5" w14:textId="77777777" w:rsidR="003C4E04" w:rsidRPr="00CA7C54" w:rsidRDefault="001E748C" w:rsidP="00143CA2">
      <w:pPr>
        <w:spacing w:before="0" w:line="288" w:lineRule="auto"/>
        <w:contextualSpacing/>
        <w:rPr>
          <w:rFonts w:eastAsia="Times New Roman"/>
          <w:color w:val="000000" w:themeColor="text1"/>
          <w:sz w:val="21"/>
          <w:szCs w:val="21"/>
          <w:highlight w:val="white"/>
        </w:rPr>
      </w:pPr>
      <w:r w:rsidRPr="00CA7C54">
        <w:rPr>
          <w:color w:val="000000" w:themeColor="text1"/>
          <w:sz w:val="21"/>
          <w:szCs w:val="21"/>
        </w:rPr>
        <w:t xml:space="preserve">Товщина шару </w:t>
      </w:r>
      <w:r w:rsidR="00C04491" w:rsidRPr="00CA7C54">
        <w:rPr>
          <w:color w:val="000000" w:themeColor="text1"/>
          <w:sz w:val="16"/>
          <w:szCs w:val="16"/>
        </w:rPr>
        <w:t>Ґ</w:t>
      </w:r>
      <w:r w:rsidRPr="00CA7C54">
        <w:rPr>
          <w:color w:val="000000" w:themeColor="text1"/>
          <w:sz w:val="21"/>
          <w:szCs w:val="21"/>
        </w:rPr>
        <w:t>рунту визначається відповідно до ро</w:t>
      </w:r>
      <w:r w:rsidRPr="00CA7C54">
        <w:rPr>
          <w:color w:val="000000" w:themeColor="text1"/>
          <w:sz w:val="21"/>
          <w:szCs w:val="21"/>
          <w:highlight w:val="white"/>
        </w:rPr>
        <w:t xml:space="preserve">зрахунків 14.2.3  цих </w:t>
      </w:r>
      <w:r w:rsidR="00C04491" w:rsidRPr="00CA7C54">
        <w:rPr>
          <w:color w:val="000000" w:themeColor="text1"/>
          <w:sz w:val="21"/>
          <w:szCs w:val="21"/>
          <w:highlight w:val="white"/>
        </w:rPr>
        <w:t>н</w:t>
      </w:r>
      <w:r w:rsidRPr="00CA7C54">
        <w:rPr>
          <w:color w:val="000000" w:themeColor="text1"/>
          <w:sz w:val="21"/>
          <w:szCs w:val="21"/>
          <w:highlight w:val="white"/>
        </w:rPr>
        <w:t>орм.</w:t>
      </w:r>
    </w:p>
    <w:p w14:paraId="4DCB7F60"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9.1.1.3 </w:t>
      </w:r>
      <w:r w:rsidRPr="00CA7C54">
        <w:rPr>
          <w:color w:val="000000" w:themeColor="text1"/>
          <w:sz w:val="21"/>
          <w:szCs w:val="21"/>
        </w:rPr>
        <w:t>Заповнення технологічних прорізів (окрім електричних кабелів), організація з’єднань із захисно-герметичними та герметичними пристроями (воротами, дверима, віконницями (люками) тощо) має здійснюватися матеріалом, з якого виконано відповідні зовнішні огороджувальні конструкції.  Використання для цього вставок з інших матеріалів, зокрема цегли, не допускається.</w:t>
      </w:r>
    </w:p>
    <w:p w14:paraId="12E25381"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Внутрішні ненесучі перегородки сховищ можуть виконуватися з цегли, гіпсокартону та інших негорючих матеріалів.</w:t>
      </w:r>
    </w:p>
    <w:p w14:paraId="0FAA363C"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Захисні споруди та СПП, в яких передбачено ІІІ режим вентиляції (регенерація внутрішнього повітря), мають про</w:t>
      </w:r>
      <w:r w:rsidR="0010730F" w:rsidRPr="00CA7C54">
        <w:rPr>
          <w:color w:val="000000" w:themeColor="text1"/>
          <w:sz w:val="21"/>
          <w:szCs w:val="21"/>
        </w:rPr>
        <w:t>є</w:t>
      </w:r>
      <w:r w:rsidRPr="00CA7C54">
        <w:rPr>
          <w:color w:val="000000" w:themeColor="text1"/>
          <w:sz w:val="21"/>
          <w:szCs w:val="21"/>
        </w:rPr>
        <w:t>ктуватися з монолітних та збірно-монолітних залізобетонних конструкцій підвищеної герметичності або мати відповідне герметичне внутрішнє оздоблення</w:t>
      </w:r>
      <w:r w:rsidR="009F690B">
        <w:rPr>
          <w:color w:val="000000" w:themeColor="text1"/>
          <w:sz w:val="21"/>
          <w:szCs w:val="21"/>
        </w:rPr>
        <w:t>.</w:t>
      </w:r>
    </w:p>
    <w:p w14:paraId="0FEF6262"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9.1.1.4</w:t>
      </w:r>
      <w:r w:rsidRPr="00CA7C54">
        <w:rPr>
          <w:color w:val="000000" w:themeColor="text1"/>
          <w:sz w:val="21"/>
          <w:szCs w:val="21"/>
        </w:rPr>
        <w:t xml:space="preserve"> Несучi конструкції, захисно-герметичні та герметичні двері, віконниці (люки) та інші захисні пристрої сховищ та СПП, які розташовано у зонах можливих затоплень, мають перевірятися розрахунком на навантаження від гідростатичного тиску розрахункового стовпа води, який повинен бути вказаний у завданні на про</w:t>
      </w:r>
      <w:r w:rsidR="0010730F" w:rsidRPr="00CA7C54">
        <w:rPr>
          <w:color w:val="000000" w:themeColor="text1"/>
          <w:sz w:val="21"/>
          <w:szCs w:val="21"/>
        </w:rPr>
        <w:t>є</w:t>
      </w:r>
      <w:r w:rsidRPr="00CA7C54">
        <w:rPr>
          <w:color w:val="000000" w:themeColor="text1"/>
          <w:sz w:val="21"/>
          <w:szCs w:val="21"/>
        </w:rPr>
        <w:t>ктування.</w:t>
      </w:r>
    </w:p>
    <w:p w14:paraId="6D9E011F"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Гідростатичний тиск від стовпа води на споруду, який приймається у розрахунку, не повинен перевищувати навантаження, яке встановлюється класом  сховища.</w:t>
      </w:r>
    </w:p>
    <w:p w14:paraId="619DF2F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Усі елементи споруди, що виступають, оголовки аварійних виходів, повітроводів, шахти та інші має бути перевірено розрахунком на стійкість та міцність окремо від дії вибухової хвилі та гідравлічного потоку.</w:t>
      </w:r>
    </w:p>
    <w:p w14:paraId="037E5BAD"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Конструкції сховищ, розташованих у зоні можливих затоплень, слід розраховувати за граничним станом другої групи.</w:t>
      </w:r>
    </w:p>
    <w:p w14:paraId="218FB7F1"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9.1.1.5</w:t>
      </w:r>
      <w:r w:rsidRPr="00CA7C54">
        <w:rPr>
          <w:color w:val="000000" w:themeColor="text1"/>
          <w:sz w:val="21"/>
          <w:szCs w:val="21"/>
        </w:rPr>
        <w:t xml:space="preserve"> Конструкції перегородок та їх кріплення до стін, колон і покриттів слід про</w:t>
      </w:r>
      <w:r w:rsidR="00C04491" w:rsidRPr="00CA7C54">
        <w:rPr>
          <w:color w:val="000000" w:themeColor="text1"/>
          <w:sz w:val="21"/>
          <w:szCs w:val="21"/>
        </w:rPr>
        <w:t>є</w:t>
      </w:r>
      <w:r w:rsidRPr="00CA7C54">
        <w:rPr>
          <w:color w:val="000000" w:themeColor="text1"/>
          <w:sz w:val="21"/>
          <w:szCs w:val="21"/>
        </w:rPr>
        <w:t>ктувати з урахуванням дії інерційних навантажень та можливих деформацій елементів покриттів та вертикальних осідань стін та колон при дії розрахункового навантаження. </w:t>
      </w:r>
    </w:p>
    <w:p w14:paraId="219065F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9.1.1.6</w:t>
      </w:r>
      <w:r w:rsidRPr="00CA7C54">
        <w:rPr>
          <w:color w:val="000000" w:themeColor="text1"/>
          <w:sz w:val="21"/>
          <w:szCs w:val="21"/>
        </w:rPr>
        <w:t xml:space="preserve"> У бетонній підготовці підлоги приміщень для зберігання продовольства рекомендується передбачати укладку з сталевого дроту діаметром 1,5</w:t>
      </w:r>
      <w:r w:rsidR="00E804BD" w:rsidRPr="00CA7C54">
        <w:rPr>
          <w:color w:val="000000" w:themeColor="text1"/>
          <w:sz w:val="21"/>
          <w:szCs w:val="21"/>
        </w:rPr>
        <w:t xml:space="preserve"> мм</w:t>
      </w:r>
      <w:r w:rsidRPr="00CA7C54">
        <w:rPr>
          <w:color w:val="000000" w:themeColor="text1"/>
          <w:sz w:val="21"/>
          <w:szCs w:val="21"/>
        </w:rPr>
        <w:t>-2,5 мм з розміром чарунки не більше</w:t>
      </w:r>
      <w:r w:rsidR="00C04491" w:rsidRPr="00CA7C54">
        <w:rPr>
          <w:color w:val="000000" w:themeColor="text1"/>
          <w:sz w:val="21"/>
          <w:szCs w:val="21"/>
        </w:rPr>
        <w:t xml:space="preserve"> ніж</w:t>
      </w:r>
      <w:r w:rsidRPr="00CA7C54">
        <w:rPr>
          <w:color w:val="000000" w:themeColor="text1"/>
          <w:sz w:val="21"/>
          <w:szCs w:val="21"/>
        </w:rPr>
        <w:t xml:space="preserve"> 12 м</w:t>
      </w:r>
      <w:r w:rsidR="006249EE" w:rsidRPr="00CA7C54">
        <w:rPr>
          <w:color w:val="000000" w:themeColor="text1"/>
          <w:sz w:val="21"/>
          <w:szCs w:val="21"/>
        </w:rPr>
        <w:t>м</w:t>
      </w:r>
      <w:r w:rsidRPr="00CA7C54">
        <w:rPr>
          <w:color w:val="000000" w:themeColor="text1"/>
          <w:sz w:val="21"/>
          <w:szCs w:val="21"/>
        </w:rPr>
        <w:t xml:space="preserve"> х 12 мм. У місцях сполучення бетонної підготовки підлоги з огороджувальними конструкціями приміщень сітку слід заводити на висоту 0,5 м від підлоги та штукатурити цементним розчином.</w:t>
      </w:r>
    </w:p>
    <w:p w14:paraId="3BA40D78"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9.1.1.7</w:t>
      </w:r>
      <w:r w:rsidRPr="00CA7C54">
        <w:rPr>
          <w:color w:val="000000" w:themeColor="text1"/>
          <w:sz w:val="21"/>
          <w:szCs w:val="21"/>
        </w:rPr>
        <w:t xml:space="preserve"> На вводах комунікацій, що забезпечують зовнішні зв'язки приміщень вбудованих (прибудованих) сховищ та СПП з іншими приміщеннями, що знаходяться поза межами зони герметизації, а також функціювання систем внутрішнього обладнання після дії розрахункового навантаження слід передбачати компенсацiйнi пристрої.</w:t>
      </w:r>
    </w:p>
    <w:p w14:paraId="1FA5878B"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Про</w:t>
      </w:r>
      <w:r w:rsidR="00C04491" w:rsidRPr="00CA7C54">
        <w:rPr>
          <w:color w:val="000000" w:themeColor="text1"/>
          <w:sz w:val="21"/>
          <w:szCs w:val="21"/>
        </w:rPr>
        <w:t>є</w:t>
      </w:r>
      <w:r w:rsidRPr="00CA7C54">
        <w:rPr>
          <w:color w:val="000000" w:themeColor="text1"/>
          <w:sz w:val="21"/>
          <w:szCs w:val="21"/>
        </w:rPr>
        <w:t>ктування компенсаційних пристроїв та дверних прорізів необхідно виконувати з урахуванням можливості відносного осідання споруди на 150 мм.</w:t>
      </w:r>
    </w:p>
    <w:p w14:paraId="2C4D95E5"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9.1.1.8</w:t>
      </w:r>
      <w:r w:rsidRPr="00CA7C54">
        <w:rPr>
          <w:color w:val="000000" w:themeColor="text1"/>
          <w:sz w:val="21"/>
          <w:szCs w:val="21"/>
        </w:rPr>
        <w:t xml:space="preserve"> Зовнішні огороджувальні конструкції (фундаменти, підлоги, стіни, перекриття та покриття), а також їх гідроізоляція мають забезпечувати захист сховищ від негативного впливу ґрунтових вод, підтоплення і затоплення, а також забезпечувати герметизацію сховища.</w:t>
      </w:r>
    </w:p>
    <w:p w14:paraId="377C4716"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9.1.1.9</w:t>
      </w:r>
      <w:r w:rsidRPr="00CA7C54">
        <w:rPr>
          <w:color w:val="000000" w:themeColor="text1"/>
          <w:sz w:val="21"/>
          <w:szCs w:val="21"/>
        </w:rPr>
        <w:t xml:space="preserve"> Підлога приміщень сховищ, розташованих у водонасичених ґрунтах, повинна мати ухил 1 —2 % у бік лотків, а останні — 2 - 3 % у бік водозбірника, з якого вода повинна викачуватись насосом (у сховищах без ДЕС — ручним  насосом).</w:t>
      </w:r>
    </w:p>
    <w:p w14:paraId="35BFE91D" w14:textId="77777777" w:rsidR="000B4BA3" w:rsidRDefault="001E748C" w:rsidP="00143CA2">
      <w:pPr>
        <w:spacing w:before="0" w:line="288" w:lineRule="auto"/>
        <w:contextualSpacing/>
        <w:rPr>
          <w:color w:val="000000" w:themeColor="text1"/>
          <w:sz w:val="21"/>
          <w:szCs w:val="21"/>
        </w:rPr>
      </w:pPr>
      <w:r w:rsidRPr="00CA7C54">
        <w:rPr>
          <w:b/>
          <w:color w:val="000000" w:themeColor="text1"/>
          <w:sz w:val="21"/>
          <w:szCs w:val="21"/>
        </w:rPr>
        <w:t>9.1.1.10</w:t>
      </w:r>
      <w:r w:rsidRPr="000B4BA3">
        <w:rPr>
          <w:color w:val="000000" w:themeColor="text1"/>
          <w:spacing w:val="6"/>
          <w:sz w:val="21"/>
          <w:szCs w:val="21"/>
        </w:rPr>
        <w:t>У входах у сховищах, СПП повинні встановлюватись захисно-герметичні двері</w:t>
      </w:r>
    </w:p>
    <w:p w14:paraId="1E5EDA60" w14:textId="77777777" w:rsidR="003C4E04" w:rsidRPr="00CA7C54" w:rsidRDefault="001E748C" w:rsidP="000B4BA3">
      <w:pPr>
        <w:spacing w:before="0" w:line="288" w:lineRule="auto"/>
        <w:ind w:firstLine="0"/>
        <w:contextualSpacing/>
        <w:rPr>
          <w:rFonts w:eastAsia="Times New Roman"/>
          <w:color w:val="000000" w:themeColor="text1"/>
          <w:sz w:val="21"/>
          <w:szCs w:val="21"/>
        </w:rPr>
      </w:pPr>
      <w:r w:rsidRPr="00CA7C54">
        <w:rPr>
          <w:color w:val="000000" w:themeColor="text1"/>
          <w:sz w:val="21"/>
          <w:szCs w:val="21"/>
        </w:rPr>
        <w:t>(у зовнішній і внутрішній стінах тамбур-шлюзу або тамбурів) та герметичні (у внутрішній). </w:t>
      </w:r>
    </w:p>
    <w:p w14:paraId="37EC4A60"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9.1.1.11 </w:t>
      </w:r>
      <w:r w:rsidRPr="00CA7C54">
        <w:rPr>
          <w:color w:val="000000" w:themeColor="text1"/>
          <w:sz w:val="21"/>
          <w:szCs w:val="21"/>
        </w:rPr>
        <w:t>Встановлення захисно-герметичних, герметичних дверей, віконниць (люків) як правило здійснюється до проведення робіт із зведення огороджувальних конструкцій, до яких їх передбачено встановлювати, з наступним їх одночасним замонолічуванням.</w:t>
      </w:r>
    </w:p>
    <w:p w14:paraId="7EEE12DF"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В інших випадках закладні частини для кріплення захисно-герметичних, герметичних дверей, віконниць (люків), а також для вводів інженерних комунікацій слід про</w:t>
      </w:r>
      <w:r w:rsidR="00C04491" w:rsidRPr="00CA7C54">
        <w:rPr>
          <w:color w:val="000000" w:themeColor="text1"/>
          <w:sz w:val="21"/>
          <w:szCs w:val="21"/>
        </w:rPr>
        <w:t>є</w:t>
      </w:r>
      <w:r w:rsidRPr="00CA7C54">
        <w:rPr>
          <w:color w:val="000000" w:themeColor="text1"/>
          <w:sz w:val="21"/>
          <w:szCs w:val="21"/>
        </w:rPr>
        <w:t>ктувати з урахуванням навантажень від дії повітряної ударної хвилі. По периметру закладних частин дверей слід передбачати встановлення штуцерів</w:t>
      </w:r>
      <w:r w:rsidR="005F2A3B" w:rsidRPr="00CA7C54">
        <w:rPr>
          <w:color w:val="000000" w:themeColor="text1"/>
          <w:sz w:val="21"/>
          <w:szCs w:val="21"/>
        </w:rPr>
        <w:t>,</w:t>
      </w:r>
      <w:r w:rsidRPr="00CA7C54">
        <w:rPr>
          <w:color w:val="000000" w:themeColor="text1"/>
          <w:sz w:val="21"/>
          <w:szCs w:val="21"/>
        </w:rPr>
        <w:t xml:space="preserve"> з кроком 0,5 м для нагнітання крізь них розчину на цементі, що розширюється.</w:t>
      </w:r>
    </w:p>
    <w:p w14:paraId="0E56F897"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У закладних (трубчастих) частинах після укладання кабелів електропостачання та зв'язку рекомендується  передбачатися заливка вільного простору кабельною мастикою. В інших вводах вільний простір всередині закладних частин слід заповнювати ущільнювальними прокладками.</w:t>
      </w:r>
    </w:p>
    <w:p w14:paraId="398B6AD5" w14:textId="0EF9F37C"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 xml:space="preserve">Кабельні проходки електропостачання та зв'язку мають відповідати вимогам </w:t>
      </w:r>
      <w:hyperlink r:id="rId178" w:history="1">
        <w:r w:rsidRPr="004D42A6">
          <w:rPr>
            <w:rStyle w:val="ac"/>
            <w:rFonts w:cs="Arial"/>
            <w:sz w:val="21"/>
            <w:szCs w:val="21"/>
          </w:rPr>
          <w:t>ДБН В.1.1-7.</w:t>
        </w:r>
      </w:hyperlink>
    </w:p>
    <w:p w14:paraId="348E4D23" w14:textId="77777777" w:rsidR="003C4E04" w:rsidRPr="00CA7C54" w:rsidRDefault="001E748C" w:rsidP="00143CA2">
      <w:pP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9.1.1.12</w:t>
      </w:r>
      <w:r w:rsidRPr="00CA7C54">
        <w:rPr>
          <w:color w:val="000000" w:themeColor="text1"/>
          <w:sz w:val="21"/>
          <w:szCs w:val="21"/>
        </w:rPr>
        <w:t xml:space="preserve"> Для захисту входів в сховища, СПП, необхідно передбачати входи, заїзди, коридори та тунелі, що мають поворот (або декілька поворотів) на 90 градусів. У цьому разі товщина стіни, розташованої проти входу, визначається розрахунком з урахуванням </w:t>
      </w:r>
      <w:r w:rsidRPr="00CA7C54">
        <w:rPr>
          <w:color w:val="000000" w:themeColor="text1"/>
          <w:sz w:val="21"/>
          <w:szCs w:val="21"/>
        </w:rPr>
        <w:lastRenderedPageBreak/>
        <w:t xml:space="preserve">забезпечення нормативних </w:t>
      </w:r>
      <w:r w:rsidRPr="00CA7C54">
        <w:rPr>
          <w:i/>
          <w:color w:val="000000" w:themeColor="text1"/>
          <w:sz w:val="21"/>
          <w:szCs w:val="21"/>
        </w:rPr>
        <w:t>А</w:t>
      </w:r>
      <w:r w:rsidRPr="00CA7C54">
        <w:rPr>
          <w:color w:val="000000" w:themeColor="text1"/>
          <w:sz w:val="21"/>
          <w:szCs w:val="21"/>
        </w:rPr>
        <w:t xml:space="preserve">, </w:t>
      </w:r>
      <w:sdt>
        <w:sdtPr>
          <w:rPr>
            <w:color w:val="000000" w:themeColor="text1"/>
            <w:sz w:val="21"/>
            <w:szCs w:val="21"/>
          </w:rPr>
          <w:tag w:val="goog_rdk_2"/>
          <w:id w:val="1376044358"/>
        </w:sdtPr>
        <w:sdtEndPr/>
        <w:sdtContent>
          <w:r w:rsidRPr="00CA7C54">
            <w:rPr>
              <w:rFonts w:eastAsia="Arial Unicode MS"/>
              <w:i/>
              <w:color w:val="000000" w:themeColor="text1"/>
              <w:sz w:val="21"/>
              <w:szCs w:val="21"/>
            </w:rPr>
            <w:t>∆Р</w:t>
          </w:r>
        </w:sdtContent>
      </w:sdt>
      <w:r w:rsidR="00FD101F" w:rsidRPr="00AD7A30">
        <w:rPr>
          <w:color w:val="000000" w:themeColor="text1"/>
          <w:sz w:val="21"/>
          <w:szCs w:val="21"/>
          <w:vertAlign w:val="subscript"/>
        </w:rPr>
        <w:t>ех</w:t>
      </w:r>
      <w:r w:rsidRPr="00CA7C54">
        <w:rPr>
          <w:color w:val="000000" w:themeColor="text1"/>
          <w:sz w:val="21"/>
          <w:szCs w:val="21"/>
        </w:rPr>
        <w:t>(для тамбурів та тамбур-шлюзів) та захисту від проникнення уламків відповідно</w:t>
      </w:r>
      <w:r w:rsidR="00CA753B" w:rsidRPr="00CA7C54">
        <w:rPr>
          <w:color w:val="000000" w:themeColor="text1"/>
          <w:sz w:val="21"/>
          <w:szCs w:val="21"/>
        </w:rPr>
        <w:t xml:space="preserve"> до</w:t>
      </w:r>
      <w:r w:rsidRPr="00CA7C54">
        <w:rPr>
          <w:color w:val="000000" w:themeColor="text1"/>
          <w:sz w:val="21"/>
          <w:szCs w:val="21"/>
          <w:highlight w:val="white"/>
        </w:rPr>
        <w:t xml:space="preserve"> 14.2.3  цих </w:t>
      </w:r>
      <w:r w:rsidR="00586178" w:rsidRPr="00CA7C54">
        <w:rPr>
          <w:color w:val="000000" w:themeColor="text1"/>
          <w:sz w:val="21"/>
          <w:szCs w:val="21"/>
          <w:highlight w:val="white"/>
        </w:rPr>
        <w:t>н</w:t>
      </w:r>
      <w:r w:rsidRPr="00CA7C54">
        <w:rPr>
          <w:color w:val="000000" w:themeColor="text1"/>
          <w:sz w:val="21"/>
          <w:szCs w:val="21"/>
          <w:highlight w:val="white"/>
        </w:rPr>
        <w:t>орм.</w:t>
      </w:r>
    </w:p>
    <w:p w14:paraId="523216CC"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За неможливості влаштування поворотів на 90 градусів необхідно передбачати захисні стінки-екрани, розташовані перед входом до сховища, СПП або за ним (в середині приміщення).</w:t>
      </w:r>
    </w:p>
    <w:p w14:paraId="66A17D3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Місце встановлення стiнки-екрана визначається умовами експлуатації, а відстань від дверного прорізу (воріт) до екрана повинна бути не менше ніж на 0,9 м більше ширини полотна дверей (воріт).</w:t>
      </w:r>
    </w:p>
    <w:p w14:paraId="5C4D1FB6"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Розміри стінки-екрана мають забезпечувати повне закриття дверних прорізів (воріт) та бути ширшими і вищими від них не менше ніж на 0,3 м з кожного боку. Рекомендовано будівництво стінки-екрану на всю висоту приміщення, в якому її встановлено.</w:t>
      </w:r>
    </w:p>
    <w:p w14:paraId="15C67192" w14:textId="77777777" w:rsidR="003C4E04" w:rsidRPr="00CA7C54" w:rsidRDefault="001E748C" w:rsidP="00143CA2">
      <w:pP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Конструкція захисної стінки–екрана враховує зниження потрапляння через входи іонізуючого випромінювання у приміщення та захист від проникнення уламків відповідно</w:t>
      </w:r>
      <w:r w:rsidR="00CA753B" w:rsidRPr="00CA7C54">
        <w:rPr>
          <w:color w:val="000000" w:themeColor="text1"/>
          <w:sz w:val="21"/>
          <w:szCs w:val="21"/>
          <w:highlight w:val="white"/>
        </w:rPr>
        <w:t xml:space="preserve"> до</w:t>
      </w:r>
      <w:r w:rsidRPr="00CA7C54">
        <w:rPr>
          <w:color w:val="000000" w:themeColor="text1"/>
          <w:sz w:val="21"/>
          <w:szCs w:val="21"/>
          <w:highlight w:val="white"/>
        </w:rPr>
        <w:t xml:space="preserve"> 14.2.3  цих </w:t>
      </w:r>
      <w:r w:rsidR="005F2A3B" w:rsidRPr="00CA7C54">
        <w:rPr>
          <w:color w:val="000000" w:themeColor="text1"/>
          <w:sz w:val="21"/>
          <w:szCs w:val="21"/>
          <w:highlight w:val="white"/>
        </w:rPr>
        <w:t>н</w:t>
      </w:r>
      <w:r w:rsidRPr="00CA7C54">
        <w:rPr>
          <w:color w:val="000000" w:themeColor="text1"/>
          <w:sz w:val="21"/>
          <w:szCs w:val="21"/>
          <w:highlight w:val="white"/>
        </w:rPr>
        <w:t>орм.</w:t>
      </w:r>
    </w:p>
    <w:p w14:paraId="78FFA97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Відста</w:t>
      </w:r>
      <w:r w:rsidRPr="00CA7C54">
        <w:rPr>
          <w:color w:val="000000" w:themeColor="text1"/>
          <w:sz w:val="21"/>
          <w:szCs w:val="21"/>
        </w:rPr>
        <w:t xml:space="preserve">нь між захисною стінкою - екраном та початком сходів або пандусу має бути не менше </w:t>
      </w:r>
      <w:r w:rsidR="005F2A3B" w:rsidRPr="00CA7C54">
        <w:rPr>
          <w:color w:val="000000" w:themeColor="text1"/>
          <w:sz w:val="21"/>
          <w:szCs w:val="21"/>
        </w:rPr>
        <w:t xml:space="preserve"> ніж </w:t>
      </w:r>
      <w:r w:rsidRPr="00CA7C54">
        <w:rPr>
          <w:color w:val="000000" w:themeColor="text1"/>
          <w:sz w:val="21"/>
          <w:szCs w:val="21"/>
        </w:rPr>
        <w:t>1500 мм для можливості маневрування на кріслі колісному.</w:t>
      </w:r>
    </w:p>
    <w:p w14:paraId="0314C8EC"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9.1.1.13 </w:t>
      </w:r>
      <w:r w:rsidRPr="00CA7C54">
        <w:rPr>
          <w:color w:val="000000" w:themeColor="text1"/>
          <w:sz w:val="21"/>
          <w:szCs w:val="21"/>
        </w:rPr>
        <w:t>Не допускається розміщення вікон в сховищах та СПП із захисними властивостями сховищ.</w:t>
      </w:r>
    </w:p>
    <w:p w14:paraId="4F6CA9ED"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9.1.1.14</w:t>
      </w:r>
      <w:r w:rsidRPr="00CA7C54">
        <w:rPr>
          <w:color w:val="000000" w:themeColor="text1"/>
          <w:sz w:val="21"/>
          <w:szCs w:val="21"/>
        </w:rPr>
        <w:t xml:space="preserve"> Повітрозабори чистої вентиляції  (перший режим вентиляції) сховищ та СПП а також вентиляції приміщень ДЕС рекомендується розміщуватись поза зоною можливих зон завалів.</w:t>
      </w:r>
    </w:p>
    <w:p w14:paraId="16BFB8AD" w14:textId="77777777" w:rsidR="003C4E04" w:rsidRPr="00CA7C54" w:rsidRDefault="001E748C" w:rsidP="00143CA2">
      <w:pP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 xml:space="preserve">Розміщення повітрозаборів в зоні можливих завалів/руйнувань допускається за умови розрахунку такого повітрозабору на навантаження від обвалення конструкцій та розташування його на висоті відповідно </w:t>
      </w:r>
      <w:r w:rsidR="00CA753B" w:rsidRPr="00CA7C54">
        <w:rPr>
          <w:color w:val="000000" w:themeColor="text1"/>
          <w:sz w:val="21"/>
          <w:szCs w:val="21"/>
          <w:highlight w:val="white"/>
        </w:rPr>
        <w:t>до</w:t>
      </w:r>
      <w:r w:rsidRPr="00CA7C54">
        <w:rPr>
          <w:color w:val="000000" w:themeColor="text1"/>
          <w:sz w:val="21"/>
          <w:szCs w:val="21"/>
          <w:highlight w:val="white"/>
        </w:rPr>
        <w:t xml:space="preserve"> 7.5.1.20 цих </w:t>
      </w:r>
      <w:r w:rsidR="005F2A3B" w:rsidRPr="00CA7C54">
        <w:rPr>
          <w:color w:val="000000" w:themeColor="text1"/>
          <w:sz w:val="21"/>
          <w:szCs w:val="21"/>
          <w:highlight w:val="white"/>
        </w:rPr>
        <w:t>н</w:t>
      </w:r>
      <w:r w:rsidRPr="00CA7C54">
        <w:rPr>
          <w:color w:val="000000" w:themeColor="text1"/>
          <w:sz w:val="21"/>
          <w:szCs w:val="21"/>
          <w:highlight w:val="white"/>
        </w:rPr>
        <w:t>орм.</w:t>
      </w:r>
    </w:p>
    <w:p w14:paraId="541C8B9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Для окремо розташованих сховищ та СПП повітрозабори фільтро-вентиляції (другий режим) допускається розміщувати в зоні можливих завалів/руйнувань та в передтамбурі сховища аварійного виходу.</w:t>
      </w:r>
    </w:p>
    <w:p w14:paraId="66239896" w14:textId="77777777" w:rsidR="003C4E04" w:rsidRPr="00CA7C54" w:rsidRDefault="001E748C" w:rsidP="005F2A3B">
      <w:pPr>
        <w:spacing w:before="0" w:after="80" w:line="288" w:lineRule="auto"/>
        <w:contextualSpacing/>
        <w:rPr>
          <w:color w:val="000000" w:themeColor="text1"/>
          <w:sz w:val="21"/>
          <w:szCs w:val="21"/>
        </w:rPr>
      </w:pPr>
      <w:r w:rsidRPr="00CA7C54">
        <w:rPr>
          <w:color w:val="000000" w:themeColor="text1"/>
          <w:sz w:val="21"/>
          <w:szCs w:val="21"/>
        </w:rPr>
        <w:t>Допускається суміщати повітрозабір вентиляції з аварійним виходом із сховища.</w:t>
      </w:r>
    </w:p>
    <w:p w14:paraId="7EA19AF0" w14:textId="77777777" w:rsidR="003C4E04" w:rsidRPr="00CA7C54" w:rsidRDefault="001E748C" w:rsidP="00143CA2">
      <w:pPr>
        <w:pStyle w:val="3"/>
        <w:spacing w:before="0" w:after="0" w:line="288" w:lineRule="auto"/>
        <w:contextualSpacing/>
        <w:rPr>
          <w:color w:val="000000" w:themeColor="text1"/>
          <w:sz w:val="21"/>
          <w:szCs w:val="21"/>
        </w:rPr>
      </w:pPr>
      <w:bookmarkStart w:id="19" w:name="_heading=h.2zbgiuw" w:colFirst="0" w:colLast="0"/>
      <w:bookmarkEnd w:id="19"/>
      <w:r w:rsidRPr="00CA7C54">
        <w:rPr>
          <w:color w:val="000000" w:themeColor="text1"/>
          <w:sz w:val="21"/>
          <w:szCs w:val="21"/>
        </w:rPr>
        <w:t>9.1.2 ПРУ та СПП із захисними властивостями ПРУ</w:t>
      </w:r>
    </w:p>
    <w:p w14:paraId="18C1F156"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9.1.2.1 </w:t>
      </w:r>
      <w:r w:rsidRPr="00CA7C54">
        <w:rPr>
          <w:color w:val="000000" w:themeColor="text1"/>
          <w:sz w:val="21"/>
          <w:szCs w:val="21"/>
        </w:rPr>
        <w:t>Зовнішні огороджувальні конструкції, матеріал, з яких їх виконано, а також конструктивні схеми, що застосовуються під час про</w:t>
      </w:r>
      <w:r w:rsidR="005F2A3B" w:rsidRPr="00CA7C54">
        <w:rPr>
          <w:color w:val="000000" w:themeColor="text1"/>
          <w:sz w:val="21"/>
          <w:szCs w:val="21"/>
        </w:rPr>
        <w:t>є</w:t>
      </w:r>
      <w:r w:rsidRPr="00CA7C54">
        <w:rPr>
          <w:color w:val="000000" w:themeColor="text1"/>
          <w:sz w:val="21"/>
          <w:szCs w:val="21"/>
        </w:rPr>
        <w:t>ктування та будівництва ПРУ, СПП із захисними властивостями ПРУ мають забезпечувати:</w:t>
      </w:r>
    </w:p>
    <w:p w14:paraId="6354255D" w14:textId="77777777" w:rsidR="003C4E04" w:rsidRPr="00CA7C54" w:rsidRDefault="009F690B"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стійкість до дії небезпечних факторів, передбачени</w:t>
      </w:r>
      <w:r w:rsidR="001E748C" w:rsidRPr="00CA7C54">
        <w:rPr>
          <w:color w:val="000000" w:themeColor="text1"/>
          <w:sz w:val="21"/>
          <w:szCs w:val="21"/>
          <w:highlight w:val="white"/>
        </w:rPr>
        <w:t>х  5.9 ци</w:t>
      </w:r>
      <w:r w:rsidR="001E748C" w:rsidRPr="00CA7C54">
        <w:rPr>
          <w:color w:val="000000" w:themeColor="text1"/>
          <w:sz w:val="21"/>
          <w:szCs w:val="21"/>
        </w:rPr>
        <w:t xml:space="preserve">х </w:t>
      </w:r>
      <w:r w:rsidR="005F2A3B" w:rsidRPr="00CA7C54">
        <w:rPr>
          <w:color w:val="000000" w:themeColor="text1"/>
          <w:sz w:val="21"/>
          <w:szCs w:val="21"/>
        </w:rPr>
        <w:t>н</w:t>
      </w:r>
      <w:r w:rsidR="001E748C" w:rsidRPr="00CA7C54">
        <w:rPr>
          <w:color w:val="000000" w:themeColor="text1"/>
          <w:sz w:val="21"/>
          <w:szCs w:val="21"/>
        </w:rPr>
        <w:t>орм;</w:t>
      </w:r>
    </w:p>
    <w:p w14:paraId="2E2A58AC" w14:textId="77777777" w:rsidR="003C4E04" w:rsidRPr="00CA7C54" w:rsidRDefault="009F690B"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збереження цілісності під час усього періоду експлуатації;</w:t>
      </w:r>
    </w:p>
    <w:p w14:paraId="299889F0" w14:textId="77777777" w:rsidR="003C4E04" w:rsidRPr="00CA7C54" w:rsidRDefault="009F690B"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стійкість її окремих конструктивних елементів та споруди у цілому при аварійній (випадковій) розрахунковій ситуації  до аварійної комбінації навантажень.</w:t>
      </w:r>
    </w:p>
    <w:p w14:paraId="5BF092A7" w14:textId="77777777" w:rsidR="005F2A3B" w:rsidRPr="00CA7C54" w:rsidRDefault="001E748C" w:rsidP="00143CA2">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ПРУ та СПП із захисними властивостями ПРУ маю бути запро</w:t>
      </w:r>
      <w:r w:rsidR="005F2A3B" w:rsidRPr="00CA7C54">
        <w:rPr>
          <w:color w:val="000000" w:themeColor="text1"/>
          <w:sz w:val="21"/>
          <w:szCs w:val="21"/>
        </w:rPr>
        <w:t>є</w:t>
      </w:r>
      <w:r w:rsidRPr="00CA7C54">
        <w:rPr>
          <w:color w:val="000000" w:themeColor="text1"/>
          <w:sz w:val="21"/>
          <w:szCs w:val="21"/>
        </w:rPr>
        <w:t>ктовані таким чином, щоб забезпечити коефіцієнт послаблення радіаційного впливу (коефіцієнт захисту) для відповідної групи споруд згідно з розрахунк</w:t>
      </w:r>
      <w:r w:rsidR="005F2A3B" w:rsidRPr="00CA7C54">
        <w:rPr>
          <w:color w:val="000000" w:themeColor="text1"/>
          <w:sz w:val="21"/>
          <w:szCs w:val="21"/>
        </w:rPr>
        <w:t>ом</w:t>
      </w:r>
      <w:r w:rsidRPr="00CA7C54">
        <w:rPr>
          <w:color w:val="000000" w:themeColor="text1"/>
          <w:sz w:val="21"/>
          <w:szCs w:val="21"/>
        </w:rPr>
        <w:t>. </w:t>
      </w:r>
    </w:p>
    <w:p w14:paraId="37370209"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9.1.2.2</w:t>
      </w:r>
      <w:r w:rsidRPr="00CA7C54">
        <w:rPr>
          <w:color w:val="000000" w:themeColor="text1"/>
          <w:sz w:val="21"/>
          <w:szCs w:val="21"/>
        </w:rPr>
        <w:t xml:space="preserve"> Не допускається розміщення вікон в ПРУ.</w:t>
      </w:r>
    </w:p>
    <w:p w14:paraId="5455E64A"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9.1.2.3</w:t>
      </w:r>
      <w:r w:rsidRPr="00CA7C54">
        <w:rPr>
          <w:color w:val="000000" w:themeColor="text1"/>
          <w:sz w:val="21"/>
          <w:szCs w:val="21"/>
        </w:rPr>
        <w:t xml:space="preserve"> Дозволяється проєктувати  СПП із захисними властивостями ПРУ із вікнами, які мають бути зачинені на весь період дії особливого періоду або мають зачинятись під час зовнішньої загрози (оголошення повітряних тривог тощо) зовнішніми або внутрішні ставнями (віконницями) із автоматичною системою зачинення,  що повинні відповідати </w:t>
      </w:r>
      <w:r w:rsidRPr="00CA7C54">
        <w:rPr>
          <w:color w:val="000000" w:themeColor="text1"/>
          <w:sz w:val="21"/>
          <w:szCs w:val="21"/>
          <w:highlight w:val="white"/>
        </w:rPr>
        <w:t>таким вимогам:</w:t>
      </w:r>
    </w:p>
    <w:p w14:paraId="7E70889C" w14:textId="77777777" w:rsidR="003C4E04" w:rsidRPr="00CA7C54" w:rsidRDefault="009F690B" w:rsidP="00143CA2">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мати достатню несучу здатність (у т.ч. поворотних механізмів та конструкції замка)  для утримання навантаження від надлишкового тиску вибухової хвилі не менше 100 кПа; </w:t>
      </w:r>
    </w:p>
    <w:p w14:paraId="3E35BFCF" w14:textId="77777777" w:rsidR="003C4E04" w:rsidRPr="00CA7C54" w:rsidRDefault="009F690B" w:rsidP="00143CA2">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надійний притул по всьому периметру.</w:t>
      </w:r>
    </w:p>
    <w:p w14:paraId="2F0C3AD9"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запобігання травмування або загибелі осіб</w:t>
      </w:r>
      <w:r w:rsidR="00DC520D">
        <w:rPr>
          <w:color w:val="000000" w:themeColor="text1"/>
          <w:sz w:val="21"/>
          <w:szCs w:val="21"/>
        </w:rPr>
        <w:t>,</w:t>
      </w:r>
      <w:r w:rsidRPr="00CA7C54">
        <w:rPr>
          <w:color w:val="000000" w:themeColor="text1"/>
          <w:sz w:val="21"/>
          <w:szCs w:val="21"/>
        </w:rPr>
        <w:t xml:space="preserve"> що укриваються в оздобленні вікон</w:t>
      </w:r>
      <w:r w:rsidR="00DC520D">
        <w:rPr>
          <w:color w:val="000000" w:themeColor="text1"/>
          <w:sz w:val="21"/>
          <w:szCs w:val="21"/>
        </w:rPr>
        <w:t>,</w:t>
      </w:r>
      <w:r w:rsidRPr="00CA7C54">
        <w:rPr>
          <w:color w:val="000000" w:themeColor="text1"/>
          <w:sz w:val="21"/>
          <w:szCs w:val="21"/>
        </w:rPr>
        <w:t xml:space="preserve"> має використовуватись загартоване, протиударне або заламінован</w:t>
      </w:r>
      <w:r w:rsidR="00DC520D">
        <w:rPr>
          <w:color w:val="000000" w:themeColor="text1"/>
          <w:sz w:val="21"/>
          <w:szCs w:val="21"/>
        </w:rPr>
        <w:t>е</w:t>
      </w:r>
      <w:r w:rsidRPr="00CA7C54">
        <w:rPr>
          <w:color w:val="000000" w:themeColor="text1"/>
          <w:sz w:val="21"/>
          <w:szCs w:val="21"/>
        </w:rPr>
        <w:t xml:space="preserve"> скло.</w:t>
      </w:r>
    </w:p>
    <w:p w14:paraId="033A57B9"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Рекомендується розміщувати низ вікон на відстані 1,8 м від рівня підлоги.</w:t>
      </w:r>
    </w:p>
    <w:p w14:paraId="70441338"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9.1.2.4</w:t>
      </w:r>
      <w:r w:rsidRPr="00CA7C54">
        <w:rPr>
          <w:color w:val="000000" w:themeColor="text1"/>
          <w:sz w:val="21"/>
          <w:szCs w:val="21"/>
        </w:rPr>
        <w:t xml:space="preserve"> Вентиляційні отвори у зовнішніх огороджувальних конструкціях мають забезпечуватися противибуховими пристроями, що повністю закривають такий отвір.</w:t>
      </w:r>
    </w:p>
    <w:p w14:paraId="7EA24254"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9.1.2.5 </w:t>
      </w:r>
      <w:r w:rsidRPr="00CA7C54">
        <w:rPr>
          <w:color w:val="000000" w:themeColor="text1"/>
          <w:sz w:val="21"/>
          <w:szCs w:val="21"/>
        </w:rPr>
        <w:t>Для запобігання заносу радіоактивних речовин на вході до укриття влаштовується піддон з водою (за можливості проточною) для дезактивації взуття</w:t>
      </w:r>
      <w:r w:rsidRPr="00CA7C54">
        <w:rPr>
          <w:b/>
          <w:color w:val="000000" w:themeColor="text1"/>
          <w:sz w:val="21"/>
          <w:szCs w:val="21"/>
        </w:rPr>
        <w:t>.</w:t>
      </w:r>
    </w:p>
    <w:p w14:paraId="31D79284"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9.1.2.6</w:t>
      </w:r>
      <w:r w:rsidRPr="00CA7C54">
        <w:rPr>
          <w:color w:val="000000" w:themeColor="text1"/>
          <w:sz w:val="21"/>
          <w:szCs w:val="21"/>
        </w:rPr>
        <w:t xml:space="preserve"> Для захисту входів в ПРУ, СПП, розташованих у цокольних, підвальних та підземних спорудах, рекомендовано передбачати входи, заїзди, коридори та тунелі, що мають поворот (або декілька поворотів) на 90 градусів. У цьому разі товщина стіни, розташованої проти входу, визначається розрахунком з ур</w:t>
      </w:r>
      <w:sdt>
        <w:sdtPr>
          <w:rPr>
            <w:color w:val="000000" w:themeColor="text1"/>
            <w:sz w:val="21"/>
            <w:szCs w:val="21"/>
          </w:rPr>
          <w:tag w:val="goog_rdk_3"/>
          <w:id w:val="1906651410"/>
        </w:sdtPr>
        <w:sdtEndPr/>
        <w:sdtContent>
          <w:r w:rsidRPr="00AD7A30">
            <w:rPr>
              <w:rFonts w:eastAsia="Arial Unicode MS"/>
              <w:color w:val="000000" w:themeColor="text1"/>
              <w:sz w:val="21"/>
              <w:szCs w:val="21"/>
            </w:rPr>
            <w:t>ахуванням забезпечення нормативних А, ∆Р</w:t>
          </w:r>
        </w:sdtContent>
      </w:sdt>
      <w:r w:rsidRPr="00AD7A30">
        <w:rPr>
          <w:color w:val="000000" w:themeColor="text1"/>
          <w:sz w:val="21"/>
          <w:szCs w:val="21"/>
          <w:vertAlign w:val="subscript"/>
        </w:rPr>
        <w:t>е</w:t>
      </w:r>
      <w:r w:rsidR="00CC46D9" w:rsidRPr="00AD7A30">
        <w:rPr>
          <w:color w:val="000000" w:themeColor="text1"/>
          <w:sz w:val="21"/>
          <w:szCs w:val="21"/>
          <w:vertAlign w:val="subscript"/>
        </w:rPr>
        <w:t>х</w:t>
      </w:r>
      <w:r w:rsidRPr="00CA7C54">
        <w:rPr>
          <w:color w:val="000000" w:themeColor="text1"/>
          <w:sz w:val="21"/>
          <w:szCs w:val="21"/>
          <w:highlight w:val="white"/>
        </w:rPr>
        <w:t xml:space="preserve">(для тамбурів) та захисту від проникнення уламків відповідно 14.2.3  цих </w:t>
      </w:r>
      <w:r w:rsidR="005F2A3B" w:rsidRPr="00CA7C54">
        <w:rPr>
          <w:color w:val="000000" w:themeColor="text1"/>
          <w:sz w:val="21"/>
          <w:szCs w:val="21"/>
          <w:highlight w:val="white"/>
        </w:rPr>
        <w:t>н</w:t>
      </w:r>
      <w:r w:rsidRPr="00CA7C54">
        <w:rPr>
          <w:color w:val="000000" w:themeColor="text1"/>
          <w:sz w:val="21"/>
          <w:szCs w:val="21"/>
          <w:highlight w:val="white"/>
        </w:rPr>
        <w:t>орм.</w:t>
      </w:r>
    </w:p>
    <w:p w14:paraId="361CB17D"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За відсутності можливості влаштування поворотів на 90 градусів, напроти входу необхідно про</w:t>
      </w:r>
      <w:r w:rsidR="005F2A3B" w:rsidRPr="00CA7C54">
        <w:rPr>
          <w:color w:val="000000" w:themeColor="text1"/>
          <w:sz w:val="21"/>
          <w:szCs w:val="21"/>
          <w:highlight w:val="white"/>
        </w:rPr>
        <w:t>є</w:t>
      </w:r>
      <w:r w:rsidRPr="00CA7C54">
        <w:rPr>
          <w:color w:val="000000" w:themeColor="text1"/>
          <w:sz w:val="21"/>
          <w:szCs w:val="21"/>
          <w:highlight w:val="white"/>
        </w:rPr>
        <w:t>ктувати захисну стіну-екран, захисні властивості якої визначатися за розрахунком на зменшення радіаційного впливу та проникнення уламків відповідно</w:t>
      </w:r>
      <w:r w:rsidR="00B86D82" w:rsidRPr="00CA7C54">
        <w:rPr>
          <w:color w:val="000000" w:themeColor="text1"/>
          <w:sz w:val="21"/>
          <w:szCs w:val="21"/>
          <w:highlight w:val="white"/>
        </w:rPr>
        <w:t xml:space="preserve"> до</w:t>
      </w:r>
      <w:r w:rsidRPr="00CA7C54">
        <w:rPr>
          <w:color w:val="000000" w:themeColor="text1"/>
          <w:sz w:val="21"/>
          <w:szCs w:val="21"/>
          <w:highlight w:val="white"/>
        </w:rPr>
        <w:t xml:space="preserve"> 14.2.3  цих </w:t>
      </w:r>
      <w:r w:rsidR="003D6BDC" w:rsidRPr="00CA7C54">
        <w:rPr>
          <w:color w:val="000000" w:themeColor="text1"/>
          <w:sz w:val="21"/>
          <w:szCs w:val="21"/>
          <w:highlight w:val="white"/>
        </w:rPr>
        <w:t>н</w:t>
      </w:r>
      <w:r w:rsidRPr="00CA7C54">
        <w:rPr>
          <w:color w:val="000000" w:themeColor="text1"/>
          <w:sz w:val="21"/>
          <w:szCs w:val="21"/>
          <w:highlight w:val="white"/>
        </w:rPr>
        <w:t>орм.</w:t>
      </w:r>
    </w:p>
    <w:p w14:paraId="05D1D298"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Місце встановлення захисної стiнки-екрана визначається умовами експлуатації, а відстань від дверного прорізу (воріт) до екрана повинна бути не менше ніж на 0,9 м більше ширини полотна дверей (воріт).</w:t>
      </w:r>
    </w:p>
    <w:p w14:paraId="5D88BDF3"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Розміри захисної стінки-екрана мають забезпечувати повне закриття дверних прорізів (воріт) та бути ширшими і вищими від них не менше ніж на 0,3 м з кожного боку. Рекомендовано будівництво захисної стінки-екрану на всю висоту приміщення, в якому її встановлено.</w:t>
      </w:r>
    </w:p>
    <w:p w14:paraId="61EBFDF9"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Відстань між захисною стінкою - екраном та початком сходів або пандус</w:t>
      </w:r>
      <w:r w:rsidR="003D6BDC" w:rsidRPr="00CA7C54">
        <w:rPr>
          <w:color w:val="000000" w:themeColor="text1"/>
          <w:sz w:val="21"/>
          <w:szCs w:val="21"/>
        </w:rPr>
        <w:t>а</w:t>
      </w:r>
      <w:r w:rsidRPr="00CA7C54">
        <w:rPr>
          <w:color w:val="000000" w:themeColor="text1"/>
          <w:sz w:val="21"/>
          <w:szCs w:val="21"/>
        </w:rPr>
        <w:t xml:space="preserve"> має бути не менше </w:t>
      </w:r>
      <w:r w:rsidR="003D6BDC" w:rsidRPr="00CA7C54">
        <w:rPr>
          <w:color w:val="000000" w:themeColor="text1"/>
          <w:sz w:val="21"/>
          <w:szCs w:val="21"/>
        </w:rPr>
        <w:t xml:space="preserve">ніж </w:t>
      </w:r>
      <w:r w:rsidRPr="00CA7C54">
        <w:rPr>
          <w:color w:val="000000" w:themeColor="text1"/>
          <w:sz w:val="21"/>
          <w:szCs w:val="21"/>
        </w:rPr>
        <w:t>1500 мм для можливості маневрування на кріслі колісному.</w:t>
      </w:r>
    </w:p>
    <w:p w14:paraId="357B2C79" w14:textId="77777777" w:rsidR="00643792" w:rsidRDefault="001E748C" w:rsidP="003D6BDC">
      <w:pPr>
        <w:pBdr>
          <w:top w:val="nil"/>
          <w:left w:val="nil"/>
          <w:bottom w:val="nil"/>
          <w:right w:val="nil"/>
          <w:between w:val="nil"/>
        </w:pBdr>
        <w:spacing w:before="0" w:after="120" w:line="288" w:lineRule="auto"/>
        <w:contextualSpacing/>
        <w:rPr>
          <w:color w:val="000000" w:themeColor="text1"/>
          <w:sz w:val="21"/>
          <w:szCs w:val="21"/>
        </w:rPr>
      </w:pPr>
      <w:r w:rsidRPr="00CA7C54">
        <w:rPr>
          <w:b/>
          <w:color w:val="000000" w:themeColor="text1"/>
          <w:sz w:val="21"/>
          <w:szCs w:val="21"/>
        </w:rPr>
        <w:t>9.1.2.7</w:t>
      </w:r>
      <w:r w:rsidRPr="00CA7C54">
        <w:rPr>
          <w:color w:val="000000" w:themeColor="text1"/>
          <w:sz w:val="21"/>
          <w:szCs w:val="21"/>
        </w:rPr>
        <w:t xml:space="preserve"> У разі облаштування ПРУ або СПП системою фільтровентиляції на вході до такої споруди мають встановлюватися захисно-герметичні або герметичні двері, а її облаштування віконними отворами не передбачається.</w:t>
      </w:r>
    </w:p>
    <w:p w14:paraId="4ED4CACF" w14:textId="36401784" w:rsidR="003C4E04" w:rsidRPr="00CA7C54" w:rsidRDefault="001E748C" w:rsidP="00643792">
      <w:pPr>
        <w:pStyle w:val="2"/>
        <w:pBdr>
          <w:top w:val="nil"/>
          <w:left w:val="nil"/>
          <w:bottom w:val="nil"/>
          <w:right w:val="nil"/>
          <w:between w:val="nil"/>
        </w:pBdr>
        <w:spacing w:before="80" w:after="80" w:line="288" w:lineRule="auto"/>
        <w:contextualSpacing/>
        <w:rPr>
          <w:rFonts w:ascii="Arial" w:hAnsi="Arial"/>
          <w:color w:val="000000" w:themeColor="text1"/>
          <w:sz w:val="21"/>
          <w:szCs w:val="21"/>
        </w:rPr>
      </w:pPr>
      <w:r w:rsidRPr="00CA7C54">
        <w:rPr>
          <w:rFonts w:ascii="Arial" w:hAnsi="Arial"/>
          <w:color w:val="000000" w:themeColor="text1"/>
          <w:sz w:val="21"/>
          <w:szCs w:val="21"/>
        </w:rPr>
        <w:t>10</w:t>
      </w:r>
      <w:r w:rsidR="00EE0455">
        <w:rPr>
          <w:rFonts w:ascii="Arial" w:hAnsi="Arial"/>
          <w:color w:val="000000" w:themeColor="text1"/>
          <w:sz w:val="21"/>
          <w:szCs w:val="21"/>
        </w:rPr>
        <w:t xml:space="preserve"> </w:t>
      </w:r>
      <w:r w:rsidRPr="00CA7C54">
        <w:rPr>
          <w:rFonts w:ascii="Arial" w:hAnsi="Arial"/>
          <w:color w:val="000000" w:themeColor="text1"/>
          <w:sz w:val="21"/>
          <w:szCs w:val="21"/>
        </w:rPr>
        <w:t>ПОЖЕЖНА БЕЗПЕКА</w:t>
      </w:r>
    </w:p>
    <w:p w14:paraId="54754037" w14:textId="4C55325C"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rPr>
        <w:t>10.1</w:t>
      </w:r>
      <w:r w:rsidRPr="00CA7C54">
        <w:rPr>
          <w:color w:val="000000" w:themeColor="text1"/>
          <w:sz w:val="21"/>
          <w:szCs w:val="21"/>
        </w:rPr>
        <w:t>При про</w:t>
      </w:r>
      <w:r w:rsidR="00CA753B" w:rsidRPr="00CA7C54">
        <w:rPr>
          <w:color w:val="000000" w:themeColor="text1"/>
          <w:sz w:val="21"/>
          <w:szCs w:val="21"/>
        </w:rPr>
        <w:t>є</w:t>
      </w:r>
      <w:r w:rsidRPr="00CA7C54">
        <w:rPr>
          <w:color w:val="000000" w:themeColor="text1"/>
          <w:sz w:val="21"/>
          <w:szCs w:val="21"/>
        </w:rPr>
        <w:t>ктуванні захисних споруд вимоги щодо проїздів для пожежних автомобілів слід приймати згідно</w:t>
      </w:r>
      <w:r w:rsidR="00CA753B" w:rsidRPr="00CA7C54">
        <w:rPr>
          <w:color w:val="000000" w:themeColor="text1"/>
          <w:sz w:val="21"/>
          <w:szCs w:val="21"/>
        </w:rPr>
        <w:t xml:space="preserve"> з </w:t>
      </w:r>
      <w:r w:rsidRPr="00CA7C54">
        <w:rPr>
          <w:color w:val="000000" w:themeColor="text1"/>
          <w:sz w:val="21"/>
          <w:szCs w:val="21"/>
        </w:rPr>
        <w:t xml:space="preserve"> </w:t>
      </w:r>
      <w:hyperlink r:id="rId179" w:history="1">
        <w:r w:rsidRPr="00F075C5">
          <w:rPr>
            <w:rStyle w:val="ac"/>
            <w:rFonts w:cs="Arial"/>
            <w:sz w:val="21"/>
            <w:szCs w:val="21"/>
          </w:rPr>
          <w:t>ДБН Б.2.2-12</w:t>
        </w:r>
      </w:hyperlink>
      <w:r w:rsidRPr="00CA7C54">
        <w:rPr>
          <w:color w:val="000000" w:themeColor="text1"/>
          <w:sz w:val="21"/>
          <w:szCs w:val="21"/>
        </w:rPr>
        <w:t>, як для громадських будинків.</w:t>
      </w:r>
    </w:p>
    <w:p w14:paraId="312D4FBA" w14:textId="65E84501"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10.2 </w:t>
      </w:r>
      <w:r w:rsidRPr="00CA7C54">
        <w:rPr>
          <w:color w:val="000000" w:themeColor="text1"/>
          <w:spacing w:val="10"/>
          <w:sz w:val="21"/>
          <w:szCs w:val="21"/>
        </w:rPr>
        <w:t>Під час про</w:t>
      </w:r>
      <w:r w:rsidR="00CA753B" w:rsidRPr="00CA7C54">
        <w:rPr>
          <w:color w:val="000000" w:themeColor="text1"/>
          <w:spacing w:val="10"/>
          <w:sz w:val="21"/>
          <w:szCs w:val="21"/>
        </w:rPr>
        <w:t>є</w:t>
      </w:r>
      <w:r w:rsidRPr="00CA7C54">
        <w:rPr>
          <w:color w:val="000000" w:themeColor="text1"/>
          <w:spacing w:val="10"/>
          <w:sz w:val="21"/>
          <w:szCs w:val="21"/>
        </w:rPr>
        <w:t xml:space="preserve">ктування захисних споруд потрібно враховувати вимоги, викладені в </w:t>
      </w:r>
      <w:hyperlink r:id="rId180" w:history="1">
        <w:r w:rsidRPr="00F075C5">
          <w:rPr>
            <w:rStyle w:val="ac"/>
            <w:rFonts w:cs="Arial"/>
            <w:spacing w:val="10"/>
            <w:sz w:val="21"/>
            <w:szCs w:val="21"/>
          </w:rPr>
          <w:t>ДБН В.2.2-9</w:t>
        </w:r>
      </w:hyperlink>
      <w:r w:rsidRPr="00CA7C54">
        <w:rPr>
          <w:color w:val="000000" w:themeColor="text1"/>
          <w:spacing w:val="10"/>
          <w:sz w:val="21"/>
          <w:szCs w:val="21"/>
        </w:rPr>
        <w:t>, для захисних споруд</w:t>
      </w:r>
      <w:r w:rsidRPr="00CA7C54">
        <w:rPr>
          <w:color w:val="000000" w:themeColor="text1"/>
          <w:sz w:val="21"/>
          <w:szCs w:val="21"/>
        </w:rPr>
        <w:t xml:space="preserve"> вбудованих, прибудованих до виробничих та складських будинків – </w:t>
      </w:r>
      <w:hyperlink r:id="rId181" w:history="1">
        <w:r w:rsidRPr="00F075C5">
          <w:rPr>
            <w:rStyle w:val="ac"/>
            <w:rFonts w:cs="Arial"/>
            <w:sz w:val="21"/>
            <w:szCs w:val="21"/>
          </w:rPr>
          <w:t>ДБН В.2.2-28</w:t>
        </w:r>
      </w:hyperlink>
      <w:r w:rsidRPr="00CA7C54">
        <w:rPr>
          <w:color w:val="000000" w:themeColor="text1"/>
          <w:sz w:val="21"/>
          <w:szCs w:val="21"/>
        </w:rPr>
        <w:t>, в частині що не супереч</w:t>
      </w:r>
      <w:r w:rsidR="006820A4" w:rsidRPr="00CA7C54">
        <w:rPr>
          <w:color w:val="000000" w:themeColor="text1"/>
          <w:sz w:val="21"/>
          <w:szCs w:val="21"/>
        </w:rPr>
        <w:t>и</w:t>
      </w:r>
      <w:r w:rsidRPr="00CA7C54">
        <w:rPr>
          <w:color w:val="000000" w:themeColor="text1"/>
          <w:sz w:val="21"/>
          <w:szCs w:val="21"/>
        </w:rPr>
        <w:t xml:space="preserve">ть вимогам </w:t>
      </w:r>
      <w:r w:rsidR="00B86D82" w:rsidRPr="00CA7C54">
        <w:rPr>
          <w:color w:val="000000" w:themeColor="text1"/>
          <w:sz w:val="21"/>
          <w:szCs w:val="21"/>
        </w:rPr>
        <w:t>ц</w:t>
      </w:r>
      <w:r w:rsidRPr="00CA7C54">
        <w:rPr>
          <w:color w:val="000000" w:themeColor="text1"/>
          <w:sz w:val="21"/>
          <w:szCs w:val="21"/>
        </w:rPr>
        <w:t>их норм.  </w:t>
      </w:r>
    </w:p>
    <w:p w14:paraId="325872EE"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Під час про</w:t>
      </w:r>
      <w:r w:rsidR="00CA753B" w:rsidRPr="00CA7C54">
        <w:rPr>
          <w:color w:val="000000" w:themeColor="text1"/>
          <w:sz w:val="21"/>
          <w:szCs w:val="21"/>
        </w:rPr>
        <w:t>є</w:t>
      </w:r>
      <w:r w:rsidRPr="00CA7C54">
        <w:rPr>
          <w:color w:val="000000" w:themeColor="text1"/>
          <w:sz w:val="21"/>
          <w:szCs w:val="21"/>
        </w:rPr>
        <w:t>ктування СПП додатково слід враховувати вимоги пожежної безпеки, що встановлені будівельними нормами за видами будинків і споруд залежно від їх використання у мирний час за основним функціональним призначенням. </w:t>
      </w:r>
    </w:p>
    <w:p w14:paraId="063DDE92"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Про</w:t>
      </w:r>
      <w:r w:rsidR="00CA753B" w:rsidRPr="00CA7C54">
        <w:rPr>
          <w:color w:val="000000" w:themeColor="text1"/>
          <w:sz w:val="21"/>
          <w:szCs w:val="21"/>
        </w:rPr>
        <w:t>є</w:t>
      </w:r>
      <w:r w:rsidRPr="00CA7C54">
        <w:rPr>
          <w:color w:val="000000" w:themeColor="text1"/>
          <w:sz w:val="21"/>
          <w:szCs w:val="21"/>
        </w:rPr>
        <w:t>ктування захисних споруд які будуть використовуватись у мирний час для господарських, культурних і побутових потреб, згідно [7] потрібно здійснювати з урахуванням вимог державних будівельних норм за видами будинків та споруд.</w:t>
      </w:r>
    </w:p>
    <w:p w14:paraId="0E902CCE" w14:textId="66953A79" w:rsidR="003C4E04" w:rsidRDefault="001E748C" w:rsidP="00CA753B">
      <w:pPr>
        <w:spacing w:before="0" w:line="288" w:lineRule="auto"/>
        <w:contextualSpacing/>
        <w:rPr>
          <w:color w:val="000000" w:themeColor="text1"/>
          <w:sz w:val="21"/>
          <w:szCs w:val="21"/>
        </w:rPr>
      </w:pPr>
      <w:r w:rsidRPr="00CA7C54">
        <w:rPr>
          <w:b/>
          <w:color w:val="000000" w:themeColor="text1"/>
          <w:sz w:val="21"/>
          <w:szCs w:val="21"/>
        </w:rPr>
        <w:t>10.3</w:t>
      </w:r>
      <w:r w:rsidRPr="00CA7C54">
        <w:rPr>
          <w:color w:val="000000" w:themeColor="text1"/>
          <w:sz w:val="21"/>
          <w:szCs w:val="21"/>
        </w:rPr>
        <w:t xml:space="preserve"> Кількість та вимоги до евакуаційних виходів захисних споруд та СПП встановлюються відповідно до вимог </w:t>
      </w:r>
      <w:hyperlink r:id="rId182" w:history="1">
        <w:r w:rsidRPr="00F075C5">
          <w:rPr>
            <w:rStyle w:val="ac"/>
            <w:rFonts w:cs="Arial"/>
            <w:sz w:val="21"/>
            <w:szCs w:val="21"/>
          </w:rPr>
          <w:t>ДБН В.1.1-7</w:t>
        </w:r>
      </w:hyperlink>
      <w:r w:rsidRPr="00CA7C54">
        <w:rPr>
          <w:color w:val="000000" w:themeColor="text1"/>
          <w:sz w:val="21"/>
          <w:szCs w:val="21"/>
        </w:rPr>
        <w:t xml:space="preserve">, </w:t>
      </w:r>
      <w:hyperlink r:id="rId183" w:history="1">
        <w:r w:rsidRPr="00F075C5">
          <w:rPr>
            <w:rStyle w:val="ac"/>
            <w:rFonts w:cs="Arial"/>
            <w:sz w:val="21"/>
            <w:szCs w:val="21"/>
          </w:rPr>
          <w:t>ДБН В.2.2-9</w:t>
        </w:r>
      </w:hyperlink>
      <w:r w:rsidRPr="00CA7C54">
        <w:rPr>
          <w:color w:val="000000" w:themeColor="text1"/>
          <w:sz w:val="21"/>
          <w:szCs w:val="21"/>
        </w:rPr>
        <w:t xml:space="preserve">, </w:t>
      </w:r>
      <w:hyperlink r:id="rId184" w:history="1">
        <w:r w:rsidRPr="00F075C5">
          <w:rPr>
            <w:rStyle w:val="ac"/>
            <w:rFonts w:cs="Arial"/>
            <w:sz w:val="21"/>
            <w:szCs w:val="21"/>
          </w:rPr>
          <w:t>ДБН В.2.2-40</w:t>
        </w:r>
      </w:hyperlink>
      <w:r w:rsidRPr="00CA7C54">
        <w:rPr>
          <w:color w:val="000000" w:themeColor="text1"/>
          <w:sz w:val="21"/>
          <w:szCs w:val="21"/>
        </w:rPr>
        <w:t xml:space="preserve">, </w:t>
      </w:r>
      <w:hyperlink r:id="rId185" w:history="1">
        <w:r w:rsidRPr="00F075C5">
          <w:rPr>
            <w:rStyle w:val="ac"/>
            <w:rFonts w:cs="Arial"/>
            <w:sz w:val="21"/>
            <w:szCs w:val="21"/>
          </w:rPr>
          <w:t>ДБН В.2.2-28,</w:t>
        </w:r>
      </w:hyperlink>
      <w:r w:rsidRPr="00CA7C54">
        <w:rPr>
          <w:color w:val="000000" w:themeColor="text1"/>
          <w:sz w:val="21"/>
          <w:szCs w:val="21"/>
        </w:rPr>
        <w:t xml:space="preserve"> в частині що не супереч</w:t>
      </w:r>
      <w:r w:rsidR="00CA753B" w:rsidRPr="00CA7C54">
        <w:rPr>
          <w:color w:val="000000" w:themeColor="text1"/>
          <w:sz w:val="21"/>
          <w:szCs w:val="21"/>
        </w:rPr>
        <w:t>а</w:t>
      </w:r>
      <w:r w:rsidRPr="00CA7C54">
        <w:rPr>
          <w:color w:val="000000" w:themeColor="text1"/>
          <w:sz w:val="21"/>
          <w:szCs w:val="21"/>
        </w:rPr>
        <w:t xml:space="preserve">ть вимогам цих </w:t>
      </w:r>
      <w:r w:rsidR="00CA753B" w:rsidRPr="00CA7C54">
        <w:rPr>
          <w:color w:val="000000" w:themeColor="text1"/>
          <w:sz w:val="21"/>
          <w:szCs w:val="21"/>
        </w:rPr>
        <w:t>н</w:t>
      </w:r>
      <w:r w:rsidRPr="00CA7C54">
        <w:rPr>
          <w:color w:val="000000" w:themeColor="text1"/>
          <w:sz w:val="21"/>
          <w:szCs w:val="21"/>
        </w:rPr>
        <w:t>орм, а також для споруд подвійного призначення вимог, що встановлені будівельними нормами за видами будинків і споруд в залежно від їх використання у мирний час за основним функціональним призначенням. </w:t>
      </w:r>
    </w:p>
    <w:p w14:paraId="220D4D7D" w14:textId="400B9BA8" w:rsidR="00B367A4" w:rsidRPr="00CA7C54" w:rsidRDefault="00B367A4" w:rsidP="00CA753B">
      <w:pPr>
        <w:spacing w:before="0" w:line="288" w:lineRule="auto"/>
        <w:contextualSpacing/>
        <w:rPr>
          <w:rFonts w:ascii="Times New Roman" w:eastAsia="Times New Roman" w:hAnsi="Times New Roman" w:cs="Times New Roman"/>
          <w:color w:val="000000" w:themeColor="text1"/>
          <w:sz w:val="21"/>
          <w:szCs w:val="21"/>
        </w:rPr>
      </w:pPr>
      <w:r w:rsidRPr="00B173EB">
        <w:rPr>
          <w:rFonts w:eastAsia="Calibri"/>
          <w:bCs/>
        </w:rPr>
        <w:t xml:space="preserve">Під час визначення кількості та розмірів евакуаційних виходів </w:t>
      </w:r>
      <w:r>
        <w:rPr>
          <w:rFonts w:eastAsia="Calibri"/>
          <w:bCs/>
        </w:rPr>
        <w:t>і</w:t>
      </w:r>
      <w:r w:rsidRPr="00B173EB">
        <w:rPr>
          <w:rFonts w:eastAsia="Calibri"/>
          <w:bCs/>
        </w:rPr>
        <w:t xml:space="preserve">з приміщень захисних споруд та СПП слід враховувати вимоги 10.1.9 </w:t>
      </w:r>
      <w:hyperlink r:id="rId186" w:history="1">
        <w:r w:rsidRPr="00F075C5">
          <w:rPr>
            <w:rStyle w:val="ac"/>
            <w:rFonts w:eastAsia="Calibri" w:cs="Arial"/>
            <w:bCs/>
            <w:sz w:val="22"/>
            <w:szCs w:val="22"/>
          </w:rPr>
          <w:t>ДБН В.2.2-9</w:t>
        </w:r>
      </w:hyperlink>
      <w:r w:rsidRPr="00B173EB">
        <w:rPr>
          <w:rFonts w:eastAsia="Calibri"/>
          <w:bCs/>
        </w:rPr>
        <w:t>.</w:t>
      </w:r>
    </w:p>
    <w:p w14:paraId="4C13A34B" w14:textId="77777777" w:rsidR="003C4E04" w:rsidRDefault="001E748C" w:rsidP="00CA753B">
      <w:pPr>
        <w:spacing w:before="0" w:line="288" w:lineRule="auto"/>
        <w:contextualSpacing/>
        <w:rPr>
          <w:color w:val="000000" w:themeColor="text1"/>
          <w:sz w:val="21"/>
          <w:szCs w:val="21"/>
        </w:rPr>
      </w:pPr>
      <w:r w:rsidRPr="00CA7C54">
        <w:rPr>
          <w:color w:val="000000" w:themeColor="text1"/>
          <w:sz w:val="21"/>
          <w:szCs w:val="21"/>
        </w:rPr>
        <w:t>При цьому, кількість евакуаційних виходів з приміщень захисних споруд цивільного захисту та СПП має бути не менше двох.  Для ПРУ та СПП з захисними властивостями ПРУ місткістю до 15 осіб включно в якості другого евакуаційного виходу допускається використовувати аварійний вихід згідно</w:t>
      </w:r>
      <w:r w:rsidR="00CA753B" w:rsidRPr="00CA7C54">
        <w:rPr>
          <w:color w:val="000000" w:themeColor="text1"/>
          <w:sz w:val="21"/>
          <w:szCs w:val="21"/>
        </w:rPr>
        <w:t xml:space="preserve"> з</w:t>
      </w:r>
      <w:r w:rsidRPr="00CA7C54">
        <w:rPr>
          <w:color w:val="000000" w:themeColor="text1"/>
          <w:sz w:val="21"/>
          <w:szCs w:val="21"/>
        </w:rPr>
        <w:t xml:space="preserve"> розді</w:t>
      </w:r>
      <w:r w:rsidR="00CA753B" w:rsidRPr="00CA7C54">
        <w:rPr>
          <w:color w:val="000000" w:themeColor="text1"/>
          <w:sz w:val="21"/>
          <w:szCs w:val="21"/>
        </w:rPr>
        <w:t>лом</w:t>
      </w:r>
      <w:r w:rsidRPr="00CA7C54">
        <w:rPr>
          <w:color w:val="000000" w:themeColor="text1"/>
          <w:sz w:val="21"/>
          <w:szCs w:val="21"/>
        </w:rPr>
        <w:t xml:space="preserve"> 7 цих </w:t>
      </w:r>
      <w:r w:rsidR="00CA753B" w:rsidRPr="00CA7C54">
        <w:rPr>
          <w:color w:val="000000" w:themeColor="text1"/>
          <w:sz w:val="21"/>
          <w:szCs w:val="21"/>
        </w:rPr>
        <w:t>н</w:t>
      </w:r>
      <w:r w:rsidRPr="00CA7C54">
        <w:rPr>
          <w:color w:val="000000" w:themeColor="text1"/>
          <w:sz w:val="21"/>
          <w:szCs w:val="21"/>
        </w:rPr>
        <w:t>орм. </w:t>
      </w:r>
    </w:p>
    <w:p w14:paraId="1D1F6783" w14:textId="40A963FB" w:rsidR="00B367A4" w:rsidRPr="00F6335A" w:rsidRDefault="00B367A4" w:rsidP="00CA753B">
      <w:pPr>
        <w:spacing w:before="0" w:line="288" w:lineRule="auto"/>
        <w:contextualSpacing/>
        <w:rPr>
          <w:rFonts w:ascii="Times New Roman" w:eastAsia="Times New Roman" w:hAnsi="Times New Roman" w:cs="Times New Roman"/>
          <w:b/>
          <w:bCs/>
          <w:i/>
          <w:iCs/>
          <w:color w:val="00B050"/>
          <w:sz w:val="21"/>
          <w:szCs w:val="21"/>
        </w:rPr>
      </w:pPr>
      <w:r w:rsidRPr="00F6335A">
        <w:rPr>
          <w:b/>
          <w:bCs/>
          <w:i/>
          <w:iCs/>
          <w:color w:val="00B050"/>
          <w:sz w:val="21"/>
          <w:szCs w:val="21"/>
        </w:rPr>
        <w:t>(Пункт 10.3 змінено, Зміна № 2)</w:t>
      </w:r>
    </w:p>
    <w:p w14:paraId="286C4086" w14:textId="35F95B1F"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10.4</w:t>
      </w:r>
      <w:r w:rsidRPr="00CA7C54">
        <w:rPr>
          <w:color w:val="000000" w:themeColor="text1"/>
          <w:sz w:val="21"/>
          <w:szCs w:val="21"/>
        </w:rPr>
        <w:t xml:space="preserve"> Входи до захисних споруд та СПП, а також аварійні виходи з них, в тому числі тунелі, можуть використовуватись як евакуаційні виходи при умові їх відповідності</w:t>
      </w:r>
      <w:r w:rsidRPr="00CA7C54">
        <w:rPr>
          <w:color w:val="000000" w:themeColor="text1"/>
          <w:sz w:val="21"/>
          <w:szCs w:val="21"/>
        </w:rPr>
        <w:br/>
      </w:r>
      <w:hyperlink r:id="rId187" w:history="1">
        <w:r w:rsidRPr="00F075C5">
          <w:rPr>
            <w:rStyle w:val="ac"/>
            <w:rFonts w:cs="Arial"/>
            <w:sz w:val="21"/>
            <w:szCs w:val="21"/>
          </w:rPr>
          <w:t>ДБН В.1.1-7</w:t>
        </w:r>
      </w:hyperlink>
      <w:r w:rsidRPr="00CA7C54">
        <w:rPr>
          <w:color w:val="000000" w:themeColor="text1"/>
          <w:sz w:val="21"/>
          <w:szCs w:val="21"/>
        </w:rPr>
        <w:t xml:space="preserve">, </w:t>
      </w:r>
      <w:hyperlink r:id="rId188" w:history="1">
        <w:r w:rsidRPr="00F075C5">
          <w:rPr>
            <w:rStyle w:val="ac"/>
            <w:rFonts w:cs="Arial"/>
            <w:sz w:val="21"/>
            <w:szCs w:val="21"/>
          </w:rPr>
          <w:t>ДБН В.2.2-9</w:t>
        </w:r>
      </w:hyperlink>
      <w:r w:rsidRPr="00CA7C54">
        <w:rPr>
          <w:color w:val="000000" w:themeColor="text1"/>
          <w:sz w:val="21"/>
          <w:szCs w:val="21"/>
        </w:rPr>
        <w:t xml:space="preserve">, </w:t>
      </w:r>
      <w:hyperlink r:id="rId189" w:history="1">
        <w:r w:rsidRPr="007E3732">
          <w:rPr>
            <w:rStyle w:val="ac"/>
            <w:rFonts w:cs="Arial"/>
            <w:sz w:val="21"/>
            <w:szCs w:val="21"/>
          </w:rPr>
          <w:t>ДБН В.2.2-40</w:t>
        </w:r>
      </w:hyperlink>
      <w:r w:rsidRPr="00CA7C54">
        <w:rPr>
          <w:color w:val="000000" w:themeColor="text1"/>
          <w:sz w:val="21"/>
          <w:szCs w:val="21"/>
        </w:rPr>
        <w:t xml:space="preserve">, </w:t>
      </w:r>
      <w:hyperlink r:id="rId190" w:history="1">
        <w:r w:rsidRPr="00F075C5">
          <w:rPr>
            <w:rStyle w:val="ac"/>
            <w:rFonts w:cs="Arial"/>
            <w:sz w:val="21"/>
            <w:szCs w:val="21"/>
          </w:rPr>
          <w:t>ДБН В.2.2-28</w:t>
        </w:r>
      </w:hyperlink>
      <w:r w:rsidRPr="00CA7C54">
        <w:rPr>
          <w:color w:val="000000" w:themeColor="text1"/>
          <w:sz w:val="21"/>
          <w:szCs w:val="21"/>
        </w:rPr>
        <w:t xml:space="preserve"> та цих </w:t>
      </w:r>
      <w:r w:rsidR="00CA753B" w:rsidRPr="00CA7C54">
        <w:rPr>
          <w:color w:val="000000" w:themeColor="text1"/>
          <w:sz w:val="21"/>
          <w:szCs w:val="21"/>
        </w:rPr>
        <w:t>н</w:t>
      </w:r>
      <w:r w:rsidRPr="00CA7C54">
        <w:rPr>
          <w:color w:val="000000" w:themeColor="text1"/>
          <w:sz w:val="21"/>
          <w:szCs w:val="21"/>
        </w:rPr>
        <w:t>орм. </w:t>
      </w:r>
    </w:p>
    <w:p w14:paraId="5BF42B12" w14:textId="2443F16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lastRenderedPageBreak/>
        <w:t xml:space="preserve">10.5 </w:t>
      </w:r>
      <w:r w:rsidRPr="00CA7C54">
        <w:rPr>
          <w:color w:val="000000" w:themeColor="text1"/>
          <w:sz w:val="21"/>
          <w:szCs w:val="21"/>
        </w:rPr>
        <w:t xml:space="preserve">Шляхи до захисних споруд та СПП  допускається влаштовувати через внутрішні окремі сходи, які використовуються за умовами технології для сполучення між цокольним, підвальним, підземним та першим поверхом при умові дотримання вимог </w:t>
      </w:r>
      <w:hyperlink r:id="rId191" w:history="1">
        <w:r w:rsidRPr="00F075C5">
          <w:rPr>
            <w:rStyle w:val="ac"/>
            <w:rFonts w:cs="Arial"/>
            <w:sz w:val="21"/>
            <w:szCs w:val="21"/>
          </w:rPr>
          <w:t>ДБН В.1.1-7</w:t>
        </w:r>
      </w:hyperlink>
      <w:r w:rsidRPr="00CA7C54">
        <w:rPr>
          <w:color w:val="000000" w:themeColor="text1"/>
          <w:sz w:val="21"/>
          <w:szCs w:val="21"/>
        </w:rPr>
        <w:t xml:space="preserve">, </w:t>
      </w:r>
      <w:hyperlink r:id="rId192" w:history="1">
        <w:r w:rsidRPr="007E3732">
          <w:rPr>
            <w:rStyle w:val="ac"/>
            <w:rFonts w:cs="Arial"/>
            <w:sz w:val="21"/>
            <w:szCs w:val="21"/>
          </w:rPr>
          <w:t>ДБН В.2.2-40.</w:t>
        </w:r>
      </w:hyperlink>
      <w:r w:rsidRPr="00CA7C54">
        <w:rPr>
          <w:color w:val="000000" w:themeColor="text1"/>
          <w:sz w:val="21"/>
          <w:szCs w:val="21"/>
        </w:rPr>
        <w:t xml:space="preserve"> Ці сходи не враховуються під час про</w:t>
      </w:r>
      <w:r w:rsidR="00CA753B" w:rsidRPr="00CA7C54">
        <w:rPr>
          <w:color w:val="000000" w:themeColor="text1"/>
          <w:sz w:val="21"/>
          <w:szCs w:val="21"/>
        </w:rPr>
        <w:t>є</w:t>
      </w:r>
      <w:r w:rsidRPr="00CA7C54">
        <w:rPr>
          <w:color w:val="000000" w:themeColor="text1"/>
          <w:sz w:val="21"/>
          <w:szCs w:val="21"/>
        </w:rPr>
        <w:t>ктування шляхів евакуації. </w:t>
      </w:r>
    </w:p>
    <w:p w14:paraId="41253BF0"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Такі внутрішні окремі сходи мають бути влаштовані поза об’ємом захисної споруди або СПП.</w:t>
      </w:r>
    </w:p>
    <w:p w14:paraId="4C793D54" w14:textId="09F99F4B"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10.6</w:t>
      </w:r>
      <w:r w:rsidRPr="00CA7C54">
        <w:rPr>
          <w:color w:val="000000" w:themeColor="text1"/>
          <w:sz w:val="21"/>
          <w:szCs w:val="21"/>
        </w:rPr>
        <w:t xml:space="preserve"> Шляхи евакуації з  захисних споруд та СПП, з урахуванням їх місткості, мають бути розраховані відповідно до </w:t>
      </w:r>
      <w:hyperlink r:id="rId193" w:history="1">
        <w:r w:rsidRPr="00874F83">
          <w:rPr>
            <w:rStyle w:val="ac"/>
            <w:rFonts w:cs="Arial"/>
            <w:sz w:val="21"/>
            <w:szCs w:val="21"/>
          </w:rPr>
          <w:t>ДСТУ 8828.</w:t>
        </w:r>
      </w:hyperlink>
      <w:r w:rsidRPr="00CA7C54">
        <w:rPr>
          <w:color w:val="000000" w:themeColor="text1"/>
          <w:sz w:val="21"/>
          <w:szCs w:val="21"/>
        </w:rPr>
        <w:t xml:space="preserve"> При цьому для СПП додатково потрібно проводити розрахунки з урахуванням пожежної навантаги та кількості людей, що можуть перебувати в них у мирний час.</w:t>
      </w:r>
    </w:p>
    <w:p w14:paraId="6232A2DE" w14:textId="1B14A9EB" w:rsidR="003C4E04" w:rsidRPr="00CA7C54" w:rsidRDefault="001E748C" w:rsidP="00CA753B">
      <w:pPr>
        <w:spacing w:before="0" w:line="288" w:lineRule="auto"/>
        <w:contextualSpacing/>
        <w:rPr>
          <w:color w:val="000000" w:themeColor="text1"/>
          <w:sz w:val="21"/>
          <w:szCs w:val="21"/>
        </w:rPr>
      </w:pPr>
      <w:r w:rsidRPr="00CA7C54">
        <w:rPr>
          <w:b/>
          <w:color w:val="000000" w:themeColor="text1"/>
          <w:sz w:val="21"/>
          <w:szCs w:val="21"/>
        </w:rPr>
        <w:t>10.7</w:t>
      </w:r>
      <w:r w:rsidRPr="00CA7C54">
        <w:rPr>
          <w:color w:val="000000" w:themeColor="text1"/>
          <w:sz w:val="21"/>
          <w:szCs w:val="21"/>
        </w:rPr>
        <w:t xml:space="preserve"> Забезпечення евакуації людей із захисних споруд та СПП має відбуватися до настання гранично допустимих для людини значень небезпечних чинників пожежі згідно</w:t>
      </w:r>
      <w:r w:rsidR="00CA753B" w:rsidRPr="00CA7C54">
        <w:rPr>
          <w:color w:val="000000" w:themeColor="text1"/>
          <w:sz w:val="21"/>
          <w:szCs w:val="21"/>
        </w:rPr>
        <w:t xml:space="preserve"> з</w:t>
      </w:r>
      <w:r w:rsidRPr="00CA7C54">
        <w:rPr>
          <w:color w:val="000000" w:themeColor="text1"/>
          <w:sz w:val="21"/>
          <w:szCs w:val="21"/>
        </w:rPr>
        <w:t xml:space="preserve"> </w:t>
      </w:r>
      <w:hyperlink r:id="rId194" w:history="1">
        <w:r w:rsidRPr="00874F83">
          <w:rPr>
            <w:rStyle w:val="ac"/>
            <w:rFonts w:cs="Arial"/>
            <w:sz w:val="21"/>
            <w:szCs w:val="21"/>
          </w:rPr>
          <w:t>ДСТУ 8828</w:t>
        </w:r>
      </w:hyperlink>
      <w:r w:rsidRPr="00CA7C54">
        <w:rPr>
          <w:color w:val="000000" w:themeColor="text1"/>
          <w:sz w:val="21"/>
          <w:szCs w:val="21"/>
        </w:rPr>
        <w:t>.</w:t>
      </w:r>
    </w:p>
    <w:p w14:paraId="4B9F194E" w14:textId="03294893" w:rsidR="003C4E04" w:rsidRPr="00CA7C54" w:rsidRDefault="001E748C" w:rsidP="00CA753B">
      <w:pPr>
        <w:spacing w:before="0" w:line="288" w:lineRule="auto"/>
        <w:contextualSpacing/>
        <w:rPr>
          <w:color w:val="000000" w:themeColor="text1"/>
          <w:sz w:val="21"/>
          <w:szCs w:val="21"/>
        </w:rPr>
      </w:pPr>
      <w:r w:rsidRPr="00CA7C54">
        <w:rPr>
          <w:color w:val="000000" w:themeColor="text1"/>
          <w:sz w:val="21"/>
          <w:szCs w:val="21"/>
        </w:rPr>
        <w:t xml:space="preserve">Необхідність влаштування систем димо- та тепловидалення визначається згідно положень </w:t>
      </w:r>
      <w:hyperlink r:id="rId195" w:history="1">
        <w:r w:rsidRPr="00F075C5">
          <w:rPr>
            <w:rStyle w:val="ac"/>
            <w:rFonts w:cs="Arial"/>
            <w:sz w:val="21"/>
            <w:szCs w:val="21"/>
          </w:rPr>
          <w:t>ДБН В.2.5-56.</w:t>
        </w:r>
      </w:hyperlink>
    </w:p>
    <w:p w14:paraId="319AAC70" w14:textId="716EEEAB" w:rsidR="003C4E04" w:rsidRPr="00CA7C54" w:rsidRDefault="001E748C" w:rsidP="00CA753B">
      <w:pPr>
        <w:spacing w:before="0" w:line="288" w:lineRule="auto"/>
        <w:contextualSpacing/>
        <w:rPr>
          <w:color w:val="000000" w:themeColor="text1"/>
          <w:sz w:val="21"/>
          <w:szCs w:val="21"/>
        </w:rPr>
      </w:pPr>
      <w:r w:rsidRPr="00CA7C54">
        <w:rPr>
          <w:color w:val="000000" w:themeColor="text1"/>
          <w:sz w:val="21"/>
          <w:szCs w:val="21"/>
        </w:rPr>
        <w:t xml:space="preserve">Допускається використання систем витяжної вентиляції захисних споруд в якості систем протидимного захисту при умові їх відповідності вимогам </w:t>
      </w:r>
      <w:hyperlink r:id="rId196" w:history="1">
        <w:r w:rsidRPr="00F075C5">
          <w:rPr>
            <w:rStyle w:val="ac"/>
            <w:rFonts w:cs="Arial"/>
            <w:sz w:val="21"/>
            <w:szCs w:val="21"/>
          </w:rPr>
          <w:t>ДБН В.2.5-56.</w:t>
        </w:r>
      </w:hyperlink>
    </w:p>
    <w:p w14:paraId="15D61C22" w14:textId="7DE3E241" w:rsidR="003C4E04" w:rsidRPr="00CA7C54" w:rsidRDefault="001E748C" w:rsidP="00CA753B">
      <w:pPr>
        <w:spacing w:before="0" w:line="288" w:lineRule="auto"/>
        <w:contextualSpacing/>
        <w:rPr>
          <w:color w:val="000000" w:themeColor="text1"/>
          <w:sz w:val="21"/>
          <w:szCs w:val="21"/>
        </w:rPr>
      </w:pPr>
      <w:r w:rsidRPr="00CA7C54">
        <w:rPr>
          <w:color w:val="000000" w:themeColor="text1"/>
          <w:sz w:val="21"/>
          <w:szCs w:val="21"/>
        </w:rPr>
        <w:t xml:space="preserve">Видалення диму та гарячих газоподібних продуктів згорання допускається не передбачати із захисних споруд та СПП проміжок часу, заповнення димом яких перевищує проміжок часу евакуації, розрахований згідно з </w:t>
      </w:r>
      <w:hyperlink r:id="rId197" w:history="1">
        <w:r w:rsidRPr="00874F83">
          <w:rPr>
            <w:rStyle w:val="ac"/>
            <w:rFonts w:cs="Arial"/>
            <w:sz w:val="21"/>
            <w:szCs w:val="21"/>
          </w:rPr>
          <w:t>ДСТУ 8828.</w:t>
        </w:r>
      </w:hyperlink>
      <w:r w:rsidRPr="00CA7C54">
        <w:rPr>
          <w:color w:val="000000" w:themeColor="text1"/>
          <w:sz w:val="21"/>
          <w:szCs w:val="21"/>
        </w:rPr>
        <w:t xml:space="preserve"> </w:t>
      </w:r>
    </w:p>
    <w:p w14:paraId="5201F6DA"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10.8</w:t>
      </w:r>
      <w:r w:rsidRPr="00CA7C54">
        <w:rPr>
          <w:color w:val="000000" w:themeColor="text1"/>
          <w:sz w:val="21"/>
          <w:szCs w:val="21"/>
        </w:rPr>
        <w:t xml:space="preserve"> Евакуаційні виходи із захисних споруд, які розташовані на двох поверхах та більше слід передбачати через незадимлювані сходові клітки типу Н4. </w:t>
      </w:r>
    </w:p>
    <w:p w14:paraId="3067F35F"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10.9</w:t>
      </w:r>
      <w:r w:rsidRPr="00CA7C54">
        <w:rPr>
          <w:color w:val="000000" w:themeColor="text1"/>
          <w:sz w:val="21"/>
          <w:szCs w:val="21"/>
        </w:rPr>
        <w:t xml:space="preserve"> Евакуаційні виходи/шляхи допускається передбачати через тамбури, тамбур-шлюзи, герметично-захисні, герметичні двері та захисні двері.  </w:t>
      </w:r>
    </w:p>
    <w:p w14:paraId="1EF045C0" w14:textId="77777777" w:rsidR="003C4E04" w:rsidRPr="00CA7C54" w:rsidRDefault="001E748C" w:rsidP="00F6335A">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Евакуаційні виходи повинні бути захищені від атмосферних опадів та поверхневих вод.</w:t>
      </w:r>
    </w:p>
    <w:p w14:paraId="02B0A01C" w14:textId="77777777" w:rsidR="003C4E04" w:rsidRPr="00CA7C54" w:rsidRDefault="001E748C" w:rsidP="00F6335A">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10.10</w:t>
      </w:r>
      <w:r w:rsidRPr="00CA7C54">
        <w:rPr>
          <w:color w:val="000000" w:themeColor="text1"/>
          <w:sz w:val="21"/>
          <w:szCs w:val="21"/>
        </w:rPr>
        <w:t xml:space="preserve"> Вбудовані (прибудовані) у виробничі (складські) будівлі і споруди захисні споруди та СПП  </w:t>
      </w:r>
      <w:r w:rsidRPr="00F6335A">
        <w:rPr>
          <w:color w:val="000000" w:themeColor="text1"/>
          <w:w w:val="99"/>
          <w:sz w:val="21"/>
          <w:szCs w:val="21"/>
        </w:rPr>
        <w:t>слід розміщувати в будівлях (спорудах) категорій за вибухопожежною небезпекою В, Г та</w:t>
      </w:r>
      <w:r w:rsidRPr="00CA7C54">
        <w:rPr>
          <w:color w:val="000000" w:themeColor="text1"/>
          <w:sz w:val="21"/>
          <w:szCs w:val="21"/>
        </w:rPr>
        <w:t xml:space="preserve"> Д. </w:t>
      </w:r>
    </w:p>
    <w:p w14:paraId="4CFAFEFB" w14:textId="77777777" w:rsidR="003C4E04" w:rsidRPr="00CA7C54" w:rsidRDefault="001E748C" w:rsidP="00F6335A">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цьому, захисні споруди необхідно відокремлювати від приміщень категорії В суцільними протипожежними стінами та перекриттям 1-го типу.</w:t>
      </w:r>
    </w:p>
    <w:p w14:paraId="77D3D284" w14:textId="77777777" w:rsidR="00F6335A" w:rsidRPr="00B173EB" w:rsidRDefault="001E748C" w:rsidP="00F6335A">
      <w:pPr>
        <w:spacing w:before="0" w:line="288" w:lineRule="auto"/>
        <w:ind w:firstLine="709"/>
        <w:rPr>
          <w:rFonts w:eastAsia="Calibri"/>
          <w:sz w:val="21"/>
          <w:szCs w:val="21"/>
        </w:rPr>
      </w:pPr>
      <w:r w:rsidRPr="00CA7C54">
        <w:rPr>
          <w:b/>
          <w:color w:val="000000" w:themeColor="text1"/>
          <w:sz w:val="21"/>
          <w:szCs w:val="21"/>
        </w:rPr>
        <w:t>10.11</w:t>
      </w:r>
      <w:r w:rsidRPr="00CA7C54">
        <w:rPr>
          <w:color w:val="000000" w:themeColor="text1"/>
          <w:sz w:val="21"/>
          <w:szCs w:val="21"/>
        </w:rPr>
        <w:t xml:space="preserve"> </w:t>
      </w:r>
      <w:r w:rsidR="00F6335A" w:rsidRPr="00B173EB">
        <w:rPr>
          <w:rFonts w:eastAsia="Calibri"/>
          <w:bCs/>
          <w:sz w:val="21"/>
          <w:szCs w:val="21"/>
        </w:rPr>
        <w:t xml:space="preserve">Вбудовані в будинки і споруди та прибудовані захисні споруди та СПП із захисними властивостями ПРУ слід відокремлювати в окремий протипожежний відсік. </w:t>
      </w:r>
    </w:p>
    <w:p w14:paraId="1440123C" w14:textId="77777777" w:rsidR="00F6335A" w:rsidRPr="00B173EB" w:rsidRDefault="00F6335A" w:rsidP="00F6335A">
      <w:pPr>
        <w:spacing w:before="0" w:line="288" w:lineRule="auto"/>
        <w:ind w:firstLine="709"/>
        <w:rPr>
          <w:rFonts w:eastAsia="Calibri"/>
          <w:sz w:val="21"/>
          <w:szCs w:val="21"/>
        </w:rPr>
      </w:pPr>
      <w:r w:rsidRPr="00B173EB">
        <w:rPr>
          <w:rFonts w:eastAsia="Calibri"/>
          <w:sz w:val="21"/>
          <w:szCs w:val="21"/>
        </w:rPr>
        <w:t>Будинки і споруди, до яких передба</w:t>
      </w:r>
      <w:r>
        <w:rPr>
          <w:rFonts w:eastAsia="Calibri"/>
          <w:sz w:val="21"/>
          <w:szCs w:val="21"/>
        </w:rPr>
        <w:t>ч</w:t>
      </w:r>
      <w:r w:rsidRPr="00B173EB">
        <w:rPr>
          <w:rFonts w:eastAsia="Calibri"/>
          <w:sz w:val="21"/>
          <w:szCs w:val="21"/>
        </w:rPr>
        <w:t>ається вбудовувати захисні споруди та СПП</w:t>
      </w:r>
      <w:r>
        <w:rPr>
          <w:rFonts w:eastAsia="Calibri"/>
          <w:sz w:val="21"/>
          <w:szCs w:val="21"/>
        </w:rPr>
        <w:t>,</w:t>
      </w:r>
      <w:r w:rsidRPr="00B173EB">
        <w:rPr>
          <w:rFonts w:eastAsia="Calibri"/>
          <w:sz w:val="21"/>
          <w:szCs w:val="21"/>
        </w:rPr>
        <w:t xml:space="preserve"> мають бути не нижче II ступеня вогнестійкості. </w:t>
      </w:r>
    </w:p>
    <w:p w14:paraId="79083A12" w14:textId="7BAC0F72" w:rsidR="00F6335A" w:rsidRPr="00B173EB" w:rsidRDefault="00F6335A" w:rsidP="00F6335A">
      <w:pPr>
        <w:spacing w:before="0" w:line="288" w:lineRule="auto"/>
        <w:ind w:firstLine="709"/>
        <w:rPr>
          <w:rFonts w:eastAsia="Calibri"/>
          <w:sz w:val="21"/>
          <w:szCs w:val="21"/>
        </w:rPr>
      </w:pPr>
      <w:r>
        <w:rPr>
          <w:rFonts w:eastAsia="Calibri"/>
          <w:sz w:val="21"/>
          <w:szCs w:val="21"/>
        </w:rPr>
        <w:t>У</w:t>
      </w:r>
      <w:r w:rsidRPr="00B173EB">
        <w:rPr>
          <w:rFonts w:eastAsia="Calibri"/>
          <w:sz w:val="21"/>
          <w:szCs w:val="21"/>
        </w:rPr>
        <w:t xml:space="preserve"> підвальних та підземних поверхах будинків і споруд не нижче ІІІа ступеня вогнестійкості </w:t>
      </w:r>
      <w:r>
        <w:rPr>
          <w:rFonts w:eastAsia="Calibri"/>
          <w:sz w:val="21"/>
          <w:szCs w:val="21"/>
        </w:rPr>
        <w:t xml:space="preserve">допускається </w:t>
      </w:r>
      <w:r w:rsidRPr="00B173EB">
        <w:rPr>
          <w:rFonts w:eastAsia="Calibri"/>
          <w:sz w:val="21"/>
          <w:szCs w:val="21"/>
        </w:rPr>
        <w:t xml:space="preserve">передбачати вбудовані захисні споруди та СПП за умови їх відокремлення суцільними протипожежними стінами та перекриттям 1-го типу. Мінімальний клас вогнестійкості будівельних конструкцій захисних споруд та СПП слід приймати як для будинків II ступеня вогнестійкості згідно з </w:t>
      </w:r>
      <w:hyperlink r:id="rId198" w:history="1">
        <w:r w:rsidRPr="00F075C5">
          <w:rPr>
            <w:rStyle w:val="ac"/>
            <w:rFonts w:eastAsia="Calibri" w:cs="Arial"/>
            <w:sz w:val="21"/>
            <w:szCs w:val="21"/>
          </w:rPr>
          <w:t>ДБН В.1.1-7</w:t>
        </w:r>
      </w:hyperlink>
      <w:r w:rsidRPr="00B173EB">
        <w:rPr>
          <w:rFonts w:eastAsia="Calibri"/>
          <w:sz w:val="21"/>
          <w:szCs w:val="21"/>
        </w:rPr>
        <w:t>, але не менше ступеня вогнестійкості будинку</w:t>
      </w:r>
      <w:r>
        <w:rPr>
          <w:rFonts w:eastAsia="Calibri"/>
          <w:sz w:val="21"/>
          <w:szCs w:val="21"/>
        </w:rPr>
        <w:t>,</w:t>
      </w:r>
      <w:r w:rsidRPr="00B173EB">
        <w:rPr>
          <w:rFonts w:eastAsia="Calibri"/>
          <w:sz w:val="21"/>
          <w:szCs w:val="21"/>
        </w:rPr>
        <w:t xml:space="preserve"> в який вбудовано або до якого прибудовано захисну споруду. У захисних спорудах та СПП стіни, що відокремлюють дизельну від приміщень, в яких перебувають особи, які підлягають укриттю, повинні бути суцільними протипожежними 1-го типу.</w:t>
      </w:r>
    </w:p>
    <w:p w14:paraId="413A9E18" w14:textId="27EED352" w:rsidR="003C4E04" w:rsidRPr="00F6335A" w:rsidRDefault="00F6335A" w:rsidP="00F6335A">
      <w:pPr>
        <w:spacing w:before="0" w:line="288" w:lineRule="auto"/>
        <w:contextualSpacing/>
        <w:rPr>
          <w:rFonts w:eastAsia="Times New Roman"/>
          <w:b/>
          <w:bCs/>
          <w:i/>
          <w:iCs/>
          <w:color w:val="00B050"/>
          <w:sz w:val="21"/>
          <w:szCs w:val="21"/>
        </w:rPr>
      </w:pPr>
      <w:r w:rsidRPr="00F6335A">
        <w:rPr>
          <w:rFonts w:eastAsia="Times New Roman"/>
          <w:b/>
          <w:bCs/>
          <w:i/>
          <w:iCs/>
          <w:color w:val="00B050"/>
          <w:sz w:val="21"/>
          <w:szCs w:val="21"/>
        </w:rPr>
        <w:t>(Пункт 10.11 змінено, Зміна № 2)</w:t>
      </w:r>
    </w:p>
    <w:p w14:paraId="00CFD1D2" w14:textId="77777777" w:rsidR="003C4E04" w:rsidRPr="00CA7C54" w:rsidRDefault="001E748C" w:rsidP="00F6335A">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10.12</w:t>
      </w:r>
      <w:r w:rsidRPr="00CA7C54">
        <w:rPr>
          <w:color w:val="000000" w:themeColor="text1"/>
          <w:sz w:val="21"/>
          <w:szCs w:val="21"/>
        </w:rPr>
        <w:t xml:space="preserve"> Приміщення машинного залу та примiщення iз запасом паливно-мастильних матерiалiв захищених ДЕС слід вiдносити за пожежною небезпекою до категорiї В з обладнанням системами автоматичного пожежогасiння.</w:t>
      </w:r>
    </w:p>
    <w:p w14:paraId="3FB10343" w14:textId="7781657D"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10.13</w:t>
      </w:r>
      <w:r w:rsidRPr="00CA7C54">
        <w:rPr>
          <w:color w:val="000000" w:themeColor="text1"/>
          <w:sz w:val="21"/>
          <w:szCs w:val="21"/>
        </w:rPr>
        <w:t xml:space="preserve"> У захисних спорудах місткістю більше</w:t>
      </w:r>
      <w:r w:rsidR="007767B7" w:rsidRPr="00CA7C54">
        <w:rPr>
          <w:color w:val="000000" w:themeColor="text1"/>
          <w:sz w:val="21"/>
          <w:szCs w:val="21"/>
        </w:rPr>
        <w:t xml:space="preserve"> ніж</w:t>
      </w:r>
      <w:r w:rsidRPr="00CA7C54">
        <w:rPr>
          <w:color w:val="000000" w:themeColor="text1"/>
          <w:sz w:val="21"/>
          <w:szCs w:val="21"/>
        </w:rPr>
        <w:t xml:space="preserve"> 600 осіб та/або об’ємом від 5000 м</w:t>
      </w:r>
      <w:r w:rsidRPr="00CA7C54">
        <w:rPr>
          <w:color w:val="000000" w:themeColor="text1"/>
          <w:sz w:val="21"/>
          <w:szCs w:val="21"/>
          <w:vertAlign w:val="superscript"/>
        </w:rPr>
        <w:t>3</w:t>
      </w:r>
      <w:r w:rsidRPr="00CA7C54">
        <w:rPr>
          <w:color w:val="000000" w:themeColor="text1"/>
          <w:sz w:val="21"/>
          <w:szCs w:val="21"/>
        </w:rPr>
        <w:t xml:space="preserve"> слід передбачати систему внутрішнього протипожежного водопроводу з пожежними кран-комплектами </w:t>
      </w:r>
      <w:r w:rsidRPr="00CA7C54">
        <w:rPr>
          <w:color w:val="000000" w:themeColor="text1"/>
          <w:spacing w:val="-4"/>
          <w:sz w:val="21"/>
          <w:szCs w:val="21"/>
        </w:rPr>
        <w:t>із розрахунку зрошення кожної точки приміщення одним струменем з витратами не менше</w:t>
      </w:r>
      <w:r w:rsidR="0003318F" w:rsidRPr="00CA7C54">
        <w:rPr>
          <w:color w:val="000000" w:themeColor="text1"/>
          <w:spacing w:val="-4"/>
          <w:sz w:val="21"/>
          <w:szCs w:val="21"/>
        </w:rPr>
        <w:t xml:space="preserve"> ніж </w:t>
      </w:r>
      <w:r w:rsidRPr="00CA7C54">
        <w:rPr>
          <w:color w:val="000000" w:themeColor="text1"/>
          <w:spacing w:val="-4"/>
          <w:sz w:val="21"/>
          <w:szCs w:val="21"/>
        </w:rPr>
        <w:t>2,5 л/с</w:t>
      </w:r>
      <w:r w:rsidRPr="00CA7C54">
        <w:rPr>
          <w:color w:val="000000" w:themeColor="text1"/>
          <w:sz w:val="21"/>
          <w:szCs w:val="21"/>
        </w:rPr>
        <w:t xml:space="preserve">, відповідно до положень </w:t>
      </w:r>
      <w:hyperlink r:id="rId199" w:history="1">
        <w:r w:rsidRPr="00874F83">
          <w:rPr>
            <w:rStyle w:val="ac"/>
            <w:rFonts w:cs="Arial"/>
            <w:sz w:val="21"/>
            <w:szCs w:val="21"/>
          </w:rPr>
          <w:t>ДБН В.2.5-64</w:t>
        </w:r>
      </w:hyperlink>
      <w:r w:rsidRPr="00CA7C54">
        <w:rPr>
          <w:color w:val="000000" w:themeColor="text1"/>
          <w:sz w:val="21"/>
          <w:szCs w:val="21"/>
        </w:rPr>
        <w:t xml:space="preserve"> та </w:t>
      </w:r>
      <w:hyperlink r:id="rId200" w:history="1">
        <w:r w:rsidRPr="00874F83">
          <w:rPr>
            <w:rStyle w:val="ac"/>
            <w:rFonts w:cs="Arial"/>
            <w:sz w:val="21"/>
            <w:szCs w:val="21"/>
          </w:rPr>
          <w:t>ДБН В.2.5-74.</w:t>
        </w:r>
      </w:hyperlink>
    </w:p>
    <w:p w14:paraId="04D6EDFF" w14:textId="641CFCCC"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Розрахунковий час роботи пожежного кран-комплекту приймається не менше ніж 60 хв. Необхідність улаштування внутрішнього протипожежного водопроводу з пожежними кран-</w:t>
      </w:r>
      <w:r w:rsidRPr="00CA7C54">
        <w:rPr>
          <w:color w:val="000000" w:themeColor="text1"/>
          <w:sz w:val="21"/>
          <w:szCs w:val="21"/>
        </w:rPr>
        <w:lastRenderedPageBreak/>
        <w:t xml:space="preserve">комплектами в СПП визначається згідно положень </w:t>
      </w:r>
      <w:hyperlink r:id="rId201" w:history="1">
        <w:r w:rsidRPr="00874F83">
          <w:rPr>
            <w:rStyle w:val="ac"/>
            <w:rFonts w:cs="Arial"/>
            <w:sz w:val="21"/>
            <w:szCs w:val="21"/>
          </w:rPr>
          <w:t>ДБН В.2.5-64</w:t>
        </w:r>
      </w:hyperlink>
      <w:r w:rsidRPr="00CA7C54">
        <w:rPr>
          <w:color w:val="000000" w:themeColor="text1"/>
          <w:sz w:val="21"/>
          <w:szCs w:val="21"/>
        </w:rPr>
        <w:t>, в залежності від функціонального призначення їх приміщень в мирний час.</w:t>
      </w:r>
    </w:p>
    <w:p w14:paraId="4475079C" w14:textId="4693AD02"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захисних спорудах та СПП місткістю від 21 до 600 осіб та/або об’ємом до 5000 м</w:t>
      </w:r>
      <w:r w:rsidRPr="00CA7C54">
        <w:rPr>
          <w:color w:val="000000" w:themeColor="text1"/>
          <w:sz w:val="21"/>
          <w:szCs w:val="21"/>
          <w:vertAlign w:val="superscript"/>
        </w:rPr>
        <w:t xml:space="preserve">3 </w:t>
      </w:r>
      <w:r w:rsidRPr="00CA7C54">
        <w:rPr>
          <w:color w:val="000000" w:themeColor="text1"/>
          <w:sz w:val="21"/>
          <w:szCs w:val="21"/>
        </w:rPr>
        <w:t> слід передбачати встановлення пожежних кран-комплектів з внутрішнім діаметром рукава не менше 19 мм та витратою не менше 31 л/хв згідно</w:t>
      </w:r>
      <w:r w:rsidR="0003318F" w:rsidRPr="00CA7C54">
        <w:rPr>
          <w:color w:val="000000" w:themeColor="text1"/>
          <w:sz w:val="21"/>
          <w:szCs w:val="21"/>
        </w:rPr>
        <w:t xml:space="preserve"> з</w:t>
      </w:r>
      <w:r w:rsidRPr="00CA7C54">
        <w:rPr>
          <w:color w:val="000000" w:themeColor="text1"/>
          <w:sz w:val="21"/>
          <w:szCs w:val="21"/>
        </w:rPr>
        <w:t xml:space="preserve"> </w:t>
      </w:r>
      <w:hyperlink r:id="rId202" w:history="1">
        <w:r w:rsidRPr="00874F83">
          <w:rPr>
            <w:rStyle w:val="ac"/>
            <w:rFonts w:cs="Arial"/>
            <w:sz w:val="21"/>
            <w:szCs w:val="21"/>
          </w:rPr>
          <w:t>ДСТУ EN 671-1</w:t>
        </w:r>
      </w:hyperlink>
      <w:r w:rsidRPr="00CA7C54">
        <w:rPr>
          <w:color w:val="000000" w:themeColor="text1"/>
          <w:sz w:val="21"/>
          <w:szCs w:val="21"/>
        </w:rPr>
        <w:t>. Розміщення пожежних кран-комплектів необхідно здійснювати з урахуванням зрошення кожної точки приміщення одним струменем. Живлення таких пожежних кран-комплектів допускається передбачати  від зовнішньої мережі водопостачання.</w:t>
      </w:r>
    </w:p>
    <w:p w14:paraId="58B1B972" w14:textId="4BED65B4"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10.14</w:t>
      </w:r>
      <w:r w:rsidRPr="00CA7C54">
        <w:rPr>
          <w:color w:val="000000" w:themeColor="text1"/>
          <w:sz w:val="21"/>
          <w:szCs w:val="21"/>
        </w:rPr>
        <w:t xml:space="preserve"> Необхідність влаштування зовнішнього  протипожежного  водопостачання для окремо розташованих захисних споруд визначається у відповідності до вимог </w:t>
      </w:r>
      <w:hyperlink r:id="rId203" w:history="1">
        <w:r w:rsidRPr="00874F83">
          <w:rPr>
            <w:rStyle w:val="ac"/>
            <w:rFonts w:cs="Arial"/>
            <w:sz w:val="21"/>
            <w:szCs w:val="21"/>
          </w:rPr>
          <w:t>ДБН В.2.5-74</w:t>
        </w:r>
      </w:hyperlink>
      <w:r w:rsidRPr="00CA7C54">
        <w:rPr>
          <w:color w:val="000000" w:themeColor="text1"/>
          <w:sz w:val="21"/>
          <w:szCs w:val="21"/>
        </w:rPr>
        <w:t xml:space="preserve"> як для громадських будинків та споруд.</w:t>
      </w:r>
    </w:p>
    <w:p w14:paraId="35243916" w14:textId="55685184" w:rsidR="003C4E04" w:rsidRPr="00CA7C54" w:rsidRDefault="001E748C" w:rsidP="00CA753B">
      <w:pPr>
        <w:spacing w:before="0" w:line="288" w:lineRule="auto"/>
        <w:contextualSpacing/>
        <w:rPr>
          <w:color w:val="000000" w:themeColor="text1"/>
          <w:sz w:val="21"/>
          <w:szCs w:val="21"/>
        </w:rPr>
      </w:pPr>
      <w:r w:rsidRPr="00CA7C54">
        <w:rPr>
          <w:b/>
          <w:color w:val="000000" w:themeColor="text1"/>
          <w:sz w:val="21"/>
          <w:szCs w:val="21"/>
        </w:rPr>
        <w:t>10.15</w:t>
      </w:r>
      <w:r w:rsidRPr="00CA7C54">
        <w:rPr>
          <w:color w:val="000000" w:themeColor="text1"/>
          <w:sz w:val="21"/>
          <w:szCs w:val="21"/>
        </w:rPr>
        <w:t xml:space="preserve"> Захисні споруди та СПП обладнуються системами протипожежного захисту відповідно до вимог </w:t>
      </w:r>
      <w:hyperlink r:id="rId204" w:history="1">
        <w:r w:rsidRPr="00F075C5">
          <w:rPr>
            <w:rStyle w:val="ac"/>
            <w:rFonts w:cs="Arial"/>
            <w:sz w:val="21"/>
            <w:szCs w:val="21"/>
          </w:rPr>
          <w:t>ДБН В.2.5-56</w:t>
        </w:r>
      </w:hyperlink>
      <w:r w:rsidRPr="00CA7C54">
        <w:rPr>
          <w:color w:val="000000" w:themeColor="text1"/>
          <w:sz w:val="21"/>
          <w:szCs w:val="21"/>
        </w:rPr>
        <w:t>.</w:t>
      </w:r>
    </w:p>
    <w:p w14:paraId="49AEBF55"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До систем протипожежного захисту СПП, які передбачаються для використання в мирний час, не висуваються вимоги щодо їх працездатності при аварійних ситуаціях внаслідок дії небезпечних чинників, що можуть виникнути як складова частина небезпечних явищ воєнних (бойових) дій та терористичних актів.</w:t>
      </w:r>
    </w:p>
    <w:p w14:paraId="4FEEFE83"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Системи пожежної сигналізації та системами керування евакуюванням (в частині систем оповіщення про пожежу і покажчиків напрямку евакуювання), диспетчеризації систем протипожежного захисту (вбудованих, прибудованих) захисних споруд та СПП повинні бути автономними від систем протипожежного захисту іншої частини будинку, але при цьому інтегруватися в його загальні системи.</w:t>
      </w:r>
    </w:p>
    <w:p w14:paraId="1EA6D13E"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цьому, інформаційні сигнали про стан функціонування систем протипожежного захисту повинні бути виведені до приміщення пожежного поста основної будівлі.</w:t>
      </w:r>
    </w:p>
    <w:p w14:paraId="00B5EF59"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Тип систем керування евакуюванням в захисних спорудах та СПП слід передбачати:</w:t>
      </w:r>
    </w:p>
    <w:p w14:paraId="5EABE92B" w14:textId="77777777" w:rsidR="003C4E04" w:rsidRPr="00CA7C54" w:rsidRDefault="009F690B" w:rsidP="00CA753B">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нижче СО2 – для захисних споруд та СПП місткістю до 300 осіб включно;</w:t>
      </w:r>
    </w:p>
    <w:p w14:paraId="041D0D8A" w14:textId="77777777" w:rsidR="003C4E04" w:rsidRPr="00CA7C54" w:rsidRDefault="009F690B" w:rsidP="00CA753B">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нижче СОЗ – для захисних споруд та СПП місткістю 301 особа і більше</w:t>
      </w:r>
    </w:p>
    <w:p w14:paraId="699D09D3"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10.16</w:t>
      </w:r>
      <w:r w:rsidRPr="00CA7C54">
        <w:rPr>
          <w:color w:val="000000" w:themeColor="text1"/>
          <w:sz w:val="21"/>
          <w:szCs w:val="21"/>
        </w:rPr>
        <w:t xml:space="preserve"> У захисних спорудах та СПП місткістю 301 та більше осіб</w:t>
      </w:r>
      <w:r w:rsidR="0003318F" w:rsidRPr="00CA7C54">
        <w:rPr>
          <w:color w:val="000000" w:themeColor="text1"/>
          <w:sz w:val="21"/>
          <w:szCs w:val="21"/>
        </w:rPr>
        <w:t>,</w:t>
      </w:r>
      <w:r w:rsidRPr="00CA7C54">
        <w:rPr>
          <w:color w:val="000000" w:themeColor="text1"/>
          <w:sz w:val="21"/>
          <w:szCs w:val="21"/>
        </w:rPr>
        <w:t xml:space="preserve"> устаткування керування системами протипожежного захисту слід встановлювати у приміщенні пожежного поста (приміщення чергового персоналу), а місткістю споруди до 300 осіб включно - в окремій зоні в основному приміщення для укриття.</w:t>
      </w:r>
    </w:p>
    <w:p w14:paraId="488EC150" w14:textId="014A3EFF" w:rsidR="003C4E04" w:rsidRPr="00CA7C54" w:rsidRDefault="001E748C" w:rsidP="00CA753B">
      <w:pPr>
        <w:spacing w:before="0" w:line="288" w:lineRule="auto"/>
        <w:contextualSpacing/>
        <w:rPr>
          <w:rFonts w:ascii="Times New Roman" w:eastAsia="Times New Roman" w:hAnsi="Times New Roman" w:cs="Times New Roman"/>
          <w:color w:val="000000" w:themeColor="text1"/>
          <w:spacing w:val="12"/>
          <w:sz w:val="21"/>
          <w:szCs w:val="21"/>
        </w:rPr>
      </w:pPr>
      <w:r w:rsidRPr="00CA7C54">
        <w:rPr>
          <w:color w:val="000000" w:themeColor="text1"/>
          <w:spacing w:val="12"/>
          <w:sz w:val="21"/>
          <w:szCs w:val="21"/>
        </w:rPr>
        <w:t xml:space="preserve">До приміщення пожежного поста захисної споруди та СПП не висуваються вимоги </w:t>
      </w:r>
      <w:r w:rsidR="0003318F" w:rsidRPr="00CA7C54">
        <w:rPr>
          <w:color w:val="000000" w:themeColor="text1"/>
          <w:spacing w:val="12"/>
          <w:sz w:val="21"/>
          <w:szCs w:val="21"/>
        </w:rPr>
        <w:t xml:space="preserve">до </w:t>
      </w:r>
      <w:hyperlink r:id="rId205" w:history="1">
        <w:r w:rsidRPr="00F075C5">
          <w:rPr>
            <w:rStyle w:val="ac"/>
            <w:rFonts w:cs="Arial"/>
            <w:spacing w:val="12"/>
            <w:sz w:val="21"/>
            <w:szCs w:val="21"/>
          </w:rPr>
          <w:t>ДБН В.2.5-56</w:t>
        </w:r>
      </w:hyperlink>
      <w:r w:rsidRPr="00CA7C54">
        <w:rPr>
          <w:color w:val="000000" w:themeColor="text1"/>
          <w:spacing w:val="12"/>
          <w:sz w:val="21"/>
          <w:szCs w:val="21"/>
        </w:rPr>
        <w:t xml:space="preserve"> в частині його розміщення, площі та природного освітлення.</w:t>
      </w:r>
    </w:p>
    <w:p w14:paraId="279AF5DA"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цьому інформаційні сигнали про стан функціонування систем протипожежного захисту повинні буди виведені до приміщення пожежного поста основної будівлі.</w:t>
      </w:r>
    </w:p>
    <w:p w14:paraId="7ED67339"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10.17</w:t>
      </w:r>
      <w:r w:rsidRPr="00CA7C54">
        <w:rPr>
          <w:color w:val="000000" w:themeColor="text1"/>
          <w:sz w:val="21"/>
          <w:szCs w:val="21"/>
        </w:rPr>
        <w:t xml:space="preserve"> Для внутрішнього оздоблення приміщень, коридорів, тамбурів, тамбур-шлюзів, сходових кліток, а також влаштування підлог захисних споруд та СПП повинні застосовуватись негорючі матеріали. Забороняється застосовувати синтетичні матеріали з показниками пожежної небезпеки вище ніж Г2, Д2, Т2 (Сs2d0, Т2) для виготовлення місць для сидіння (лежання) та іншого обладнання. </w:t>
      </w:r>
    </w:p>
    <w:p w14:paraId="040F5968" w14:textId="77777777" w:rsidR="003C4E04" w:rsidRPr="00CA7C54" w:rsidRDefault="001E748C" w:rsidP="00CA753B">
      <w:pPr>
        <w:spacing w:before="0" w:line="288" w:lineRule="auto"/>
        <w:contextualSpacing/>
        <w:jc w:val="left"/>
        <w:rPr>
          <w:rFonts w:ascii="Times New Roman" w:eastAsia="Times New Roman" w:hAnsi="Times New Roman" w:cs="Times New Roman"/>
          <w:color w:val="000000" w:themeColor="text1"/>
          <w:sz w:val="21"/>
          <w:szCs w:val="21"/>
        </w:rPr>
      </w:pPr>
      <w:r w:rsidRPr="00CA7C54">
        <w:rPr>
          <w:b/>
          <w:color w:val="000000" w:themeColor="text1"/>
          <w:sz w:val="21"/>
          <w:szCs w:val="21"/>
        </w:rPr>
        <w:t>10.18</w:t>
      </w:r>
      <w:r w:rsidRPr="00CA7C54">
        <w:rPr>
          <w:color w:val="000000" w:themeColor="text1"/>
          <w:sz w:val="21"/>
          <w:szCs w:val="21"/>
        </w:rPr>
        <w:t xml:space="preserve"> Основні приміщення  захисних споруд та СПП мають оснащуватися водяними та/або водопінними вогнегасниками.</w:t>
      </w:r>
    </w:p>
    <w:p w14:paraId="5BE59C75"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10.19</w:t>
      </w:r>
      <w:r w:rsidRPr="00CA7C54">
        <w:rPr>
          <w:color w:val="000000" w:themeColor="text1"/>
          <w:sz w:val="21"/>
          <w:szCs w:val="21"/>
        </w:rPr>
        <w:t xml:space="preserve"> Захисні споруди загальною місткістю 301 та більше осіб слід розділяти на протипожежні секції протипожежними перегородками з класом вогнестійкості не менше ЕІ60, заповнення прорізів в них потрібно передбачати протипожежними дверима (воротами, вікнами, клапанами, тощо) 1-го типу. З кожної частини секції має передбачатися не менше одного евакуаційного виходу назовні. При цьому, в одній із передбачених секцій має укриватися не менше 40% осіб від значення загальної місткості споруди.</w:t>
      </w:r>
    </w:p>
    <w:p w14:paraId="12B01EC1" w14:textId="58E0F8B0"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Площу протипожежного відсіку для окремо розташованих захисних споруд допускається приймати до 1400 м</w:t>
      </w:r>
      <w:r w:rsidRPr="00CA7C54">
        <w:rPr>
          <w:color w:val="000000" w:themeColor="text1"/>
          <w:sz w:val="21"/>
          <w:szCs w:val="21"/>
          <w:vertAlign w:val="superscript"/>
        </w:rPr>
        <w:t>2</w:t>
      </w:r>
      <w:r w:rsidRPr="00CA7C54">
        <w:rPr>
          <w:color w:val="000000" w:themeColor="text1"/>
          <w:sz w:val="21"/>
          <w:szCs w:val="21"/>
        </w:rPr>
        <w:t xml:space="preserve"> включно, при цьому площа протипожежної секції не повинна </w:t>
      </w:r>
      <w:r w:rsidR="00874F83">
        <w:rPr>
          <w:color w:val="000000" w:themeColor="text1"/>
          <w:sz w:val="21"/>
          <w:szCs w:val="21"/>
        </w:rPr>
        <w:t xml:space="preserve">                    </w:t>
      </w:r>
      <w:r w:rsidRPr="00CA7C54">
        <w:rPr>
          <w:color w:val="000000" w:themeColor="text1"/>
          <w:sz w:val="21"/>
          <w:szCs w:val="21"/>
        </w:rPr>
        <w:t>перевищувати 700 м</w:t>
      </w:r>
      <w:r w:rsidRPr="00CA7C54">
        <w:rPr>
          <w:color w:val="000000" w:themeColor="text1"/>
          <w:sz w:val="21"/>
          <w:szCs w:val="21"/>
          <w:vertAlign w:val="superscript"/>
        </w:rPr>
        <w:t>2</w:t>
      </w:r>
      <w:r w:rsidRPr="00CA7C54">
        <w:rPr>
          <w:color w:val="000000" w:themeColor="text1"/>
          <w:sz w:val="21"/>
          <w:szCs w:val="21"/>
        </w:rPr>
        <w:t>.</w:t>
      </w:r>
    </w:p>
    <w:p w14:paraId="09989B52"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lastRenderedPageBreak/>
        <w:t>Для СПП дана вимога є рекомендованою.</w:t>
      </w:r>
    </w:p>
    <w:p w14:paraId="3E8B5E06" w14:textId="443C5FAD"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10.20 </w:t>
      </w:r>
      <w:r w:rsidRPr="00CA7C54">
        <w:rPr>
          <w:color w:val="000000" w:themeColor="text1"/>
          <w:sz w:val="21"/>
          <w:szCs w:val="21"/>
        </w:rPr>
        <w:t>В захисних споруд та СПП допускається застосовувати системи евакуаційні фотолюмінісцентні згідно</w:t>
      </w:r>
      <w:r w:rsidR="0003318F" w:rsidRPr="00CA7C54">
        <w:rPr>
          <w:color w:val="000000" w:themeColor="text1"/>
          <w:sz w:val="21"/>
          <w:szCs w:val="21"/>
        </w:rPr>
        <w:t xml:space="preserve"> з</w:t>
      </w:r>
      <w:r w:rsidRPr="00CA7C54">
        <w:rPr>
          <w:color w:val="000000" w:themeColor="text1"/>
          <w:sz w:val="21"/>
          <w:szCs w:val="21"/>
        </w:rPr>
        <w:t xml:space="preserve"> </w:t>
      </w:r>
      <w:hyperlink r:id="rId206" w:history="1">
        <w:r w:rsidRPr="00F075C5">
          <w:rPr>
            <w:rStyle w:val="ac"/>
            <w:rFonts w:cs="Arial"/>
            <w:sz w:val="21"/>
            <w:szCs w:val="21"/>
          </w:rPr>
          <w:t>ДСТУ 7313.</w:t>
        </w:r>
      </w:hyperlink>
    </w:p>
    <w:p w14:paraId="03A2DFBB" w14:textId="77777777" w:rsidR="003C4E04" w:rsidRPr="00CA7C54" w:rsidRDefault="001E748C" w:rsidP="0042528B">
      <w:pPr>
        <w:spacing w:before="0" w:after="100" w:line="288" w:lineRule="auto"/>
        <w:contextualSpacing/>
        <w:rPr>
          <w:color w:val="000000" w:themeColor="text1"/>
          <w:sz w:val="21"/>
          <w:szCs w:val="21"/>
        </w:rPr>
      </w:pPr>
      <w:r w:rsidRPr="00CA7C54">
        <w:rPr>
          <w:b/>
          <w:color w:val="000000" w:themeColor="text1"/>
          <w:sz w:val="21"/>
          <w:szCs w:val="21"/>
        </w:rPr>
        <w:t>10.21</w:t>
      </w:r>
      <w:r w:rsidRPr="00CA7C54">
        <w:rPr>
          <w:color w:val="000000" w:themeColor="text1"/>
          <w:sz w:val="21"/>
          <w:szCs w:val="21"/>
        </w:rPr>
        <w:t xml:space="preserve"> Для захисних споруд та СПП місткістю від 16 осіб рекомендується передбачати засоби зв’язку для пожежно-рятувальних підрозділів між зоною перед аварійним виходом та пожежним постом приміщенням чергового персоналу, окремою зоною в основному приміщення для укриття.</w:t>
      </w:r>
    </w:p>
    <w:p w14:paraId="1A6DAA5B" w14:textId="77777777" w:rsidR="003C4E04" w:rsidRPr="00CA7C54" w:rsidRDefault="001E748C" w:rsidP="00643792">
      <w:pPr>
        <w:pStyle w:val="2"/>
        <w:pBdr>
          <w:top w:val="nil"/>
          <w:left w:val="nil"/>
          <w:bottom w:val="nil"/>
          <w:right w:val="nil"/>
          <w:between w:val="nil"/>
        </w:pBdr>
        <w:spacing w:before="80" w:after="80" w:line="288" w:lineRule="auto"/>
        <w:contextualSpacing/>
        <w:rPr>
          <w:rFonts w:ascii="Arial" w:hAnsi="Arial"/>
          <w:color w:val="000000" w:themeColor="text1"/>
          <w:sz w:val="21"/>
          <w:szCs w:val="21"/>
        </w:rPr>
      </w:pPr>
      <w:r w:rsidRPr="00CA7C54">
        <w:rPr>
          <w:rFonts w:ascii="Arial" w:hAnsi="Arial"/>
          <w:color w:val="000000" w:themeColor="text1"/>
          <w:sz w:val="22"/>
          <w:szCs w:val="22"/>
        </w:rPr>
        <w:t>11 </w:t>
      </w:r>
      <w:r w:rsidRPr="00CA7C54">
        <w:rPr>
          <w:rFonts w:ascii="Arial" w:hAnsi="Arial"/>
          <w:color w:val="000000" w:themeColor="text1"/>
          <w:sz w:val="21"/>
          <w:szCs w:val="21"/>
        </w:rPr>
        <w:t>ВИМОГИ ДО ІНЖЕНЕРНОГО ОБЛАДНАННЯ ТА СИСТЕМ ЖИТТЄЗАБЕЗПЕЧЕННЯ</w:t>
      </w:r>
    </w:p>
    <w:p w14:paraId="7C2D18FB" w14:textId="77777777" w:rsidR="003C4E04" w:rsidRPr="00CA7C54" w:rsidRDefault="001E748C" w:rsidP="00140534">
      <w:pPr>
        <w:pStyle w:val="3"/>
        <w:spacing w:before="0" w:after="0" w:line="288" w:lineRule="auto"/>
        <w:contextualSpacing/>
        <w:rPr>
          <w:color w:val="000000" w:themeColor="text1"/>
          <w:sz w:val="21"/>
          <w:szCs w:val="21"/>
        </w:rPr>
      </w:pPr>
      <w:r w:rsidRPr="00CA7C54">
        <w:rPr>
          <w:color w:val="000000" w:themeColor="text1"/>
          <w:sz w:val="21"/>
          <w:szCs w:val="21"/>
        </w:rPr>
        <w:t>11.1 Загальні положення</w:t>
      </w:r>
    </w:p>
    <w:p w14:paraId="692450AA" w14:textId="30F1070E"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11.1.1</w:t>
      </w:r>
      <w:r w:rsidRPr="00CA7C54">
        <w:rPr>
          <w:color w:val="000000" w:themeColor="text1"/>
          <w:sz w:val="21"/>
          <w:szCs w:val="21"/>
        </w:rPr>
        <w:t xml:space="preserve"> Сховища та СПП із захисними властивостями сховищ підлягають обладнанню системами вентиляції, захисними, захисно-герметичними, противибуховими, санітарно-технічними та іншими пристроями та системами життєзабезпечення, що забезпечують їх герметизацію та автономність функціонування впродовж не менше </w:t>
      </w:r>
      <w:r w:rsidR="00874F83">
        <w:rPr>
          <w:color w:val="000000" w:themeColor="text1"/>
          <w:sz w:val="21"/>
          <w:szCs w:val="21"/>
        </w:rPr>
        <w:t xml:space="preserve">ніж </w:t>
      </w:r>
      <w:r w:rsidRPr="00CA7C54">
        <w:rPr>
          <w:color w:val="000000" w:themeColor="text1"/>
          <w:sz w:val="21"/>
          <w:szCs w:val="21"/>
        </w:rPr>
        <w:t>48 годин поспіль.</w:t>
      </w:r>
    </w:p>
    <w:p w14:paraId="313770C9"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11.1.2</w:t>
      </w:r>
      <w:r w:rsidRPr="00CA7C54">
        <w:rPr>
          <w:color w:val="000000" w:themeColor="text1"/>
          <w:sz w:val="21"/>
          <w:szCs w:val="21"/>
        </w:rPr>
        <w:t> ПРУ та СПП із захисними властивостями ПРУ місткістю 20 осіб й більше підлягають обладнанню системами водопроводу, каналізації та іншими системами життєзабезпечення.</w:t>
      </w:r>
    </w:p>
    <w:p w14:paraId="36EE9F7E"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11.1.3</w:t>
      </w:r>
      <w:r w:rsidRPr="00CA7C54">
        <w:rPr>
          <w:color w:val="000000" w:themeColor="text1"/>
          <w:sz w:val="21"/>
          <w:szCs w:val="21"/>
        </w:rPr>
        <w:t> Прокладання транзитних мереж трубопроводів стиснутого повітря, небезпечних речовин та горючих рідин тощо, крізь приміщення захисних споруд та споруд СПП не допускається.</w:t>
      </w:r>
    </w:p>
    <w:p w14:paraId="7B6981C2"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Трубопроводи з небезпечними речовинами та горючими рідинами, заборонено прокладати в суміжних приміщеннях з зовнішніми огороджувальними конструкціями вбудованих захисних споруд.</w:t>
      </w:r>
    </w:p>
    <w:p w14:paraId="19A3D947"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Мережі водопостачання, опалення i каналізації будинку/споруди, що проходять в суміжному приміщенні, мають прокладатися у спеціальних колекторах (бетонних або залізобетонних каналах), доступних для огляду та виконання ремонтних робіт під час експлуатації цих мереж у мирний час. Колектори повинні мати уклон 2-3% в бік стоку.</w:t>
      </w:r>
    </w:p>
    <w:p w14:paraId="3DD33E8D"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11.1.4</w:t>
      </w:r>
      <w:r w:rsidRPr="00CA7C54">
        <w:rPr>
          <w:color w:val="000000" w:themeColor="text1"/>
          <w:sz w:val="21"/>
          <w:szCs w:val="21"/>
        </w:rPr>
        <w:t xml:space="preserve"> Вводи інженерних комунікацій повинні бути доступними для їх огляду та ремонту з середини сховища.</w:t>
      </w:r>
    </w:p>
    <w:p w14:paraId="6C13852E"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Допускається об'єднання їх, при цьому групування вводів слід виконувати урахуванням вимог відповідних норм. На вводах водопостачання та теплопостачання, а також випусках каналізації слід передбачати встановлення запірної арматури всередині сховища.</w:t>
      </w:r>
    </w:p>
    <w:p w14:paraId="43E92D5F" w14:textId="77777777" w:rsidR="003C4E04" w:rsidRPr="00CA7C54" w:rsidRDefault="001E748C" w:rsidP="0042528B">
      <w:pPr>
        <w:pBdr>
          <w:top w:val="nil"/>
          <w:left w:val="nil"/>
          <w:bottom w:val="nil"/>
          <w:right w:val="nil"/>
          <w:between w:val="nil"/>
        </w:pBdr>
        <w:spacing w:before="0" w:after="60" w:line="288" w:lineRule="auto"/>
        <w:contextualSpacing/>
        <w:rPr>
          <w:color w:val="000000" w:themeColor="text1"/>
          <w:sz w:val="21"/>
          <w:szCs w:val="21"/>
        </w:rPr>
      </w:pPr>
      <w:r w:rsidRPr="00CA7C54">
        <w:rPr>
          <w:color w:val="000000" w:themeColor="text1"/>
          <w:sz w:val="21"/>
          <w:szCs w:val="21"/>
        </w:rPr>
        <w:t>Закладні частини для вводів кабелів, повiтроводiв, труб водопроводу та теплопостачання та для випусків каналізації слід влаштовувати у вигляді металевих патрубків з навареними у середній їх частині фланцями. Встановлення закладних частин в огороджувальні конструкції слід передбачати, як правило, до бетонування.</w:t>
      </w:r>
    </w:p>
    <w:p w14:paraId="637E727F" w14:textId="77777777" w:rsidR="003C4E04" w:rsidRPr="00CA7C54" w:rsidRDefault="001E748C" w:rsidP="00140534">
      <w:pPr>
        <w:pStyle w:val="3"/>
        <w:spacing w:before="0" w:after="0" w:line="288" w:lineRule="auto"/>
        <w:contextualSpacing/>
        <w:rPr>
          <w:color w:val="000000" w:themeColor="text1"/>
          <w:sz w:val="21"/>
          <w:szCs w:val="21"/>
        </w:rPr>
      </w:pPr>
      <w:bookmarkStart w:id="20" w:name="_heading=h.uzljuekuw0k3" w:colFirst="0" w:colLast="0"/>
      <w:bookmarkEnd w:id="20"/>
      <w:r w:rsidRPr="00CA7C54">
        <w:rPr>
          <w:color w:val="000000" w:themeColor="text1"/>
          <w:sz w:val="21"/>
          <w:szCs w:val="21"/>
        </w:rPr>
        <w:t>11.2 Системи вентиляції, кондиціонування повітря та опалення</w:t>
      </w:r>
    </w:p>
    <w:p w14:paraId="04FB5BF0" w14:textId="77777777" w:rsidR="003C4E04" w:rsidRPr="00CA7C54" w:rsidRDefault="001E748C" w:rsidP="00140534">
      <w:pPr>
        <w:pStyle w:val="4"/>
        <w:spacing w:before="0" w:after="0" w:line="288" w:lineRule="auto"/>
        <w:contextualSpacing/>
        <w:rPr>
          <w:color w:val="000000" w:themeColor="text1"/>
          <w:sz w:val="21"/>
          <w:szCs w:val="21"/>
        </w:rPr>
      </w:pPr>
      <w:r w:rsidRPr="00CA7C54">
        <w:rPr>
          <w:color w:val="000000" w:themeColor="text1"/>
          <w:sz w:val="21"/>
          <w:szCs w:val="21"/>
        </w:rPr>
        <w:t>11.2.1. Системи вентиляції сховищ та СПП із захисними властивостями сховищ </w:t>
      </w:r>
    </w:p>
    <w:p w14:paraId="3A02CBF2"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w:t>
      </w:r>
      <w:r w:rsidRPr="00CA7C54">
        <w:rPr>
          <w:color w:val="000000" w:themeColor="text1"/>
          <w:sz w:val="21"/>
          <w:szCs w:val="21"/>
        </w:rPr>
        <w:t xml:space="preserve"> Системи вентиляції, кондиціювання повітря та опалення сховищ та СПП мають забезпечувати безперервне перебування у них людей, що підлягають укриттю впродовж 48 годин безперервно, зокрема для сховищ з двома режимами вентиляції – впродовж 12 годин безперервно у режимі фільтровентиляції, а для сховищ з третім режимом вентиляції – впродовж 6 годин безперервно у режимі регенерації повітря.</w:t>
      </w:r>
    </w:p>
    <w:p w14:paraId="1856E0E0"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11.2.1.2</w:t>
      </w:r>
      <w:r w:rsidRPr="00CA7C54">
        <w:rPr>
          <w:color w:val="000000" w:themeColor="text1"/>
          <w:sz w:val="21"/>
          <w:szCs w:val="21"/>
        </w:rPr>
        <w:t xml:space="preserve"> Системи вентиляції, кондиціювання повітря та опалення слід про</w:t>
      </w:r>
      <w:r w:rsidR="0010730F" w:rsidRPr="00CA7C54">
        <w:rPr>
          <w:color w:val="000000" w:themeColor="text1"/>
          <w:sz w:val="21"/>
          <w:szCs w:val="21"/>
        </w:rPr>
        <w:t>є</w:t>
      </w:r>
      <w:r w:rsidRPr="00CA7C54">
        <w:rPr>
          <w:color w:val="000000" w:themeColor="text1"/>
          <w:sz w:val="21"/>
          <w:szCs w:val="21"/>
        </w:rPr>
        <w:t>ктувати зі стандартних або типових елементів, переважно у вигляді блоків та укрупнених вузлів. Розташування та закріплення обладнання повинно передбачатись з урахуванням забезпечення надійного функціювання систем при можливих переміщеннях (деформаціях) огороджувальних  конструкцій та виникнення у них залишкових прогинів у результаті дії навантаження від вибухової хвилі.</w:t>
      </w:r>
    </w:p>
    <w:p w14:paraId="57FDC2AC"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11.2.1.3</w:t>
      </w:r>
      <w:r w:rsidRPr="00CA7C54">
        <w:rPr>
          <w:color w:val="000000" w:themeColor="text1"/>
          <w:sz w:val="21"/>
          <w:szCs w:val="21"/>
        </w:rPr>
        <w:t xml:space="preserve"> Вентиляція сховищ та СПП здійснюється з використанням систем вентиляції з механічним спонуканням та/або із застосуванням електроручних вентиляторів.</w:t>
      </w:r>
    </w:p>
    <w:p w14:paraId="3D221D65"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lastRenderedPageBreak/>
        <w:t>В обов’язковому порядку має передбачатися очищення припливного повітря від твердих часток та пилу шляхом встановлення фільтрів грубого очищення повітря.</w:t>
      </w:r>
    </w:p>
    <w:p w14:paraId="60CE8E85" w14:textId="5C026CF6"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Засоби очищення повітря, що використовуються для організації вентиляції сховищ та СПП мають відповідати вимогам </w:t>
      </w:r>
      <w:hyperlink r:id="rId207" w:history="1">
        <w:r w:rsidRPr="00874F83">
          <w:rPr>
            <w:rStyle w:val="ac"/>
            <w:rFonts w:cs="Arial"/>
            <w:sz w:val="21"/>
            <w:szCs w:val="21"/>
          </w:rPr>
          <w:t>ДСТУ 9077</w:t>
        </w:r>
      </w:hyperlink>
      <w:r w:rsidRPr="00CA7C54">
        <w:rPr>
          <w:color w:val="000000" w:themeColor="text1"/>
          <w:sz w:val="21"/>
          <w:szCs w:val="21"/>
        </w:rPr>
        <w:t>.</w:t>
      </w:r>
    </w:p>
    <w:p w14:paraId="6F3E748E"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11.2.1.4</w:t>
      </w:r>
      <w:r w:rsidRPr="00CA7C54">
        <w:rPr>
          <w:color w:val="000000" w:themeColor="text1"/>
          <w:sz w:val="21"/>
          <w:szCs w:val="21"/>
        </w:rPr>
        <w:t xml:space="preserve"> Відстані між елементами вентиляційного та фільтровентиляційного обладнання, а також між конструкціями та обладнанням слід приймати відповідно до таблиці 11.1.</w:t>
      </w:r>
    </w:p>
    <w:p w14:paraId="4A0A6F89" w14:textId="77777777" w:rsidR="003C4E04" w:rsidRPr="00CA7C54" w:rsidRDefault="001E748C" w:rsidP="00140534">
      <w:pPr>
        <w:pBdr>
          <w:top w:val="nil"/>
          <w:left w:val="nil"/>
          <w:bottom w:val="nil"/>
          <w:right w:val="nil"/>
          <w:between w:val="nil"/>
        </w:pBdr>
        <w:spacing w:before="0" w:after="120" w:line="240" w:lineRule="auto"/>
        <w:ind w:right="142" w:firstLine="142"/>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Таблиця 11.1 </w:t>
      </w:r>
      <w:r w:rsidRPr="00CA7C54">
        <w:rPr>
          <w:color w:val="000000" w:themeColor="text1"/>
          <w:sz w:val="21"/>
          <w:szCs w:val="21"/>
        </w:rPr>
        <w:t>–Відстань між елементами обладнання та конструкціями захисних споруд та СПП</w:t>
      </w:r>
    </w:p>
    <w:tbl>
      <w:tblPr>
        <w:tblStyle w:val="afffffffffffffffffffffffffffffff0"/>
        <w:tblW w:w="9634" w:type="dxa"/>
        <w:tblLayout w:type="fixed"/>
        <w:tblLook w:val="0400" w:firstRow="0" w:lastRow="0" w:firstColumn="0" w:lastColumn="0" w:noHBand="0" w:noVBand="1"/>
      </w:tblPr>
      <w:tblGrid>
        <w:gridCol w:w="8359"/>
        <w:gridCol w:w="1275"/>
      </w:tblGrid>
      <w:tr w:rsidR="00CA7C54" w:rsidRPr="00CA7C54" w14:paraId="4F433A93" w14:textId="77777777" w:rsidTr="000B4BA3">
        <w:trPr>
          <w:trHeight w:val="518"/>
          <w:tblHeader/>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65AFAB" w14:textId="77777777" w:rsidR="003C4E04" w:rsidRPr="00CA7C54" w:rsidRDefault="001E748C">
            <w:pPr>
              <w:pBdr>
                <w:top w:val="nil"/>
                <w:left w:val="nil"/>
                <w:bottom w:val="nil"/>
                <w:right w:val="nil"/>
                <w:between w:val="nil"/>
              </w:pBdr>
              <w:spacing w:before="0" w:line="240" w:lineRule="auto"/>
              <w:ind w:right="141"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Відстань між елементами обладнання</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10DEE2" w14:textId="77777777" w:rsidR="003C4E04" w:rsidRPr="00CA7C54" w:rsidRDefault="001E748C">
            <w:pPr>
              <w:pBdr>
                <w:top w:val="nil"/>
                <w:left w:val="nil"/>
                <w:bottom w:val="nil"/>
                <w:right w:val="nil"/>
                <w:between w:val="nil"/>
              </w:pBdr>
              <w:spacing w:before="0" w:line="240" w:lineRule="auto"/>
              <w:ind w:right="141"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Розмір, м</w:t>
            </w:r>
          </w:p>
        </w:tc>
      </w:tr>
      <w:tr w:rsidR="00CA7C54" w:rsidRPr="00CA7C54" w14:paraId="28D1799A" w14:textId="77777777" w:rsidTr="000B4BA3">
        <w:trPr>
          <w:trHeight w:val="542"/>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AF543"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двома електроручними вентиляторами (між осями рукояток) у разі їх паралельного розташування</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FFFB4"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r>
      <w:tr w:rsidR="00CA7C54" w:rsidRPr="00CA7C54" w14:paraId="11ADBBE1" w14:textId="77777777" w:rsidTr="000B4BA3">
        <w:trPr>
          <w:trHeight w:val="590"/>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2E14A"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віссю рукоятки вентилятора та огорожею за умови розташування операторів ручного приводу з обох боків рукоятки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98D47"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6BA44AF5" w14:textId="77777777" w:rsidTr="000B4BA3">
        <w:trPr>
          <w:trHeight w:val="556"/>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0D6D78"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віссю рукоятки вентилятора та огорожею за умови розташування операторів ручного приводу з одного боку рукоятки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D806B"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w:t>
            </w:r>
          </w:p>
        </w:tc>
      </w:tr>
      <w:tr w:rsidR="00CA7C54" w:rsidRPr="00CA7C54" w14:paraId="2C06E8C0" w14:textId="77777777" w:rsidTr="000B4BA3">
        <w:trPr>
          <w:trHeight w:val="382"/>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DC7ACA"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агрегатами обладнання та стіною при наявності проходу з другого боку агрегату</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F4C81"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w:t>
            </w:r>
          </w:p>
        </w:tc>
      </w:tr>
      <w:tr w:rsidR="00CA7C54" w:rsidRPr="00CA7C54" w14:paraId="2D91726D" w14:textId="77777777" w:rsidTr="000B4BA3">
        <w:trPr>
          <w:trHeight w:val="289"/>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BD934"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Ширина проходів для обслуговування обладнання</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8765B"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CA7C54" w:rsidRPr="00CA7C54" w14:paraId="52BC5688" w14:textId="77777777" w:rsidTr="000B4BA3">
        <w:trPr>
          <w:trHeight w:val="690"/>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DF929E"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Ширина проходів від регенеративної установки до стін:</w:t>
            </w:r>
          </w:p>
          <w:p w14:paraId="7F089B20"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 боку обслуговування</w:t>
            </w:r>
          </w:p>
          <w:p w14:paraId="083411C4"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 неробочої сторони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9A387C" w14:textId="77777777" w:rsidR="003C4E04" w:rsidRPr="00CA7C54" w:rsidRDefault="003C4E04">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p>
          <w:p w14:paraId="4775D44C"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p w14:paraId="0E5E4CFE"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0,8</w:t>
            </w:r>
          </w:p>
        </w:tc>
      </w:tr>
      <w:tr w:rsidR="00CA7C54" w:rsidRPr="00CA7C54" w14:paraId="743E9168" w14:textId="77777777" w:rsidTr="000B4BA3">
        <w:trPr>
          <w:trHeight w:val="289"/>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508A55"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балонами із стиснутим повітрям та опалювальними приладами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D79A13"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1,0 </w:t>
            </w:r>
          </w:p>
        </w:tc>
      </w:tr>
      <w:tr w:rsidR="00CA7C54" w:rsidRPr="00CA7C54" w14:paraId="69CC0EFF" w14:textId="77777777" w:rsidTr="000B4BA3">
        <w:trPr>
          <w:trHeight w:val="323"/>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5D4010"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балонами із стиснутим киснем та опалювальними приладами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6F7443"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r>
      <w:tr w:rsidR="00CA7C54" w:rsidRPr="00CA7C54" w14:paraId="5F97D6F3" w14:textId="77777777" w:rsidTr="000B4BA3">
        <w:trPr>
          <w:trHeight w:val="413"/>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68329D"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Те саме при наявності екрана між балонами із стиснутим повітрям (киснем) та опалювальними приладами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A930B"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 (0,5)</w:t>
            </w:r>
          </w:p>
        </w:tc>
      </w:tr>
      <w:tr w:rsidR="003C4E04" w:rsidRPr="00CA7C54" w14:paraId="21C5832F" w14:textId="77777777" w:rsidTr="000B4BA3">
        <w:trPr>
          <w:trHeight w:val="1462"/>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1E0CD4" w14:textId="77777777" w:rsidR="003C4E04" w:rsidRPr="00CA7C54" w:rsidRDefault="001E748C" w:rsidP="0042528B">
            <w:pPr>
              <w:pBdr>
                <w:top w:val="nil"/>
                <w:left w:val="nil"/>
                <w:bottom w:val="nil"/>
                <w:right w:val="nil"/>
                <w:between w:val="nil"/>
              </w:pBdr>
              <w:spacing w:before="0" w:line="240" w:lineRule="auto"/>
              <w:ind w:left="1151" w:right="141" w:hanging="1151"/>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Примітка1. </w:t>
            </w:r>
            <w:r w:rsidRPr="00CA7C54">
              <w:rPr>
                <w:rFonts w:ascii="Arial" w:eastAsia="Arial" w:hAnsi="Arial" w:cs="Arial"/>
                <w:color w:val="000000" w:themeColor="text1"/>
                <w:sz w:val="20"/>
                <w:szCs w:val="20"/>
              </w:rPr>
              <w:t>Відстань між стінами та стороною великогабаритного обладнання, що не обслуговується, приймається відповідно до норм на про</w:t>
            </w:r>
            <w:r w:rsidR="0010730F" w:rsidRPr="00CA7C54">
              <w:rPr>
                <w:rFonts w:ascii="Arial" w:eastAsia="Arial" w:hAnsi="Arial" w:cs="Arial"/>
                <w:color w:val="000000" w:themeColor="text1"/>
                <w:sz w:val="20"/>
                <w:szCs w:val="20"/>
              </w:rPr>
              <w:t>є</w:t>
            </w:r>
            <w:r w:rsidRPr="00CA7C54">
              <w:rPr>
                <w:rFonts w:ascii="Arial" w:eastAsia="Arial" w:hAnsi="Arial" w:cs="Arial"/>
                <w:color w:val="000000" w:themeColor="text1"/>
                <w:sz w:val="20"/>
                <w:szCs w:val="20"/>
              </w:rPr>
              <w:t>ктування опалення, вентиляції та кондиціювання повітря.</w:t>
            </w:r>
          </w:p>
          <w:p w14:paraId="1EDF1814" w14:textId="77777777" w:rsidR="003C4E04" w:rsidRPr="00CA7C54" w:rsidRDefault="001E748C">
            <w:pPr>
              <w:pBdr>
                <w:top w:val="nil"/>
                <w:left w:val="nil"/>
                <w:bottom w:val="nil"/>
                <w:right w:val="nil"/>
                <w:between w:val="nil"/>
              </w:pBdr>
              <w:spacing w:before="0" w:line="240" w:lineRule="auto"/>
              <w:ind w:left="1151" w:right="141" w:hanging="1151"/>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Примітка 2. </w:t>
            </w:r>
            <w:r w:rsidRPr="00CA7C54">
              <w:rPr>
                <w:rFonts w:ascii="Arial" w:eastAsia="Arial" w:hAnsi="Arial" w:cs="Arial"/>
                <w:color w:val="000000" w:themeColor="text1"/>
                <w:spacing w:val="-6"/>
                <w:sz w:val="20"/>
                <w:szCs w:val="20"/>
              </w:rPr>
              <w:t>Відстань між вентиляторами повинна бути такою, щоб їх робочі зони не перекривали одна одну.</w:t>
            </w:r>
          </w:p>
          <w:p w14:paraId="6FAB82CA" w14:textId="77777777" w:rsidR="003C4E04" w:rsidRPr="00CA7C54" w:rsidRDefault="001E748C">
            <w:pPr>
              <w:pBdr>
                <w:top w:val="nil"/>
                <w:left w:val="nil"/>
                <w:bottom w:val="nil"/>
                <w:right w:val="nil"/>
                <w:between w:val="nil"/>
              </w:pBdr>
              <w:spacing w:before="0" w:line="240" w:lineRule="auto"/>
              <w:ind w:left="1151" w:right="141" w:hanging="1151"/>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Примітка 3. </w:t>
            </w:r>
            <w:r w:rsidRPr="00CA7C54">
              <w:rPr>
                <w:rFonts w:ascii="Arial" w:eastAsia="Arial" w:hAnsi="Arial" w:cs="Arial"/>
                <w:color w:val="000000" w:themeColor="text1"/>
                <w:sz w:val="20"/>
                <w:szCs w:val="20"/>
              </w:rPr>
              <w:t>Відстань між елементами обладнання, не зазначеними в цій таблиці, приймається виходячи з їх габаритів, можливості безперешкодної експлуатації, обслуговування та технічної документації.</w:t>
            </w:r>
          </w:p>
        </w:tc>
      </w:tr>
    </w:tbl>
    <w:p w14:paraId="31466908" w14:textId="77777777" w:rsidR="00140534" w:rsidRDefault="00140534" w:rsidP="00140534">
      <w:pPr>
        <w:pBdr>
          <w:top w:val="nil"/>
          <w:left w:val="nil"/>
          <w:bottom w:val="nil"/>
          <w:right w:val="nil"/>
          <w:between w:val="nil"/>
        </w:pBdr>
        <w:spacing w:before="0" w:line="288" w:lineRule="auto"/>
        <w:contextualSpacing/>
        <w:rPr>
          <w:b/>
          <w:color w:val="000000" w:themeColor="text1"/>
          <w:sz w:val="21"/>
          <w:szCs w:val="21"/>
        </w:rPr>
      </w:pPr>
    </w:p>
    <w:p w14:paraId="07ED5D28"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11.2.1.5</w:t>
      </w:r>
      <w:r w:rsidRPr="00CA7C54">
        <w:rPr>
          <w:color w:val="000000" w:themeColor="text1"/>
          <w:sz w:val="21"/>
          <w:szCs w:val="21"/>
        </w:rPr>
        <w:t xml:space="preserve"> Систему вентиляції сховищ та СПП необхідно про</w:t>
      </w:r>
      <w:r w:rsidR="006214E4" w:rsidRPr="00CA7C54">
        <w:rPr>
          <w:color w:val="000000" w:themeColor="text1"/>
          <w:sz w:val="21"/>
          <w:szCs w:val="21"/>
        </w:rPr>
        <w:t>є</w:t>
      </w:r>
      <w:r w:rsidRPr="00CA7C54">
        <w:rPr>
          <w:color w:val="000000" w:themeColor="text1"/>
          <w:sz w:val="21"/>
          <w:szCs w:val="21"/>
        </w:rPr>
        <w:t>ктувати на два режими: чистої вентиляції (режим І) та фільтровентиляції (режим ІІ).</w:t>
      </w:r>
    </w:p>
    <w:p w14:paraId="381B8426"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режимі чистої вентиляції (режим І) подача у сховище та СПП очищеного від пилу зовнішнього повітря повинна забезпечувати необхідний обмін повітря та видалення з приміщень тепловиділень та вологи.</w:t>
      </w:r>
    </w:p>
    <w:p w14:paraId="12A97DA0"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режимі фільтровентиляції (режим ІІ) зовнішнє повітря, яке подається у сховище та СПП, повинно очищатися від газоподібних засобів масового ураження, аерозолів та пилу, в тому числі від бойових отруйних, небезпечних хімічних і радіоактивних речовин та біологічних засобів, продуктів горіння.</w:t>
      </w:r>
    </w:p>
    <w:p w14:paraId="0B45121C"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Режим регенерації внутрішнього повітря (режим ІІІ) передбачається у сховищах та СПП, які розташовані у місцях можливої небезпечної загазованості повітря продуктами горіння, у зонах можливого хімічного забруднення небезпечними хімічними речовинами (НХР), а також у сховищах та СПП, які розташовані у зонах можливого затоплення. Необхідність передбачення режиму регенерації внутрішнього повітря (режиму ІІІ) зазначається в технічному завданні на про</w:t>
      </w:r>
      <w:r w:rsidR="0010730F" w:rsidRPr="00CA7C54">
        <w:rPr>
          <w:color w:val="000000" w:themeColor="text1"/>
          <w:sz w:val="21"/>
          <w:szCs w:val="21"/>
        </w:rPr>
        <w:t>є</w:t>
      </w:r>
      <w:r w:rsidRPr="00CA7C54">
        <w:rPr>
          <w:color w:val="000000" w:themeColor="text1"/>
          <w:sz w:val="21"/>
          <w:szCs w:val="21"/>
        </w:rPr>
        <w:t>ктування.</w:t>
      </w:r>
    </w:p>
    <w:p w14:paraId="73D46B60"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11.2.1.6</w:t>
      </w:r>
      <w:r w:rsidRPr="00CA7C54">
        <w:rPr>
          <w:color w:val="000000" w:themeColor="text1"/>
          <w:sz w:val="21"/>
          <w:szCs w:val="21"/>
        </w:rPr>
        <w:t xml:space="preserve"> Сховища та СПП з режимом регенерації внутрішнього повітря (режим ІІІ) слід про</w:t>
      </w:r>
      <w:r w:rsidR="006214E4" w:rsidRPr="00CA7C54">
        <w:rPr>
          <w:color w:val="000000" w:themeColor="text1"/>
          <w:sz w:val="21"/>
          <w:szCs w:val="21"/>
        </w:rPr>
        <w:t>є</w:t>
      </w:r>
      <w:r w:rsidRPr="00CA7C54">
        <w:rPr>
          <w:color w:val="000000" w:themeColor="text1"/>
          <w:sz w:val="21"/>
          <w:szCs w:val="21"/>
        </w:rPr>
        <w:t>ктувати з монолітних залізобетонних конструкцій підвищеної герметичності.</w:t>
      </w:r>
    </w:p>
    <w:p w14:paraId="37282C59"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11.2.1.7</w:t>
      </w:r>
      <w:r w:rsidRPr="00CA7C54">
        <w:rPr>
          <w:color w:val="000000" w:themeColor="text1"/>
          <w:sz w:val="21"/>
          <w:szCs w:val="21"/>
        </w:rPr>
        <w:t xml:space="preserve"> У приміщеннях захисних споруд та споруд подвійного призначення гранично-допустимі параметри мікроклімату і газовий склад повітряного середовища залежно від складу осіб, що укриваються, слід приймати за таблицею 11.2.</w:t>
      </w:r>
    </w:p>
    <w:p w14:paraId="1B3A3085" w14:textId="77777777" w:rsidR="00140534" w:rsidRDefault="001E748C" w:rsidP="0042528B">
      <w:pPr>
        <w:pBdr>
          <w:top w:val="nil"/>
          <w:left w:val="nil"/>
          <w:bottom w:val="nil"/>
          <w:right w:val="nil"/>
          <w:between w:val="nil"/>
        </w:pBdr>
        <w:spacing w:before="0" w:after="120" w:line="288" w:lineRule="auto"/>
        <w:contextualSpacing/>
        <w:rPr>
          <w:color w:val="000000" w:themeColor="text1"/>
          <w:sz w:val="21"/>
          <w:szCs w:val="21"/>
        </w:rPr>
      </w:pPr>
      <w:r w:rsidRPr="00CA7C54">
        <w:rPr>
          <w:color w:val="000000" w:themeColor="text1"/>
          <w:sz w:val="21"/>
          <w:szCs w:val="21"/>
        </w:rPr>
        <w:t xml:space="preserve">При укритті людей у захисних спорудах та СПП у основних приміщеннях для укриття повинні дотримуватися допустимі умови мікроклімату (температура повітря, відносна вологість, швидкість руху повітря), що визначені по аналогії перебування людей у нервово-емоційному напруженні (характеристики до аналогічної легкої роботи Іа). Параметри мікроклімату контролюються на рівні 0,5 м над верхньою поверхнею сидіння або верхньої лави для лежання (при багаторівневому розміщенні людей), але не нижче </w:t>
      </w:r>
      <w:r w:rsidR="00146546" w:rsidRPr="00CA7C54">
        <w:rPr>
          <w:color w:val="000000" w:themeColor="text1"/>
          <w:sz w:val="21"/>
          <w:szCs w:val="21"/>
        </w:rPr>
        <w:t xml:space="preserve">ніж </w:t>
      </w:r>
      <w:r w:rsidRPr="00CA7C54">
        <w:rPr>
          <w:color w:val="000000" w:themeColor="text1"/>
          <w:sz w:val="21"/>
          <w:szCs w:val="21"/>
        </w:rPr>
        <w:t>1,5 м над поверхнею підлоги. </w:t>
      </w:r>
    </w:p>
    <w:p w14:paraId="75E5B514" w14:textId="77777777" w:rsidR="003C4E04" w:rsidRDefault="001E748C" w:rsidP="00EF5E81">
      <w:pPr>
        <w:pBdr>
          <w:top w:val="nil"/>
          <w:left w:val="nil"/>
          <w:bottom w:val="nil"/>
          <w:right w:val="nil"/>
          <w:between w:val="nil"/>
        </w:pBdr>
        <w:spacing w:before="0" w:after="60" w:line="240" w:lineRule="auto"/>
        <w:rPr>
          <w:color w:val="000000" w:themeColor="text1"/>
          <w:sz w:val="21"/>
          <w:szCs w:val="21"/>
        </w:rPr>
      </w:pPr>
      <w:r w:rsidRPr="00CA7C54">
        <w:rPr>
          <w:b/>
          <w:color w:val="000000" w:themeColor="text1"/>
          <w:sz w:val="21"/>
          <w:szCs w:val="21"/>
        </w:rPr>
        <w:t xml:space="preserve">Таблиця 11.2 </w:t>
      </w:r>
      <w:r w:rsidRPr="004514E1">
        <w:rPr>
          <w:bCs/>
          <w:color w:val="000000" w:themeColor="text1"/>
          <w:sz w:val="21"/>
          <w:szCs w:val="21"/>
        </w:rPr>
        <w:t>–</w:t>
      </w:r>
      <w:r w:rsidRPr="00CA7C54">
        <w:rPr>
          <w:color w:val="000000" w:themeColor="text1"/>
          <w:sz w:val="21"/>
          <w:szCs w:val="21"/>
        </w:rPr>
        <w:t>Параметри мікроклімату приміщень захисних споруд та СПП</w:t>
      </w:r>
    </w:p>
    <w:tbl>
      <w:tblPr>
        <w:tblStyle w:val="afffffffffffffffffffffffffffffff1"/>
        <w:tblW w:w="9918" w:type="dxa"/>
        <w:tblLayout w:type="fixed"/>
        <w:tblLook w:val="0400" w:firstRow="0" w:lastRow="0" w:firstColumn="0" w:lastColumn="0" w:noHBand="0" w:noVBand="1"/>
      </w:tblPr>
      <w:tblGrid>
        <w:gridCol w:w="2682"/>
        <w:gridCol w:w="1133"/>
        <w:gridCol w:w="1182"/>
        <w:gridCol w:w="1230"/>
        <w:gridCol w:w="1277"/>
        <w:gridCol w:w="1275"/>
        <w:gridCol w:w="1139"/>
      </w:tblGrid>
      <w:tr w:rsidR="00CA7C54" w:rsidRPr="00CA7C54" w14:paraId="5A81756E" w14:textId="77777777" w:rsidTr="00700FAA">
        <w:tc>
          <w:tcPr>
            <w:tcW w:w="268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60A43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Параметри</w:t>
            </w:r>
          </w:p>
          <w:p w14:paraId="7E88DE2B"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мікроклімату</w:t>
            </w:r>
          </w:p>
        </w:tc>
        <w:tc>
          <w:tcPr>
            <w:tcW w:w="723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3C0120D"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Розрахункова</w:t>
            </w:r>
            <w:r w:rsidRPr="0042528B">
              <w:rPr>
                <w:rFonts w:ascii="Arial" w:eastAsia="Arial" w:hAnsi="Arial" w:cs="Arial"/>
                <w:b/>
                <w:i/>
                <w:color w:val="000000" w:themeColor="text1"/>
                <w:sz w:val="20"/>
                <w:szCs w:val="20"/>
              </w:rPr>
              <w:t> t</w:t>
            </w:r>
            <w:r w:rsidRPr="0042528B">
              <w:rPr>
                <w:rFonts w:ascii="Arial" w:eastAsia="Arial" w:hAnsi="Arial" w:cs="Arial"/>
                <w:b/>
                <w:color w:val="000000" w:themeColor="text1"/>
                <w:sz w:val="20"/>
                <w:szCs w:val="20"/>
              </w:rPr>
              <w:t> °С зовнішнього повітря</w:t>
            </w:r>
          </w:p>
        </w:tc>
      </w:tr>
      <w:tr w:rsidR="00CA7C54" w:rsidRPr="00CA7C54" w14:paraId="529A8649" w14:textId="77777777" w:rsidTr="00700FAA">
        <w:tc>
          <w:tcPr>
            <w:tcW w:w="268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382EEB4" w14:textId="77777777" w:rsidR="003C4E04" w:rsidRPr="0042528B"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354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10C3EE4"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До 25 °С у кліматичних районах</w:t>
            </w:r>
            <w:r w:rsidRPr="0042528B">
              <w:rPr>
                <w:rFonts w:ascii="Arial" w:eastAsia="Arial" w:hAnsi="Arial" w:cs="Arial"/>
                <w:b/>
                <w:color w:val="000000" w:themeColor="text1"/>
                <w:sz w:val="20"/>
                <w:szCs w:val="20"/>
              </w:rPr>
              <w:br/>
              <w:t>І, ІІІ, V</w:t>
            </w:r>
          </w:p>
        </w:tc>
        <w:tc>
          <w:tcPr>
            <w:tcW w:w="369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D57FF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Більше 25 °С у кліматичних</w:t>
            </w:r>
            <w:r w:rsidRPr="0042528B">
              <w:rPr>
                <w:rFonts w:ascii="Arial" w:eastAsia="Arial" w:hAnsi="Arial" w:cs="Arial"/>
                <w:b/>
                <w:color w:val="000000" w:themeColor="text1"/>
                <w:sz w:val="20"/>
                <w:szCs w:val="20"/>
              </w:rPr>
              <w:br/>
              <w:t>районах ІІ, ІV</w:t>
            </w:r>
          </w:p>
        </w:tc>
      </w:tr>
      <w:tr w:rsidR="00CA7C54" w:rsidRPr="00CA7C54" w14:paraId="77711C38" w14:textId="77777777" w:rsidTr="00700FAA">
        <w:trPr>
          <w:trHeight w:val="722"/>
        </w:trPr>
        <w:tc>
          <w:tcPr>
            <w:tcW w:w="268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1E85C6" w14:textId="77777777" w:rsidR="003C4E04" w:rsidRPr="0042528B"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6FEBBF1" w14:textId="77777777" w:rsidR="003C4E04" w:rsidRPr="0042528B" w:rsidRDefault="001E748C">
            <w:pPr>
              <w:pBdr>
                <w:top w:val="nil"/>
                <w:left w:val="nil"/>
                <w:bottom w:val="nil"/>
                <w:right w:val="nil"/>
                <w:between w:val="nil"/>
              </w:pBdr>
              <w:spacing w:before="0" w:line="240" w:lineRule="auto"/>
              <w:ind w:left="-119" w:right="-113"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чиста вентиляція</w:t>
            </w:r>
          </w:p>
          <w:p w14:paraId="557D038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FD89B1" w14:textId="77777777" w:rsidR="003C4E04" w:rsidRPr="0042528B" w:rsidRDefault="001E748C">
            <w:pPr>
              <w:pBdr>
                <w:top w:val="nil"/>
                <w:left w:val="nil"/>
                <w:bottom w:val="nil"/>
                <w:right w:val="nil"/>
                <w:between w:val="nil"/>
              </w:pBdr>
              <w:spacing w:before="0" w:line="240" w:lineRule="auto"/>
              <w:ind w:left="-118" w:right="-66"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фільтро-вентиляція</w:t>
            </w:r>
          </w:p>
          <w:p w14:paraId="14982CD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ІІ)</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FDBA6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регенера-ція</w:t>
            </w:r>
          </w:p>
          <w:p w14:paraId="1CE5E4E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ІІІ)</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8A5A3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чиста вентиляція</w:t>
            </w:r>
          </w:p>
          <w:p w14:paraId="68B2C41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19B2B3"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фільтро-вентиляція</w:t>
            </w:r>
          </w:p>
          <w:p w14:paraId="4DE938AB"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ІІ)</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72FE87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pacing w:val="-12"/>
                <w:sz w:val="20"/>
                <w:szCs w:val="20"/>
              </w:rPr>
            </w:pPr>
            <w:r w:rsidRPr="0042528B">
              <w:rPr>
                <w:rFonts w:ascii="Arial" w:eastAsia="Arial" w:hAnsi="Arial" w:cs="Arial"/>
                <w:color w:val="000000" w:themeColor="text1"/>
                <w:spacing w:val="-12"/>
                <w:sz w:val="20"/>
                <w:szCs w:val="20"/>
              </w:rPr>
              <w:t>регене</w:t>
            </w:r>
            <w:r w:rsidR="00A308EC" w:rsidRPr="0042528B">
              <w:rPr>
                <w:rFonts w:ascii="Arial" w:eastAsia="Arial" w:hAnsi="Arial" w:cs="Arial"/>
                <w:color w:val="000000" w:themeColor="text1"/>
                <w:spacing w:val="-12"/>
                <w:sz w:val="20"/>
                <w:szCs w:val="20"/>
              </w:rPr>
              <w:t>-</w:t>
            </w:r>
            <w:r w:rsidRPr="0042528B">
              <w:rPr>
                <w:rFonts w:ascii="Arial" w:eastAsia="Arial" w:hAnsi="Arial" w:cs="Arial"/>
                <w:color w:val="000000" w:themeColor="text1"/>
                <w:spacing w:val="-12"/>
                <w:sz w:val="20"/>
                <w:szCs w:val="20"/>
              </w:rPr>
              <w:t>рація</w:t>
            </w:r>
          </w:p>
          <w:p w14:paraId="53F4F53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pacing w:val="-12"/>
                <w:sz w:val="20"/>
                <w:szCs w:val="20"/>
              </w:rPr>
              <w:t>(режим ІІІ)</w:t>
            </w:r>
          </w:p>
        </w:tc>
      </w:tr>
      <w:tr w:rsidR="00CA7C54" w:rsidRPr="00CA7C54" w14:paraId="4A15153B" w14:textId="77777777" w:rsidTr="00700FAA">
        <w:trPr>
          <w:trHeight w:val="379"/>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954823C" w14:textId="77777777" w:rsidR="003C4E04" w:rsidRPr="0042528B" w:rsidRDefault="001E748C">
            <w:pPr>
              <w:pBdr>
                <w:top w:val="nil"/>
                <w:left w:val="nil"/>
                <w:bottom w:val="nil"/>
                <w:right w:val="nil"/>
                <w:between w:val="nil"/>
              </w:pBdr>
              <w:spacing w:before="0" w:line="240" w:lineRule="auto"/>
              <w:ind w:left="720" w:hanging="720"/>
              <w:jc w:val="left"/>
              <w:rPr>
                <w:rFonts w:ascii="Arial" w:eastAsia="Arial" w:hAnsi="Arial" w:cs="Arial"/>
                <w:b/>
                <w:i/>
                <w:color w:val="000000" w:themeColor="text1"/>
                <w:sz w:val="20"/>
                <w:szCs w:val="20"/>
              </w:rPr>
            </w:pPr>
            <w:r w:rsidRPr="0042528B">
              <w:rPr>
                <w:rFonts w:ascii="Arial" w:eastAsia="Arial" w:hAnsi="Arial" w:cs="Arial"/>
                <w:b/>
                <w:i/>
                <w:color w:val="000000" w:themeColor="text1"/>
                <w:sz w:val="20"/>
                <w:szCs w:val="20"/>
              </w:rPr>
              <w:t>Для осіб зрілого і літнього віку, підлітків, юнаків </w:t>
            </w:r>
          </w:p>
        </w:tc>
      </w:tr>
      <w:tr w:rsidR="00CA7C54" w:rsidRPr="00CA7C54" w14:paraId="3C427A3B" w14:textId="77777777" w:rsidTr="00700FAA">
        <w:trPr>
          <w:trHeight w:val="281"/>
        </w:trPr>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DC65AE"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Температура, °С</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335979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05F58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29</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A8AB7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EC7886A"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C93894"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D8C591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31</w:t>
            </w:r>
          </w:p>
        </w:tc>
      </w:tr>
      <w:tr w:rsidR="00CA7C54" w:rsidRPr="00CA7C54" w14:paraId="11EA4935" w14:textId="77777777" w:rsidTr="00700FAA">
        <w:trPr>
          <w:trHeight w:val="276"/>
        </w:trPr>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D581029"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Відносна вологість, % до</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70CFD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E2F20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6BDED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50D85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87643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1C90C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r>
      <w:tr w:rsidR="00CA7C54" w:rsidRPr="00CA7C54" w14:paraId="3A664BC4"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072AED"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Швидкість руху повітря, м/с</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06BA8A"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2EFDF3"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0D1278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E52A4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9391E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520A6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r>
      <w:tr w:rsidR="00CA7C54" w:rsidRPr="00CA7C54" w14:paraId="444782BB"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756E15"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Концентрація СО</w:t>
            </w:r>
            <w:r w:rsidRPr="0042528B">
              <w:rPr>
                <w:rFonts w:ascii="Arial" w:eastAsia="Arial" w:hAnsi="Arial" w:cs="Arial"/>
                <w:color w:val="000000" w:themeColor="text1"/>
                <w:sz w:val="20"/>
                <w:szCs w:val="20"/>
                <w:vertAlign w:val="subscript"/>
              </w:rPr>
              <w:t>2</w:t>
            </w:r>
            <w:r w:rsidRPr="0042528B">
              <w:rPr>
                <w:rFonts w:ascii="Arial" w:eastAsia="Arial" w:hAnsi="Arial" w:cs="Arial"/>
                <w:color w:val="000000" w:themeColor="text1"/>
                <w:sz w:val="20"/>
                <w:szCs w:val="20"/>
              </w:rPr>
              <w:t>, % об'єму</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0CC0DF"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14FE90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1AC8C5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4</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39114C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D5E6CF"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3,5</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0483F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4</w:t>
            </w:r>
          </w:p>
        </w:tc>
      </w:tr>
      <w:tr w:rsidR="00CA7C54" w:rsidRPr="00CA7C54" w14:paraId="614EC367"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6F1E46"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Концентрація СО, мг/м</w:t>
            </w:r>
            <w:r w:rsidRPr="0042528B">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FE90AD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A51C8C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9038B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DC5D5B"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F6519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75</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A4C60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r>
      <w:tr w:rsidR="00CA7C54" w:rsidRPr="00CA7C54" w14:paraId="14D990A3"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AB28BA"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Концентрація летких органічних сполук та загальних летких органічних речовин, мкг/м</w:t>
            </w:r>
            <w:r w:rsidRPr="0042528B">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46270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54585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6CDD3CD"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43434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C78D28A"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31A02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r>
      <w:tr w:rsidR="00CA7C54" w:rsidRPr="00CA7C54" w14:paraId="78E7B96F"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8E693B"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Формальдегід, мкг/м</w:t>
            </w:r>
            <w:r w:rsidRPr="0042528B">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6804D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8E8CD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3BDDAB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7B6FD3"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B7DBBF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A16D3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r>
      <w:tr w:rsidR="00CA7C54" w:rsidRPr="00CA7C54" w14:paraId="112A664F"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C1CB16"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Канцерогенні, мутагенні або репротоксичні речовин (класу 1A та 1B), мкг/м</w:t>
            </w:r>
            <w:r w:rsidRPr="0042528B">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198FD42"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38A6F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96A315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F3A7C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77661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694451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r>
      <w:tr w:rsidR="00CA7C54" w:rsidRPr="00CA7C54" w14:paraId="7AAFB565" w14:textId="77777777" w:rsidTr="00700FAA">
        <w:trPr>
          <w:trHeight w:val="389"/>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2A3A2F7" w14:textId="77777777" w:rsidR="003C4E04" w:rsidRPr="0042528B" w:rsidRDefault="001E748C">
            <w:pPr>
              <w:pBdr>
                <w:top w:val="nil"/>
                <w:left w:val="nil"/>
                <w:bottom w:val="nil"/>
                <w:right w:val="nil"/>
                <w:between w:val="nil"/>
              </w:pBdr>
              <w:spacing w:before="0" w:line="240" w:lineRule="auto"/>
              <w:ind w:firstLine="0"/>
              <w:jc w:val="left"/>
              <w:rPr>
                <w:rFonts w:ascii="Arial" w:eastAsia="Arial" w:hAnsi="Arial" w:cs="Arial"/>
                <w:b/>
                <w:color w:val="000000" w:themeColor="text1"/>
                <w:sz w:val="20"/>
                <w:szCs w:val="20"/>
              </w:rPr>
            </w:pPr>
            <w:r w:rsidRPr="0042528B">
              <w:rPr>
                <w:rFonts w:ascii="Arial" w:eastAsia="Arial" w:hAnsi="Arial" w:cs="Arial"/>
                <w:b/>
                <w:i/>
                <w:color w:val="000000" w:themeColor="text1"/>
                <w:sz w:val="20"/>
                <w:szCs w:val="20"/>
              </w:rPr>
              <w:t>Для дітей віком до 11 років, вагітних жінок, матерів-годувальниць</w:t>
            </w:r>
          </w:p>
        </w:tc>
      </w:tr>
      <w:tr w:rsidR="00CA7C54" w:rsidRPr="00CA7C54" w14:paraId="11C11F44" w14:textId="77777777" w:rsidTr="0042528B">
        <w:trPr>
          <w:trHeight w:val="397"/>
        </w:trPr>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1CED176" w14:textId="77777777" w:rsidR="003C4E04" w:rsidRPr="0042528B"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Температура, °С</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4679C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B9AB7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27</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F2EF1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28</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3CADB1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43A86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28</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9FF68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29</w:t>
            </w:r>
          </w:p>
        </w:tc>
      </w:tr>
      <w:tr w:rsidR="00CA7C54" w:rsidRPr="00CA7C54" w14:paraId="6B3AEE2E" w14:textId="77777777" w:rsidTr="00700FAA">
        <w:trPr>
          <w:trHeight w:val="412"/>
        </w:trPr>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D92A1A" w14:textId="77777777" w:rsidR="003C4E04" w:rsidRPr="0042528B"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Відносна вологість, % до</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E30FC5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4D67BA"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C91276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A19CA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0333F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EC81C2"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r>
      <w:tr w:rsidR="00CA7C54" w:rsidRPr="00CA7C54" w14:paraId="5CB6C9F9"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D03A8B" w14:textId="77777777" w:rsidR="003C4E04" w:rsidRPr="0042528B"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Швидкість руху повітря, м/с</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62CCA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A50DFB4"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A2E477" w14:textId="77777777" w:rsidR="003C4E04" w:rsidRPr="0042528B" w:rsidRDefault="001E748C" w:rsidP="0042528B">
            <w:pP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3238E8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61FE76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FE094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r>
      <w:tr w:rsidR="005D283B" w:rsidRPr="00CA7C54" w14:paraId="3CF30525" w14:textId="77777777" w:rsidTr="00700FAA">
        <w:tc>
          <w:tcPr>
            <w:tcW w:w="2682"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115" w:type="dxa"/>
            </w:tcMar>
          </w:tcPr>
          <w:p w14:paraId="51587447" w14:textId="77777777" w:rsidR="005D283B" w:rsidRPr="00CA7C54" w:rsidRDefault="005D283B" w:rsidP="005D283B">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Концентрація СО</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 об'єму</w:t>
            </w:r>
          </w:p>
        </w:tc>
        <w:tc>
          <w:tcPr>
            <w:tcW w:w="1133"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4971AB5F"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1182"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28C844B6"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tc>
        <w:tc>
          <w:tcPr>
            <w:tcW w:w="1230"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2600D4DB"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c>
          <w:tcPr>
            <w:tcW w:w="1277"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08F2AE21"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1275"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610ECFEC"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tc>
        <w:tc>
          <w:tcPr>
            <w:tcW w:w="1139"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104B89D2"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r>
      <w:tr w:rsidR="005D283B" w:rsidRPr="00CA7C54" w14:paraId="141E08E8"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193DB3" w14:textId="77777777" w:rsidR="005D283B" w:rsidRPr="00CA7C54" w:rsidRDefault="005D283B" w:rsidP="005D283B">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Концентрація СО, мг/м</w:t>
            </w:r>
            <w:r w:rsidRPr="00CA7C54">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60CD07"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5A64694"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EE8F16"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F3E117"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0ED546"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188E75"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r>
      <w:tr w:rsidR="005D283B" w:rsidRPr="00CA7C54" w14:paraId="6BD96C74"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485D0F" w14:textId="77777777" w:rsidR="005D283B" w:rsidRPr="00CA7C54" w:rsidRDefault="005D283B" w:rsidP="005D283B">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Концентація летких органічних сполук та загальних летких органічних речовин, мкг/м</w:t>
            </w:r>
            <w:r w:rsidRPr="00CA7C54">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6EBCD"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311221"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B91632A"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39620AB"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7014DD"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3DD4CD5"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r>
      <w:tr w:rsidR="005D283B" w:rsidRPr="00CA7C54" w14:paraId="09FB1E86"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229F9F" w14:textId="77777777" w:rsidR="005D283B" w:rsidRPr="00CA7C54" w:rsidRDefault="005D283B" w:rsidP="005D283B">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Формальдегід, мкг/м</w:t>
            </w:r>
            <w:r w:rsidRPr="00CA7C54">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E524571"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53EE01B"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2866C5"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FB49E5"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34E7DC2"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3B2B5B"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r>
      <w:tr w:rsidR="005D283B" w:rsidRPr="00CA7C54" w14:paraId="6C59617B"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CEB3B4" w14:textId="77777777" w:rsidR="005D283B" w:rsidRPr="00CA7C54" w:rsidRDefault="005D283B" w:rsidP="005D283B">
            <w:pPr>
              <w:pBdr>
                <w:top w:val="nil"/>
                <w:left w:val="nil"/>
                <w:bottom w:val="nil"/>
                <w:right w:val="nil"/>
                <w:between w:val="nil"/>
              </w:pBdr>
              <w:spacing w:before="0" w:after="12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Канцерогенні, мутагенні або репротоксичні речовин (класу 1A та 1B), мкг/м</w:t>
            </w:r>
            <w:r w:rsidRPr="00CA7C54">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D0BCA1"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FE16E30"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4D2864"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134F08"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CBC36C"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14ADB9"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r>
      <w:tr w:rsidR="005D283B" w:rsidRPr="00CA7C54" w14:paraId="7EFE235A" w14:textId="77777777" w:rsidTr="00700FAA">
        <w:tc>
          <w:tcPr>
            <w:tcW w:w="9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FD8C44" w14:textId="77777777" w:rsidR="005D283B" w:rsidRPr="00CA7C54" w:rsidRDefault="005D283B" w:rsidP="007D72FD">
            <w:pPr>
              <w:pBdr>
                <w:top w:val="nil"/>
                <w:left w:val="nil"/>
                <w:bottom w:val="nil"/>
                <w:right w:val="nil"/>
                <w:between w:val="nil"/>
              </w:pBdr>
              <w:spacing w:before="0" w:line="216" w:lineRule="auto"/>
              <w:ind w:left="1293" w:hanging="1293"/>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   </w:t>
            </w:r>
            <w:r w:rsidRPr="003D7792">
              <w:rPr>
                <w:rFonts w:ascii="Arial" w:eastAsia="Arial" w:hAnsi="Arial" w:cs="Arial"/>
                <w:color w:val="000000" w:themeColor="text1"/>
                <w:spacing w:val="-4"/>
                <w:w w:val="95"/>
                <w:sz w:val="20"/>
                <w:szCs w:val="20"/>
              </w:rPr>
              <w:t>Розрахункова температура зовнішнього повітря визначається відповідно до ДСТУ-Н Б В.1.1-</w:t>
            </w:r>
            <w:r w:rsidRPr="00CA7C54">
              <w:rPr>
                <w:rFonts w:ascii="Arial" w:eastAsia="Arial" w:hAnsi="Arial" w:cs="Arial"/>
                <w:color w:val="000000" w:themeColor="text1"/>
                <w:sz w:val="20"/>
                <w:szCs w:val="20"/>
              </w:rPr>
              <w:t>27, як температура зовнішнього повітря для найжаркішої п'ятиденки забезпеченістю 0,99.</w:t>
            </w:r>
          </w:p>
          <w:p w14:paraId="08FAEBCA" w14:textId="77777777" w:rsidR="005D283B" w:rsidRPr="00CA7C54" w:rsidRDefault="005D283B" w:rsidP="007D72FD">
            <w:pPr>
              <w:pBdr>
                <w:top w:val="nil"/>
                <w:left w:val="nil"/>
                <w:bottom w:val="nil"/>
                <w:right w:val="nil"/>
                <w:between w:val="nil"/>
              </w:pBdr>
              <w:spacing w:before="0" w:line="216" w:lineRule="auto"/>
              <w:ind w:left="1293" w:hanging="1293"/>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2.  </w:t>
            </w:r>
            <w:r w:rsidRPr="00CA7C54">
              <w:rPr>
                <w:rFonts w:ascii="Arial" w:eastAsia="Arial" w:hAnsi="Arial" w:cs="Arial"/>
                <w:color w:val="000000" w:themeColor="text1"/>
                <w:sz w:val="20"/>
                <w:szCs w:val="20"/>
              </w:rPr>
              <w:t>При перебуванні у приміщеннях захисних споруд та СПП змішаного складу гранично-допустимі параметри основних факторів мікроклімату приймаються за групою «діти віком до 11 років, вагітні жінки, матері-годувальниці».</w:t>
            </w:r>
          </w:p>
          <w:p w14:paraId="1D346B1E" w14:textId="77777777" w:rsidR="005D283B" w:rsidRPr="00CA7C54" w:rsidRDefault="005D283B" w:rsidP="007D72FD">
            <w:pPr>
              <w:pBdr>
                <w:top w:val="nil"/>
                <w:left w:val="nil"/>
                <w:bottom w:val="nil"/>
                <w:right w:val="nil"/>
                <w:between w:val="nil"/>
              </w:pBdr>
              <w:spacing w:before="0" w:line="216" w:lineRule="auto"/>
              <w:ind w:left="1293" w:hanging="1293"/>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3.  </w:t>
            </w:r>
            <w:r w:rsidRPr="00CA7C54">
              <w:rPr>
                <w:rFonts w:ascii="Arial" w:eastAsia="Arial" w:hAnsi="Arial" w:cs="Arial"/>
                <w:color w:val="000000" w:themeColor="text1"/>
                <w:sz w:val="20"/>
                <w:szCs w:val="20"/>
              </w:rPr>
              <w:t>Величини концентрацій СO</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і СО не є розрахунковими для режимів чистої вентиляції і фільтровентиляції і призначені для визначення необхідності призначення режиму III - регенерації повітря.</w:t>
            </w:r>
          </w:p>
        </w:tc>
      </w:tr>
    </w:tbl>
    <w:p w14:paraId="769F4281"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4"/>
          <w:szCs w:val="24"/>
        </w:rPr>
      </w:pPr>
      <w:r w:rsidRPr="00CA7C54">
        <w:rPr>
          <w:b/>
          <w:color w:val="000000" w:themeColor="text1"/>
        </w:rPr>
        <w:lastRenderedPageBreak/>
        <w:t>11.2.1.8</w:t>
      </w:r>
      <w:r w:rsidRPr="00CA7C54">
        <w:rPr>
          <w:color w:val="000000" w:themeColor="text1"/>
        </w:rPr>
        <w:t xml:space="preserve"> В основних приміщеннях сховищ та СПП для закладів охорони здоров’я  гранично-допустимі параметри мікроклімату і газового складу повітряного середовища слід приймати за таблицею 11.3.</w:t>
      </w:r>
    </w:p>
    <w:p w14:paraId="56C75728" w14:textId="77777777" w:rsidR="003C4E04" w:rsidRPr="00CA7C54" w:rsidRDefault="001E748C" w:rsidP="004C31DC">
      <w:pPr>
        <w:pBdr>
          <w:top w:val="nil"/>
          <w:left w:val="nil"/>
          <w:bottom w:val="nil"/>
          <w:right w:val="nil"/>
          <w:between w:val="nil"/>
        </w:pBdr>
        <w:spacing w:before="0" w:after="120" w:line="240" w:lineRule="auto"/>
        <w:ind w:left="1418" w:hanging="1418"/>
        <w:rPr>
          <w:rFonts w:ascii="Times New Roman" w:eastAsia="Times New Roman" w:hAnsi="Times New Roman" w:cs="Times New Roman"/>
          <w:color w:val="000000" w:themeColor="text1"/>
          <w:sz w:val="21"/>
          <w:szCs w:val="21"/>
        </w:rPr>
      </w:pPr>
      <w:r w:rsidRPr="00CA7C54">
        <w:rPr>
          <w:b/>
          <w:color w:val="000000" w:themeColor="text1"/>
          <w:sz w:val="21"/>
          <w:szCs w:val="21"/>
        </w:rPr>
        <w:t>Таблиця 11.3 </w:t>
      </w:r>
      <w:r w:rsidRPr="00EB63CF">
        <w:rPr>
          <w:bCs/>
          <w:color w:val="000000" w:themeColor="text1"/>
          <w:sz w:val="21"/>
          <w:szCs w:val="21"/>
        </w:rPr>
        <w:t>–</w:t>
      </w:r>
      <w:r w:rsidRPr="00CA7C54">
        <w:rPr>
          <w:b/>
          <w:color w:val="000000" w:themeColor="text1"/>
          <w:sz w:val="21"/>
          <w:szCs w:val="21"/>
        </w:rPr>
        <w:t> </w:t>
      </w:r>
      <w:r w:rsidRPr="00CA7C54">
        <w:rPr>
          <w:color w:val="000000" w:themeColor="text1"/>
          <w:sz w:val="21"/>
          <w:szCs w:val="21"/>
        </w:rPr>
        <w:t xml:space="preserve">Параметри мікроклімату основних приміщень сховищ та СПП для закладів охорони здоров’я </w:t>
      </w:r>
    </w:p>
    <w:tbl>
      <w:tblPr>
        <w:tblStyle w:val="afffffffffffffffffffffffffffffff2"/>
        <w:tblW w:w="9634" w:type="dxa"/>
        <w:tblLayout w:type="fixed"/>
        <w:tblLook w:val="0400" w:firstRow="0" w:lastRow="0" w:firstColumn="0" w:lastColumn="0" w:noHBand="0" w:noVBand="1"/>
      </w:tblPr>
      <w:tblGrid>
        <w:gridCol w:w="2495"/>
        <w:gridCol w:w="1186"/>
        <w:gridCol w:w="1134"/>
        <w:gridCol w:w="1276"/>
        <w:gridCol w:w="1134"/>
        <w:gridCol w:w="1417"/>
        <w:gridCol w:w="992"/>
      </w:tblGrid>
      <w:tr w:rsidR="00CA7C54" w:rsidRPr="00CA7C54" w14:paraId="07524EBA" w14:textId="77777777" w:rsidTr="00A308EC">
        <w:trPr>
          <w:tblHeader/>
        </w:trPr>
        <w:tc>
          <w:tcPr>
            <w:tcW w:w="24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6782F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Параметри мікроклімату</w:t>
            </w:r>
          </w:p>
        </w:tc>
        <w:tc>
          <w:tcPr>
            <w:tcW w:w="7139"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17BA48"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Розрахункова</w:t>
            </w:r>
            <w:r w:rsidRPr="00CA7C54">
              <w:rPr>
                <w:rFonts w:ascii="Arial" w:eastAsia="Arial" w:hAnsi="Arial" w:cs="Arial"/>
                <w:b/>
                <w:i/>
                <w:color w:val="000000" w:themeColor="text1"/>
                <w:sz w:val="20"/>
                <w:szCs w:val="20"/>
              </w:rPr>
              <w:t> t</w:t>
            </w:r>
            <w:r w:rsidRPr="00CA7C54">
              <w:rPr>
                <w:rFonts w:ascii="Arial" w:eastAsia="Arial" w:hAnsi="Arial" w:cs="Arial"/>
                <w:b/>
                <w:color w:val="000000" w:themeColor="text1"/>
                <w:sz w:val="20"/>
                <w:szCs w:val="20"/>
              </w:rPr>
              <w:t> °С зовнішнього повітря</w:t>
            </w:r>
          </w:p>
        </w:tc>
      </w:tr>
      <w:tr w:rsidR="00CA7C54" w:rsidRPr="00CA7C54" w14:paraId="642DECDA" w14:textId="77777777" w:rsidTr="00A308EC">
        <w:trPr>
          <w:tblHeader/>
        </w:trPr>
        <w:tc>
          <w:tcPr>
            <w:tcW w:w="249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A2DEB4"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35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4694E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До 25 °С у кліматичних районах І, ІІІ, V</w:t>
            </w: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8CA4E6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Більше 25 °С у кліматичних районах ІІ, ІV</w:t>
            </w:r>
          </w:p>
        </w:tc>
      </w:tr>
      <w:tr w:rsidR="00CA7C54" w:rsidRPr="00CA7C54" w14:paraId="2DBA5209" w14:textId="77777777" w:rsidTr="00A308EC">
        <w:trPr>
          <w:trHeight w:val="432"/>
          <w:tblHeader/>
        </w:trPr>
        <w:tc>
          <w:tcPr>
            <w:tcW w:w="249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E44C93"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15A740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чиста вентиля</w:t>
            </w:r>
            <w:r w:rsidR="00A308EC">
              <w:rPr>
                <w:rFonts w:ascii="Arial" w:eastAsia="Arial" w:hAnsi="Arial" w:cs="Arial"/>
                <w:color w:val="000000" w:themeColor="text1"/>
                <w:sz w:val="20"/>
                <w:szCs w:val="20"/>
              </w:rPr>
              <w:t>-</w:t>
            </w:r>
            <w:r w:rsidRPr="00CA7C54">
              <w:rPr>
                <w:rFonts w:ascii="Arial" w:eastAsia="Arial" w:hAnsi="Arial" w:cs="Arial"/>
                <w:color w:val="000000" w:themeColor="text1"/>
                <w:sz w:val="20"/>
                <w:szCs w:val="20"/>
              </w:rPr>
              <w:t>ція</w:t>
            </w:r>
          </w:p>
          <w:p w14:paraId="6621F51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4C801" w14:textId="77777777" w:rsidR="00A308EC"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фільтро-вентиля</w:t>
            </w:r>
            <w:r w:rsidR="00A308EC">
              <w:rPr>
                <w:rFonts w:ascii="Arial" w:eastAsia="Arial" w:hAnsi="Arial" w:cs="Arial"/>
                <w:color w:val="000000" w:themeColor="text1"/>
                <w:sz w:val="20"/>
                <w:szCs w:val="20"/>
              </w:rPr>
              <w:t>-</w:t>
            </w:r>
          </w:p>
          <w:p w14:paraId="7B3994DE"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ція</w:t>
            </w:r>
          </w:p>
          <w:p w14:paraId="6B1105E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ІІ)</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71D49EA" w14:textId="77777777" w:rsidR="00A308EC"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регенера-</w:t>
            </w:r>
          </w:p>
          <w:p w14:paraId="09A9506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ція</w:t>
            </w:r>
          </w:p>
          <w:p w14:paraId="3F7D5FD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ІІІ)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D1D92D" w14:textId="77777777" w:rsidR="00A308EC"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чиста вентиля</w:t>
            </w:r>
            <w:r w:rsidR="00A308EC">
              <w:rPr>
                <w:rFonts w:ascii="Arial" w:eastAsia="Arial" w:hAnsi="Arial" w:cs="Arial"/>
                <w:color w:val="000000" w:themeColor="text1"/>
                <w:sz w:val="20"/>
                <w:szCs w:val="20"/>
              </w:rPr>
              <w:t>-</w:t>
            </w:r>
          </w:p>
          <w:p w14:paraId="58855DA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ція</w:t>
            </w:r>
          </w:p>
          <w:p w14:paraId="0F6796E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414183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фільтро-вентиляція</w:t>
            </w:r>
          </w:p>
          <w:p w14:paraId="61F10390"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ІІ)</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29D80" w14:textId="77777777" w:rsidR="003C4E04" w:rsidRPr="00CA7C54" w:rsidRDefault="00A308E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Pr>
                <w:rFonts w:ascii="Arial" w:eastAsia="Arial" w:hAnsi="Arial" w:cs="Arial"/>
                <w:color w:val="000000" w:themeColor="text1"/>
                <w:sz w:val="20"/>
                <w:szCs w:val="20"/>
              </w:rPr>
              <w:t>р</w:t>
            </w:r>
            <w:r w:rsidR="001E748C" w:rsidRPr="00CA7C54">
              <w:rPr>
                <w:rFonts w:ascii="Arial" w:eastAsia="Arial" w:hAnsi="Arial" w:cs="Arial"/>
                <w:color w:val="000000" w:themeColor="text1"/>
                <w:sz w:val="20"/>
                <w:szCs w:val="20"/>
              </w:rPr>
              <w:t>егене</w:t>
            </w:r>
            <w:r>
              <w:rPr>
                <w:rFonts w:ascii="Arial" w:eastAsia="Arial" w:hAnsi="Arial" w:cs="Arial"/>
                <w:color w:val="000000" w:themeColor="text1"/>
                <w:sz w:val="20"/>
                <w:szCs w:val="20"/>
              </w:rPr>
              <w:t>-</w:t>
            </w:r>
            <w:r w:rsidR="001E748C" w:rsidRPr="00CA7C54">
              <w:rPr>
                <w:rFonts w:ascii="Arial" w:eastAsia="Arial" w:hAnsi="Arial" w:cs="Arial"/>
                <w:color w:val="000000" w:themeColor="text1"/>
                <w:sz w:val="20"/>
                <w:szCs w:val="20"/>
              </w:rPr>
              <w:t>рація</w:t>
            </w:r>
          </w:p>
          <w:p w14:paraId="290130D0"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ІІІ)</w:t>
            </w:r>
          </w:p>
        </w:tc>
      </w:tr>
      <w:tr w:rsidR="00CA7C54" w:rsidRPr="00CA7C54" w14:paraId="61E4D1A0" w14:textId="77777777" w:rsidTr="00A308EC">
        <w:trPr>
          <w:trHeight w:val="287"/>
        </w:trPr>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E9FF21"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Температура, °С</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ED895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BB1EE7"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28-29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9D829F"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до 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7A8ED8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6ACE66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28-29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0FC42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до 30</w:t>
            </w:r>
          </w:p>
        </w:tc>
      </w:tr>
      <w:tr w:rsidR="00CA7C54" w:rsidRPr="00CA7C54" w14:paraId="3E1E9F99" w14:textId="77777777" w:rsidTr="00A308EC">
        <w:trPr>
          <w:trHeight w:val="181"/>
        </w:trPr>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24ACFA7" w14:textId="77777777" w:rsidR="003C4E04" w:rsidRPr="00CA7C54" w:rsidRDefault="001E748C">
            <w:pPr>
              <w:pBdr>
                <w:top w:val="nil"/>
                <w:left w:val="nil"/>
                <w:bottom w:val="nil"/>
                <w:right w:val="nil"/>
                <w:between w:val="nil"/>
              </w:pBdr>
              <w:spacing w:before="0" w:line="240" w:lineRule="auto"/>
              <w:ind w:right="-172"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Відносна вологість, % до</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B0CFC0E"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2E7C6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66602C"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841DA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F73375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1EAEA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r>
      <w:tr w:rsidR="00CA7C54" w:rsidRPr="00CA7C54" w14:paraId="43E30B07" w14:textId="77777777" w:rsidTr="00A308EC">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DD7824"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Швидкість руху повітря, м/с</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656C27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6F0A5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ECDE3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1167ED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0CA5D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B42271B"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r>
      <w:tr w:rsidR="00CA7C54" w:rsidRPr="00CA7C54" w14:paraId="7575E9B0" w14:textId="77777777" w:rsidTr="00A308EC">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82AEBAC"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Концентрація СО</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 об'єму</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A0276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14BFC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F0E5749"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437807C"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48DD5B"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60AA6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r>
      <w:tr w:rsidR="00CA7C54" w:rsidRPr="00CA7C54" w14:paraId="7F8D7F51" w14:textId="77777777" w:rsidTr="00A308EC">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92EEA9"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Концентрація СО, мг/м</w:t>
            </w:r>
            <w:r w:rsidRPr="00CA7C54">
              <w:rPr>
                <w:rFonts w:ascii="Arial" w:eastAsia="Arial" w:hAnsi="Arial" w:cs="Arial"/>
                <w:color w:val="000000" w:themeColor="text1"/>
                <w:sz w:val="20"/>
                <w:szCs w:val="20"/>
                <w:vertAlign w:val="superscript"/>
              </w:rPr>
              <w:t>3</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DAAE9F"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269F2CF"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94E284"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C2AA5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60D6A8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BD7DB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r>
      <w:tr w:rsidR="00CA7C54" w:rsidRPr="00CA7C54" w14:paraId="0C73FEE4" w14:textId="77777777" w:rsidTr="00A308EC">
        <w:trPr>
          <w:trHeight w:val="564"/>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5A4773" w14:textId="77777777" w:rsidR="003C4E04" w:rsidRPr="00CA7C54" w:rsidRDefault="001E748C">
            <w:pPr>
              <w:pBdr>
                <w:top w:val="nil"/>
                <w:left w:val="nil"/>
                <w:bottom w:val="nil"/>
                <w:right w:val="nil"/>
                <w:between w:val="nil"/>
              </w:pBdr>
              <w:spacing w:before="0" w:line="240" w:lineRule="auto"/>
              <w:ind w:left="1009" w:hanging="1009"/>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w:t>
            </w:r>
            <w:r w:rsidRPr="00CA7C54">
              <w:rPr>
                <w:rFonts w:ascii="Arial" w:eastAsia="Arial" w:hAnsi="Arial" w:cs="Arial"/>
                <w:color w:val="000000" w:themeColor="text1"/>
                <w:sz w:val="20"/>
                <w:szCs w:val="20"/>
              </w:rPr>
              <w:t>Величини концентрацій СO</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xml:space="preserve"> і СО не є розрахунковими для режимів чистої вентиляції, фільтровентиляції і передбачені для визначення необхідності призначення режиму III.</w:t>
            </w:r>
          </w:p>
        </w:tc>
      </w:tr>
    </w:tbl>
    <w:p w14:paraId="59062AE5"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11.2.1.9</w:t>
      </w:r>
      <w:r w:rsidRPr="00CA7C54">
        <w:rPr>
          <w:color w:val="000000" w:themeColor="text1"/>
          <w:sz w:val="21"/>
          <w:szCs w:val="21"/>
        </w:rPr>
        <w:t xml:space="preserve"> У приміщеннях медичного пункту гранично-допустимі параметри мікроклімату і газового складу повітряного середовища слід приймати за таблицею 11.2 як для групи населення «діти віком до 11 років, вагітні жінки, матері-годувальниці».</w:t>
      </w:r>
    </w:p>
    <w:p w14:paraId="5CA88AA0"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11.2.1.10 </w:t>
      </w:r>
      <w:r w:rsidRPr="00CA7C54">
        <w:rPr>
          <w:color w:val="000000" w:themeColor="text1"/>
          <w:sz w:val="21"/>
          <w:szCs w:val="21"/>
        </w:rPr>
        <w:t>Підпор повітря у сховищах та СПП з III-ім режимом вентиляції  (регенерації) необхідно забезпечувати:</w:t>
      </w:r>
    </w:p>
    <w:p w14:paraId="48DB0A7F" w14:textId="77777777" w:rsidR="003C4E04" w:rsidRPr="00CA7C54" w:rsidRDefault="001E748C" w:rsidP="004C31DC">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1) У зонах можливого хімічного забруднення небезпечними хімічними речовинами (НХР) – стисненим повітрям (киснем) із балонів;</w:t>
      </w:r>
    </w:p>
    <w:p w14:paraId="162E72F8"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2) У зонах можливої небезпечної загазованості повітря продуктами горіння:</w:t>
      </w:r>
    </w:p>
    <w:p w14:paraId="0EFD5CDA"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а)  при місткості сховищ та СПП до 500 осіб – стисненим повітрям (киснем) із балонів або подаванням зовнішнього повітря, яке очищується у спеціальних фільтрах;</w:t>
      </w:r>
    </w:p>
    <w:p w14:paraId="28DFD8FC"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б) при місткості сховищ та СПП більше</w:t>
      </w:r>
      <w:r w:rsidR="00C32317" w:rsidRPr="00CA7C54">
        <w:rPr>
          <w:color w:val="000000" w:themeColor="text1"/>
          <w:sz w:val="21"/>
          <w:szCs w:val="21"/>
        </w:rPr>
        <w:t xml:space="preserve"> ніж</w:t>
      </w:r>
      <w:r w:rsidRPr="00CA7C54">
        <w:rPr>
          <w:color w:val="000000" w:themeColor="text1"/>
          <w:sz w:val="21"/>
          <w:szCs w:val="21"/>
        </w:rPr>
        <w:t xml:space="preserve"> 500 осіб – подачею зовнішнього повітря, яке очищується у спеціальних фільтрах.</w:t>
      </w:r>
    </w:p>
    <w:p w14:paraId="2E940175"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Стиснене повітря (кисень) із балонів слід використовувати не тільки для створення підпору, але й для підтримання нормального газового складу внутрішнього повітря у сховищі та СПП.</w:t>
      </w:r>
    </w:p>
    <w:p w14:paraId="7F08AB09"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В ІІІ-му режимі вентиляції в якості джерела повітря (кисню) для дихання може використовуватись лише таке обладнання, яке розташоване всередині сховища чи СПП.</w:t>
      </w:r>
    </w:p>
    <w:p w14:paraId="0A9667B1"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10.2.1.11</w:t>
      </w:r>
      <w:r w:rsidRPr="00CA7C54">
        <w:rPr>
          <w:color w:val="000000" w:themeColor="text1"/>
          <w:sz w:val="21"/>
          <w:szCs w:val="21"/>
        </w:rPr>
        <w:t xml:space="preserve"> У сховищах та СПП при режимі фільтровентиляції (режим ІІ) передбачається нормований експлуатаційний підпор повітря 50 Па.</w:t>
      </w:r>
    </w:p>
    <w:p w14:paraId="4714A8AC"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Кількість повітря </w:t>
      </w:r>
      <w:r w:rsidRPr="00CA7C54">
        <w:rPr>
          <w:i/>
          <w:color w:val="000000" w:themeColor="text1"/>
          <w:sz w:val="21"/>
          <w:szCs w:val="21"/>
        </w:rPr>
        <w:t>L</w:t>
      </w:r>
      <w:r w:rsidRPr="00CA7C54">
        <w:rPr>
          <w:i/>
          <w:color w:val="000000" w:themeColor="text1"/>
          <w:sz w:val="21"/>
          <w:szCs w:val="21"/>
          <w:vertAlign w:val="subscript"/>
        </w:rPr>
        <w:t>ІІ</w:t>
      </w:r>
      <w:r w:rsidRPr="00CA7C54">
        <w:rPr>
          <w:color w:val="000000" w:themeColor="text1"/>
          <w:sz w:val="21"/>
          <w:szCs w:val="21"/>
        </w:rPr>
        <w:t>, ( м</w:t>
      </w:r>
      <w:r w:rsidRPr="00CA7C54">
        <w:rPr>
          <w:color w:val="000000" w:themeColor="text1"/>
          <w:sz w:val="21"/>
          <w:szCs w:val="21"/>
          <w:vertAlign w:val="superscript"/>
        </w:rPr>
        <w:t>3</w:t>
      </w:r>
      <w:r w:rsidRPr="00CA7C54">
        <w:rPr>
          <w:color w:val="000000" w:themeColor="text1"/>
          <w:sz w:val="21"/>
          <w:szCs w:val="21"/>
        </w:rPr>
        <w:t>/год), для забезпечення експлуатаційного підпору 50 Па при II-му режимі слід визначати за формулою 11.4.</w:t>
      </w:r>
    </w:p>
    <w:p w14:paraId="7E97B13D"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сховищах та СПП при режимі регенерації внутрішнього повітря (режим ІІІ) передбачається нормований експлуатаційний підпор повітря 20 Па.</w:t>
      </w:r>
    </w:p>
    <w:p w14:paraId="1C775A70"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Кількість повітря </w:t>
      </w:r>
      <w:r w:rsidRPr="00CA7C54">
        <w:rPr>
          <w:i/>
          <w:color w:val="000000" w:themeColor="text1"/>
          <w:sz w:val="21"/>
          <w:szCs w:val="21"/>
        </w:rPr>
        <w:t>L</w:t>
      </w:r>
      <w:r w:rsidRPr="00CA7C54">
        <w:rPr>
          <w:i/>
          <w:color w:val="000000" w:themeColor="text1"/>
          <w:sz w:val="21"/>
          <w:szCs w:val="21"/>
          <w:vertAlign w:val="subscript"/>
        </w:rPr>
        <w:t>ІІІ</w:t>
      </w:r>
      <w:r w:rsidRPr="00CA7C54">
        <w:rPr>
          <w:color w:val="000000" w:themeColor="text1"/>
          <w:sz w:val="21"/>
          <w:szCs w:val="21"/>
        </w:rPr>
        <w:t>, ( м</w:t>
      </w:r>
      <w:r w:rsidRPr="00CA7C54">
        <w:rPr>
          <w:color w:val="000000" w:themeColor="text1"/>
          <w:sz w:val="21"/>
          <w:szCs w:val="21"/>
          <w:vertAlign w:val="superscript"/>
        </w:rPr>
        <w:t>3</w:t>
      </w:r>
      <w:r w:rsidRPr="00CA7C54">
        <w:rPr>
          <w:color w:val="000000" w:themeColor="text1"/>
          <w:sz w:val="21"/>
          <w:szCs w:val="21"/>
        </w:rPr>
        <w:t>/год), для забезпечення експлуатаційного підпору 20 Па при IІI-му режимі слід визначати за формулою 11.7.</w:t>
      </w:r>
    </w:p>
    <w:p w14:paraId="29D5361B"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11.2.1.12</w:t>
      </w:r>
      <w:r w:rsidRPr="00CA7C54">
        <w:rPr>
          <w:color w:val="000000" w:themeColor="text1"/>
          <w:sz w:val="21"/>
          <w:szCs w:val="21"/>
        </w:rPr>
        <w:t xml:space="preserve"> Кількість зовнішнього повітря, яке подається у захисні споруди та СПП, слід приймати: </w:t>
      </w:r>
    </w:p>
    <w:p w14:paraId="73898538" w14:textId="77777777" w:rsidR="003C4E04" w:rsidRPr="00CA7C54" w:rsidRDefault="009F690B"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чистій вентиляції (режим І) – визначається за формулою 11.1, але не менше</w:t>
      </w:r>
      <w:r w:rsidR="00C32317" w:rsidRPr="00CA7C54">
        <w:rPr>
          <w:color w:val="000000" w:themeColor="text1"/>
          <w:sz w:val="21"/>
          <w:szCs w:val="21"/>
        </w:rPr>
        <w:t xml:space="preserve"> ніж</w:t>
      </w:r>
      <w:r w:rsidR="001E748C" w:rsidRPr="00CA7C54">
        <w:rPr>
          <w:color w:val="000000" w:themeColor="text1"/>
          <w:sz w:val="21"/>
          <w:szCs w:val="21"/>
        </w:rPr>
        <w:t xml:space="preserve"> значення, наведеного в таблиці 11.4;</w:t>
      </w:r>
    </w:p>
    <w:p w14:paraId="7DC8A642" w14:textId="77777777" w:rsidR="003C4E04" w:rsidRPr="00CA7C54" w:rsidRDefault="009F690B" w:rsidP="004C31DC">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фільтровентиляції (режим II) – визначається за формулою 11.3, але не менше, ніж:</w:t>
      </w:r>
    </w:p>
    <w:p w14:paraId="159F27FE" w14:textId="77777777" w:rsidR="003C4E04" w:rsidRPr="00CA7C54" w:rsidRDefault="009F690B" w:rsidP="004C31DC">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2 м³/год на одну особу, яка підлягає укриттю;</w:t>
      </w:r>
    </w:p>
    <w:p w14:paraId="15CDF20D" w14:textId="77777777" w:rsidR="003C4E04" w:rsidRPr="00CA7C54" w:rsidRDefault="009F690B" w:rsidP="004C31DC">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5 м</w:t>
      </w:r>
      <w:r w:rsidR="001E748C" w:rsidRPr="00CA7C54">
        <w:rPr>
          <w:color w:val="000000" w:themeColor="text1"/>
          <w:sz w:val="21"/>
          <w:szCs w:val="21"/>
          <w:vertAlign w:val="superscript"/>
        </w:rPr>
        <w:t>3</w:t>
      </w:r>
      <w:r w:rsidR="001E748C" w:rsidRPr="00CA7C54">
        <w:rPr>
          <w:color w:val="000000" w:themeColor="text1"/>
          <w:sz w:val="21"/>
          <w:szCs w:val="21"/>
        </w:rPr>
        <w:t>/год на одного працюючого у приміщеннях пункту керування;</w:t>
      </w:r>
    </w:p>
    <w:p w14:paraId="18CB87BC" w14:textId="77777777" w:rsidR="003C4E04" w:rsidRPr="00CA7C54" w:rsidRDefault="009F690B" w:rsidP="00E417D3">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lastRenderedPageBreak/>
        <w:t>-</w:t>
      </w:r>
      <w:r w:rsidR="001E748C" w:rsidRPr="00CA7C54">
        <w:rPr>
          <w:color w:val="000000" w:themeColor="text1"/>
          <w:sz w:val="21"/>
          <w:szCs w:val="21"/>
        </w:rPr>
        <w:t>10 м³/год на одного працюючого у фільтровентиляційній камері з електро</w:t>
      </w:r>
      <w:r w:rsidR="00DC520D">
        <w:rPr>
          <w:color w:val="000000" w:themeColor="text1"/>
          <w:sz w:val="21"/>
          <w:szCs w:val="21"/>
        </w:rPr>
        <w:t>р</w:t>
      </w:r>
      <w:r w:rsidR="001833F8">
        <w:rPr>
          <w:color w:val="000000" w:themeColor="text1"/>
          <w:sz w:val="21"/>
          <w:szCs w:val="21"/>
        </w:rPr>
        <w:t>учними</w:t>
      </w:r>
      <w:r w:rsidR="001E748C" w:rsidRPr="00CA7C54">
        <w:rPr>
          <w:color w:val="000000" w:themeColor="text1"/>
          <w:sz w:val="21"/>
          <w:szCs w:val="21"/>
        </w:rPr>
        <w:t xml:space="preserve"> вентиляторами.</w:t>
      </w:r>
    </w:p>
    <w:p w14:paraId="5322F4D0" w14:textId="77777777" w:rsidR="003C4E04" w:rsidRPr="00CA7C54" w:rsidRDefault="001E748C" w:rsidP="00E60886">
      <w:pPr>
        <w:pBdr>
          <w:top w:val="nil"/>
          <w:left w:val="nil"/>
          <w:bottom w:val="nil"/>
          <w:right w:val="nil"/>
          <w:between w:val="nil"/>
        </w:pBdr>
        <w:spacing w:before="0" w:after="120" w:line="288" w:lineRule="auto"/>
        <w:contextualSpacing/>
        <w:rPr>
          <w:color w:val="000000" w:themeColor="text1"/>
          <w:sz w:val="21"/>
          <w:szCs w:val="21"/>
        </w:rPr>
      </w:pPr>
      <w:r w:rsidRPr="00CA7C54">
        <w:rPr>
          <w:color w:val="000000" w:themeColor="text1"/>
          <w:sz w:val="21"/>
          <w:szCs w:val="21"/>
        </w:rPr>
        <w:t>При цьому мінімальна кратність повітрообміну у приміщеннях для перебування осіб, які підлягають укриттю у І-му режимі (чиста вентиляція), має становити 6 за годину (4 при капремонті і реконструкції), для закладів охорони здоров'я  - 10 за годину (6 при капремонті і реконструкції).</w:t>
      </w:r>
    </w:p>
    <w:p w14:paraId="7F16AE45" w14:textId="77777777" w:rsidR="00E60886" w:rsidRPr="00CA7C54" w:rsidRDefault="00E60886" w:rsidP="00E60886">
      <w:pPr>
        <w:pBdr>
          <w:top w:val="nil"/>
          <w:left w:val="nil"/>
          <w:bottom w:val="nil"/>
          <w:right w:val="nil"/>
          <w:between w:val="nil"/>
        </w:pBdr>
        <w:spacing w:before="0" w:after="120" w:line="288" w:lineRule="auto"/>
        <w:contextualSpacing/>
        <w:rPr>
          <w:color w:val="000000" w:themeColor="text1"/>
          <w:sz w:val="21"/>
          <w:szCs w:val="21"/>
        </w:rPr>
      </w:pPr>
    </w:p>
    <w:p w14:paraId="24287DB0" w14:textId="77777777" w:rsidR="003C4E04" w:rsidRPr="00CA7C54" w:rsidRDefault="001E748C" w:rsidP="00E60886">
      <w:pPr>
        <w:pBdr>
          <w:top w:val="nil"/>
          <w:left w:val="nil"/>
          <w:bottom w:val="nil"/>
          <w:right w:val="nil"/>
          <w:between w:val="nil"/>
        </w:pBdr>
        <w:spacing w:before="0" w:after="120" w:line="288" w:lineRule="auto"/>
        <w:ind w:right="142"/>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Таблиця 11.4 </w:t>
      </w:r>
      <w:r w:rsidRPr="00EB63CF">
        <w:rPr>
          <w:bCs/>
          <w:color w:val="000000" w:themeColor="text1"/>
          <w:sz w:val="21"/>
          <w:szCs w:val="21"/>
        </w:rPr>
        <w:t>–</w:t>
      </w:r>
      <w:r w:rsidRPr="00CA7C54">
        <w:rPr>
          <w:color w:val="000000" w:themeColor="text1"/>
          <w:sz w:val="21"/>
          <w:szCs w:val="21"/>
        </w:rPr>
        <w:t>Нормативна мінімальна кількість повітря, яке подається в захисну споруду і СПП в режимі чистої вентиляції (режим І)</w:t>
      </w:r>
    </w:p>
    <w:tbl>
      <w:tblPr>
        <w:tblStyle w:val="afffffffffffffffffffffffffffffff3"/>
        <w:tblW w:w="9634" w:type="dxa"/>
        <w:tblLayout w:type="fixed"/>
        <w:tblLook w:val="0400" w:firstRow="0" w:lastRow="0" w:firstColumn="0" w:lastColumn="0" w:noHBand="0" w:noVBand="1"/>
      </w:tblPr>
      <w:tblGrid>
        <w:gridCol w:w="3178"/>
        <w:gridCol w:w="6456"/>
      </w:tblGrid>
      <w:tr w:rsidR="00CA7C54" w:rsidRPr="00CA7C54" w14:paraId="257A25AA" w14:textId="77777777" w:rsidTr="004C31DC">
        <w:trPr>
          <w:trHeight w:val="476"/>
        </w:trPr>
        <w:tc>
          <w:tcPr>
            <w:tcW w:w="31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6A7CB7" w14:textId="77777777" w:rsidR="003C4E04" w:rsidRPr="00CA7C54" w:rsidRDefault="001E748C" w:rsidP="004C31DC">
            <w:pPr>
              <w:pBdr>
                <w:top w:val="nil"/>
                <w:left w:val="nil"/>
                <w:bottom w:val="nil"/>
                <w:right w:val="nil"/>
                <w:between w:val="nil"/>
              </w:pBdr>
              <w:spacing w:before="0" w:line="288" w:lineRule="auto"/>
              <w:ind w:right="142" w:firstLine="17"/>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Кліматичні райони</w:t>
            </w:r>
          </w:p>
        </w:tc>
        <w:tc>
          <w:tcPr>
            <w:tcW w:w="64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3F3FA9" w14:textId="77777777" w:rsidR="003C4E04" w:rsidRPr="00CA7C54" w:rsidRDefault="001E748C" w:rsidP="004C31DC">
            <w:pPr>
              <w:pBdr>
                <w:top w:val="nil"/>
                <w:left w:val="nil"/>
                <w:bottom w:val="nil"/>
                <w:right w:val="nil"/>
                <w:between w:val="nil"/>
              </w:pBdr>
              <w:spacing w:before="0" w:line="288" w:lineRule="auto"/>
              <w:ind w:right="142"/>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Кількість повітря, яке подається, м³/люд·год</w:t>
            </w:r>
          </w:p>
        </w:tc>
      </w:tr>
      <w:tr w:rsidR="00CA7C54" w:rsidRPr="00CA7C54" w14:paraId="4EF406C3" w14:textId="77777777" w:rsidTr="004C31DC">
        <w:trPr>
          <w:trHeight w:val="353"/>
        </w:trPr>
        <w:tc>
          <w:tcPr>
            <w:tcW w:w="31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03BA7B" w14:textId="77777777" w:rsidR="003C4E04" w:rsidRPr="00CA7C54" w:rsidRDefault="001E748C" w:rsidP="004C31DC">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І, ІІІ, V</w:t>
            </w:r>
          </w:p>
        </w:tc>
        <w:tc>
          <w:tcPr>
            <w:tcW w:w="64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15E4B6" w14:textId="77777777" w:rsidR="003C4E04" w:rsidRPr="00CA7C54" w:rsidRDefault="001E748C" w:rsidP="004C31DC">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424A0A48" w14:textId="77777777" w:rsidTr="004C31DC">
        <w:trPr>
          <w:trHeight w:val="415"/>
        </w:trPr>
        <w:tc>
          <w:tcPr>
            <w:tcW w:w="31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B44F38" w14:textId="77777777" w:rsidR="003C4E04" w:rsidRPr="00CA7C54" w:rsidRDefault="001E748C" w:rsidP="004C31DC">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ІІ, ІV</w:t>
            </w:r>
          </w:p>
        </w:tc>
        <w:tc>
          <w:tcPr>
            <w:tcW w:w="64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4FCBCB" w14:textId="77777777" w:rsidR="003C4E04" w:rsidRPr="00CA7C54" w:rsidRDefault="001E748C" w:rsidP="004C31DC">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w:t>
            </w:r>
          </w:p>
        </w:tc>
      </w:tr>
      <w:tr w:rsidR="00CA7C54" w:rsidRPr="00CA7C54" w14:paraId="2198CCA3" w14:textId="77777777" w:rsidTr="00E60886">
        <w:trPr>
          <w:trHeight w:val="524"/>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94D57" w14:textId="77777777" w:rsidR="003C4E04" w:rsidRPr="00CA7C54" w:rsidRDefault="001E748C" w:rsidP="004C31DC">
            <w:pPr>
              <w:pBdr>
                <w:top w:val="nil"/>
                <w:left w:val="nil"/>
                <w:bottom w:val="nil"/>
                <w:right w:val="nil"/>
                <w:between w:val="nil"/>
              </w:pBdr>
              <w:spacing w:before="0" w:line="288" w:lineRule="auto"/>
              <w:ind w:left="1293" w:right="-120" w:hanging="1276"/>
              <w:contextualSpacing/>
              <w:rPr>
                <w:rFonts w:ascii="Arial" w:eastAsia="Arial" w:hAnsi="Arial" w:cs="Arial"/>
                <w:color w:val="000000" w:themeColor="text1"/>
                <w:sz w:val="21"/>
                <w:szCs w:val="21"/>
              </w:rPr>
            </w:pPr>
            <w:r w:rsidRPr="00CA7C54">
              <w:rPr>
                <w:rFonts w:ascii="Arial" w:eastAsia="Arial" w:hAnsi="Arial" w:cs="Arial"/>
                <w:b/>
                <w:color w:val="000000" w:themeColor="text1"/>
                <w:sz w:val="20"/>
                <w:szCs w:val="20"/>
              </w:rPr>
              <w:t>Примітка  1.  </w:t>
            </w:r>
            <w:r w:rsidRPr="00CA7C54">
              <w:rPr>
                <w:rFonts w:ascii="Arial" w:eastAsia="Arial" w:hAnsi="Arial" w:cs="Arial"/>
                <w:color w:val="000000" w:themeColor="text1"/>
                <w:sz w:val="20"/>
                <w:szCs w:val="20"/>
              </w:rPr>
              <w:t>Кількість повітря, яке подається, визначена для розрахункових параметрів зовнішнього повітря, що відповідають середньомісячним найтеплішого місяця</w:t>
            </w:r>
            <w:r w:rsidRPr="00CA7C54">
              <w:rPr>
                <w:rFonts w:ascii="Arial" w:eastAsia="Arial" w:hAnsi="Arial" w:cs="Arial"/>
                <w:color w:val="000000" w:themeColor="text1"/>
                <w:sz w:val="21"/>
                <w:szCs w:val="21"/>
              </w:rPr>
              <w:t>.</w:t>
            </w:r>
          </w:p>
        </w:tc>
      </w:tr>
    </w:tbl>
    <w:p w14:paraId="7DEF4E5F" w14:textId="77777777" w:rsidR="003C4E04" w:rsidRPr="00CA7C54" w:rsidRDefault="001E748C" w:rsidP="004C31DC">
      <w:pPr>
        <w:pBdr>
          <w:top w:val="nil"/>
          <w:left w:val="nil"/>
          <w:bottom w:val="nil"/>
          <w:right w:val="nil"/>
          <w:between w:val="nil"/>
        </w:pBdr>
        <w:spacing w:before="0" w:line="288" w:lineRule="auto"/>
        <w:ind w:right="141" w:firstLine="709"/>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Розрахункова кількість повітря, яке подається захисну споруду та СПП при режимі I (чиста вентиляція), м</w:t>
      </w:r>
      <w:r w:rsidRPr="00CA7C54">
        <w:rPr>
          <w:color w:val="000000" w:themeColor="text1"/>
          <w:sz w:val="21"/>
          <w:szCs w:val="21"/>
          <w:vertAlign w:val="superscript"/>
        </w:rPr>
        <w:t>3</w:t>
      </w:r>
      <w:r w:rsidRPr="00CA7C54">
        <w:rPr>
          <w:color w:val="000000" w:themeColor="text1"/>
          <w:sz w:val="21"/>
          <w:szCs w:val="21"/>
        </w:rPr>
        <w:t>/год, визначається за формулою</w:t>
      </w:r>
    </w:p>
    <w:p w14:paraId="609E8573" w14:textId="77777777" w:rsidR="003C4E04" w:rsidRPr="00CA7C54" w:rsidRDefault="001E748C">
      <w:pPr>
        <w:pBdr>
          <w:top w:val="nil"/>
          <w:left w:val="nil"/>
          <w:bottom w:val="nil"/>
          <w:right w:val="nil"/>
          <w:between w:val="nil"/>
        </w:pBdr>
        <w:spacing w:line="240" w:lineRule="auto"/>
        <w:ind w:right="141" w:firstLine="3969"/>
        <w:jc w:val="left"/>
        <w:rPr>
          <w:rFonts w:ascii="Times New Roman" w:eastAsia="Times New Roman" w:hAnsi="Times New Roman" w:cs="Times New Roman"/>
          <w:color w:val="000000" w:themeColor="text1"/>
          <w:sz w:val="24"/>
          <w:szCs w:val="24"/>
        </w:rPr>
      </w:pPr>
      <w:r w:rsidRPr="003D7792">
        <w:rPr>
          <w:rFonts w:ascii="Times New Roman" w:hAnsi="Times New Roman" w:cs="Times New Roman"/>
          <w:i/>
          <w:color w:val="000000" w:themeColor="text1"/>
        </w:rPr>
        <w:t>L = Q</w:t>
      </w:r>
      <w:r w:rsidRPr="003D7792">
        <w:rPr>
          <w:rFonts w:ascii="Times New Roman" w:hAnsi="Times New Roman" w:cs="Times New Roman"/>
          <w:i/>
          <w:color w:val="000000" w:themeColor="text1"/>
          <w:vertAlign w:val="subscript"/>
        </w:rPr>
        <w:t xml:space="preserve">T </w:t>
      </w:r>
      <w:r w:rsidRPr="003D7792">
        <w:rPr>
          <w:rFonts w:ascii="Times New Roman" w:hAnsi="Times New Roman" w:cs="Times New Roman"/>
          <w:i/>
          <w:color w:val="000000" w:themeColor="text1"/>
        </w:rPr>
        <w:t xml:space="preserve"> / (1,2 (І</w:t>
      </w:r>
      <w:r w:rsidRPr="003D7792">
        <w:rPr>
          <w:rFonts w:ascii="Times New Roman" w:hAnsi="Times New Roman" w:cs="Times New Roman"/>
          <w:i/>
          <w:color w:val="000000" w:themeColor="text1"/>
          <w:vertAlign w:val="subscript"/>
        </w:rPr>
        <w:t xml:space="preserve">вн </w:t>
      </w:r>
      <w:r w:rsidRPr="003D7792">
        <w:rPr>
          <w:rFonts w:ascii="Times New Roman" w:hAnsi="Times New Roman" w:cs="Times New Roman"/>
          <w:i/>
          <w:color w:val="000000" w:themeColor="text1"/>
        </w:rPr>
        <w:t>– І</w:t>
      </w:r>
      <w:r w:rsidRPr="003D7792">
        <w:rPr>
          <w:rFonts w:ascii="Times New Roman" w:hAnsi="Times New Roman" w:cs="Times New Roman"/>
          <w:i/>
          <w:color w:val="000000" w:themeColor="text1"/>
          <w:vertAlign w:val="subscript"/>
        </w:rPr>
        <w:t>з</w:t>
      </w:r>
      <w:r w:rsidRPr="003D7792">
        <w:rPr>
          <w:rFonts w:ascii="Times New Roman" w:hAnsi="Times New Roman" w:cs="Times New Roman"/>
          <w:i/>
          <w:color w:val="000000" w:themeColor="text1"/>
        </w:rPr>
        <w:t>))</w:t>
      </w:r>
      <w:r w:rsidRPr="003D7792">
        <w:rPr>
          <w:rFonts w:ascii="Times New Roman" w:hAnsi="Times New Roman" w:cs="Times New Roman"/>
          <w:color w:val="000000" w:themeColor="text1"/>
        </w:rPr>
        <w:t>,</w:t>
      </w:r>
      <w:r w:rsidRPr="00CA7C54">
        <w:rPr>
          <w:color w:val="000000" w:themeColor="text1"/>
        </w:rPr>
        <w:t xml:space="preserve">                                              (11.1)</w:t>
      </w:r>
    </w:p>
    <w:p w14:paraId="3C727F32" w14:textId="77777777" w:rsidR="003C4E04" w:rsidRPr="00CA7C54" w:rsidRDefault="001E748C">
      <w:pPr>
        <w:pBdr>
          <w:top w:val="nil"/>
          <w:left w:val="nil"/>
          <w:bottom w:val="nil"/>
          <w:right w:val="nil"/>
          <w:between w:val="nil"/>
        </w:pBdr>
        <w:spacing w:line="240" w:lineRule="auto"/>
        <w:ind w:right="141"/>
        <w:rPr>
          <w:color w:val="000000" w:themeColor="text1"/>
        </w:rPr>
      </w:pPr>
      <w:r w:rsidRPr="00CA7C54">
        <w:rPr>
          <w:color w:val="000000" w:themeColor="text1"/>
        </w:rPr>
        <w:t>де</w:t>
      </w:r>
    </w:p>
    <w:p w14:paraId="0F8662A8"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Q</w:t>
      </w:r>
      <w:r w:rsidRPr="003D7792">
        <w:rPr>
          <w:rFonts w:ascii="Times New Roman" w:hAnsi="Times New Roman" w:cs="Times New Roman"/>
          <w:i/>
          <w:color w:val="000000" w:themeColor="text1"/>
          <w:sz w:val="21"/>
          <w:szCs w:val="21"/>
          <w:vertAlign w:val="subscript"/>
        </w:rPr>
        <w:t>T</w:t>
      </w:r>
      <w:r w:rsidRPr="00CA7C54">
        <w:rPr>
          <w:color w:val="000000" w:themeColor="text1"/>
          <w:sz w:val="21"/>
          <w:szCs w:val="21"/>
        </w:rPr>
        <w:t xml:space="preserve"> – кількість тепла, яке виділяється від  людей, електричного освітлення, електросилового обладнання, ккал/год;</w:t>
      </w:r>
    </w:p>
    <w:p w14:paraId="31837111"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I</w:t>
      </w:r>
      <w:r w:rsidRPr="003D7792">
        <w:rPr>
          <w:rFonts w:ascii="Times New Roman" w:hAnsi="Times New Roman" w:cs="Times New Roman"/>
          <w:i/>
          <w:color w:val="000000" w:themeColor="text1"/>
          <w:sz w:val="21"/>
          <w:szCs w:val="21"/>
          <w:vertAlign w:val="subscript"/>
        </w:rPr>
        <w:t>з</w:t>
      </w:r>
      <w:r w:rsidRPr="00CA7C54">
        <w:rPr>
          <w:color w:val="000000" w:themeColor="text1"/>
          <w:sz w:val="21"/>
          <w:szCs w:val="21"/>
        </w:rPr>
        <w:t>– тепловміст зовнішнього повітря, який відповідає середньомісячній температурі та вологості найтеплішого місяця, ккал/кг;</w:t>
      </w:r>
    </w:p>
    <w:p w14:paraId="1A956F32"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І</w:t>
      </w:r>
      <w:r w:rsidRPr="003D7792">
        <w:rPr>
          <w:rFonts w:ascii="Times New Roman" w:hAnsi="Times New Roman" w:cs="Times New Roman"/>
          <w:i/>
          <w:color w:val="000000" w:themeColor="text1"/>
          <w:sz w:val="21"/>
          <w:szCs w:val="21"/>
          <w:vertAlign w:val="subscript"/>
        </w:rPr>
        <w:t>вн</w:t>
      </w:r>
      <w:r w:rsidRPr="00CA7C54">
        <w:rPr>
          <w:color w:val="000000" w:themeColor="text1"/>
          <w:sz w:val="21"/>
          <w:szCs w:val="21"/>
        </w:rPr>
        <w:t xml:space="preserve">– тепловміст внутрішнього повітря, який відповідає допустимим сполученням температури та вологості повітря, ккал/кг (визначається за графіками на рисунках </w:t>
      </w:r>
      <w:r w:rsidR="002410C7" w:rsidRPr="00CA7C54">
        <w:rPr>
          <w:color w:val="000000" w:themeColor="text1"/>
          <w:sz w:val="21"/>
          <w:szCs w:val="21"/>
        </w:rPr>
        <w:t>Д</w:t>
      </w:r>
      <w:r w:rsidRPr="00CA7C54">
        <w:rPr>
          <w:color w:val="000000" w:themeColor="text1"/>
          <w:sz w:val="21"/>
          <w:szCs w:val="21"/>
        </w:rPr>
        <w:t xml:space="preserve">.1 та </w:t>
      </w:r>
      <w:r w:rsidR="002410C7" w:rsidRPr="00CA7C54">
        <w:rPr>
          <w:color w:val="000000" w:themeColor="text1"/>
          <w:sz w:val="21"/>
          <w:szCs w:val="21"/>
        </w:rPr>
        <w:t>Д</w:t>
      </w:r>
      <w:r w:rsidRPr="00CA7C54">
        <w:rPr>
          <w:color w:val="000000" w:themeColor="text1"/>
          <w:sz w:val="21"/>
          <w:szCs w:val="21"/>
        </w:rPr>
        <w:t>.2 Додатк</w:t>
      </w:r>
      <w:r w:rsidR="00E60886" w:rsidRPr="00CA7C54">
        <w:rPr>
          <w:color w:val="000000" w:themeColor="text1"/>
          <w:sz w:val="21"/>
          <w:szCs w:val="21"/>
        </w:rPr>
        <w:t>а</w:t>
      </w:r>
      <w:r w:rsidR="002410C7" w:rsidRPr="00CA7C54">
        <w:rPr>
          <w:color w:val="000000" w:themeColor="text1"/>
          <w:sz w:val="21"/>
          <w:szCs w:val="21"/>
        </w:rPr>
        <w:t>Д</w:t>
      </w:r>
      <w:r w:rsidRPr="00CA7C54">
        <w:rPr>
          <w:color w:val="000000" w:themeColor="text1"/>
          <w:sz w:val="21"/>
          <w:szCs w:val="21"/>
        </w:rPr>
        <w:t xml:space="preserve">до цих </w:t>
      </w:r>
      <w:r w:rsidR="00E60886" w:rsidRPr="00CA7C54">
        <w:rPr>
          <w:color w:val="000000" w:themeColor="text1"/>
          <w:sz w:val="21"/>
          <w:szCs w:val="21"/>
        </w:rPr>
        <w:t>н</w:t>
      </w:r>
      <w:r w:rsidRPr="00CA7C54">
        <w:rPr>
          <w:color w:val="000000" w:themeColor="text1"/>
          <w:sz w:val="21"/>
          <w:szCs w:val="21"/>
        </w:rPr>
        <w:t xml:space="preserve">орм у залежності від розрахункових тепловмісту </w:t>
      </w:r>
      <w:r w:rsidRPr="00CA7C54">
        <w:rPr>
          <w:i/>
          <w:color w:val="000000" w:themeColor="text1"/>
          <w:sz w:val="21"/>
          <w:szCs w:val="21"/>
        </w:rPr>
        <w:t>I</w:t>
      </w:r>
      <w:r w:rsidRPr="00CA7C54">
        <w:rPr>
          <w:i/>
          <w:color w:val="000000" w:themeColor="text1"/>
          <w:sz w:val="21"/>
          <w:szCs w:val="21"/>
          <w:vertAlign w:val="subscript"/>
        </w:rPr>
        <w:t>з</w:t>
      </w:r>
      <w:r w:rsidRPr="00CA7C54">
        <w:rPr>
          <w:color w:val="000000" w:themeColor="text1"/>
          <w:sz w:val="21"/>
          <w:szCs w:val="21"/>
        </w:rPr>
        <w:t xml:space="preserve"> та вологовмісту </w:t>
      </w:r>
      <w:r w:rsidRPr="00CA7C54">
        <w:rPr>
          <w:i/>
          <w:color w:val="000000" w:themeColor="text1"/>
          <w:sz w:val="21"/>
          <w:szCs w:val="21"/>
        </w:rPr>
        <w:t>І</w:t>
      </w:r>
      <w:r w:rsidRPr="00CA7C54">
        <w:rPr>
          <w:i/>
          <w:color w:val="000000" w:themeColor="text1"/>
          <w:sz w:val="21"/>
          <w:szCs w:val="21"/>
          <w:vertAlign w:val="subscript"/>
        </w:rPr>
        <w:t>вн</w:t>
      </w:r>
      <w:r w:rsidRPr="00CA7C54">
        <w:rPr>
          <w:color w:val="000000" w:themeColor="text1"/>
          <w:sz w:val="21"/>
          <w:szCs w:val="21"/>
        </w:rPr>
        <w:t xml:space="preserve"> зовнішнього повітря по </w:t>
      </w:r>
      <w:r w:rsidRPr="00CA7C54">
        <w:rPr>
          <w:i/>
          <w:color w:val="000000" w:themeColor="text1"/>
          <w:sz w:val="21"/>
          <w:szCs w:val="21"/>
        </w:rPr>
        <w:t>I-d</w:t>
      </w:r>
      <w:r w:rsidRPr="00CA7C54">
        <w:rPr>
          <w:color w:val="000000" w:themeColor="text1"/>
          <w:sz w:val="21"/>
          <w:szCs w:val="21"/>
        </w:rPr>
        <w:t xml:space="preserve"> діаграмі відповідного кліматичного району) .</w:t>
      </w:r>
    </w:p>
    <w:p w14:paraId="71D798B8"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Кількість повітря, що подається до сховищ та СПП </w:t>
      </w:r>
      <w:r w:rsidRPr="00CA7C54">
        <w:rPr>
          <w:color w:val="000000" w:themeColor="text1"/>
          <w:sz w:val="21"/>
          <w:szCs w:val="21"/>
          <w:highlight w:val="white"/>
        </w:rPr>
        <w:t xml:space="preserve">для </w:t>
      </w:r>
      <w:r w:rsidRPr="00CA7C54">
        <w:rPr>
          <w:color w:val="000000" w:themeColor="text1"/>
          <w:sz w:val="21"/>
          <w:szCs w:val="21"/>
        </w:rPr>
        <w:t>закладів охорони здоров'я, а також для осіб, які працюють у медичних пунктах, приймається:</w:t>
      </w:r>
    </w:p>
    <w:p w14:paraId="770AB696"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режимі І (чиста вентиляція) – за таблицею 10.4 з коефіцієнтом 1,5;</w:t>
      </w:r>
    </w:p>
    <w:p w14:paraId="710BA07C"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режимі ІІ (фільтровентиляція) – з розрахунку 10 м³/год на одну особу, яка підлягає укриттю.</w:t>
      </w:r>
    </w:p>
    <w:p w14:paraId="6618A8F5"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приміщеннях операційних та пологових повітрообмін приймається: за притоком –</w:t>
      </w:r>
      <w:r w:rsidRPr="00CA7C54">
        <w:rPr>
          <w:color w:val="000000" w:themeColor="text1"/>
          <w:sz w:val="21"/>
          <w:szCs w:val="21"/>
        </w:rPr>
        <w:br/>
        <w:t>10-кратний, за витяжкою – 5-кратний за 1 год незалежно від режиму вентиляції.</w:t>
      </w:r>
    </w:p>
    <w:p w14:paraId="5B16BF34"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11.2.1.13</w:t>
      </w:r>
      <w:r w:rsidRPr="00CA7C54">
        <w:rPr>
          <w:color w:val="000000" w:themeColor="text1"/>
          <w:sz w:val="21"/>
          <w:szCs w:val="21"/>
        </w:rPr>
        <w:t xml:space="preserve"> У сховищах та СПП, що розташовано у кліматичних районах ІІ, ІV (таблиця 11.4), для II режиму вентиляції на основі тепловологісного розрахунку слід передбачати одне з таких рішень щодо видалення теплових надлишків:</w:t>
      </w:r>
    </w:p>
    <w:p w14:paraId="12B225EE" w14:textId="77777777" w:rsidR="003C4E04" w:rsidRPr="00CA7C54" w:rsidRDefault="00E417D3"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збільшення кількості повітря, яке подається, до 10 м³/люд-год;</w:t>
      </w:r>
    </w:p>
    <w:p w14:paraId="5765CE7C" w14:textId="77777777" w:rsidR="003C4E04" w:rsidRPr="00CA7C54" w:rsidRDefault="00E417D3"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застосування пристрою для охолодження повітря.</w:t>
      </w:r>
    </w:p>
    <w:p w14:paraId="77AF5FA2"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Оптимальне рішення щодо видалення теплових надлишків вибирається на основа техніко-економічного розрахунку.</w:t>
      </w:r>
    </w:p>
    <w:p w14:paraId="1DF4BBF8"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сховищах та СПП, що розміщуються у вказаних кліматичних районах, для видалення теплових надлишків у ІІІ-му режимі слід передбачати пристрої для охолодження повітря.</w:t>
      </w:r>
    </w:p>
    <w:p w14:paraId="50DBE525"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випадку використання у II-му або III-му режимах вентиляції пристроїв для охолодження повітря допускається передбачати їх застосування і у І-му режимі, за умови можливості зберігання запасу води (джерела водопостачання), що призначається на охолодження повітря та ДЕС у ІІ-му та ІІІ-му режимах вентиляції.</w:t>
      </w:r>
    </w:p>
    <w:p w14:paraId="1EF2A44B"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11.2.1.14</w:t>
      </w:r>
      <w:r w:rsidRPr="00CA7C54">
        <w:rPr>
          <w:color w:val="000000" w:themeColor="text1"/>
          <w:sz w:val="21"/>
          <w:szCs w:val="21"/>
        </w:rPr>
        <w:t xml:space="preserve"> Для видалення теплових надлишків із сховища при II-му режимі за допомогою зовнішнього повітря як розрахункові слід приймати параметри зовнішнього повітря, що відповідають середньомісячним температурі та вологості найтеплішого місяця року.</w:t>
      </w:r>
    </w:p>
    <w:p w14:paraId="5D95A1A5" w14:textId="1BA86322"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lastRenderedPageBreak/>
        <w:t xml:space="preserve">Для видалення теплових надлишків за допомогою засобів охолодження повітря (повітроохолоджувачі, кондиціонери та iн.) у І-му і II-му режимах як розрахункові повинні прийматися параметри зовнішнього повітря у теплий період року для найжаркішої доби забезпеченістю 0,95 згідно з </w:t>
      </w:r>
      <w:hyperlink r:id="rId208" w:history="1">
        <w:r w:rsidRPr="00874F83">
          <w:rPr>
            <w:rStyle w:val="ac"/>
            <w:rFonts w:cs="Arial"/>
            <w:sz w:val="21"/>
            <w:szCs w:val="21"/>
          </w:rPr>
          <w:t>ДСТУ-Н Б В.1.1-27</w:t>
        </w:r>
      </w:hyperlink>
      <w:r w:rsidRPr="00CA7C54">
        <w:rPr>
          <w:color w:val="000000" w:themeColor="text1"/>
          <w:sz w:val="21"/>
          <w:szCs w:val="21"/>
        </w:rPr>
        <w:t>, у разі, якщо  технічним завданням на про</w:t>
      </w:r>
      <w:r w:rsidR="00F64371" w:rsidRPr="00CA7C54">
        <w:rPr>
          <w:color w:val="000000" w:themeColor="text1"/>
          <w:sz w:val="21"/>
          <w:szCs w:val="21"/>
        </w:rPr>
        <w:t>є</w:t>
      </w:r>
      <w:r w:rsidRPr="00CA7C54">
        <w:rPr>
          <w:color w:val="000000" w:themeColor="text1"/>
          <w:sz w:val="21"/>
          <w:szCs w:val="21"/>
        </w:rPr>
        <w:t>ктування сховища не визначено інші розрахункові параметри зовнішнього повітря.</w:t>
      </w:r>
    </w:p>
    <w:p w14:paraId="50670CF5"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тепловологiсному розрахунку слід враховувати тепловиділення від людей, електричного освітлення, електросилового обладнання та регенеративних пристроїв.</w:t>
      </w:r>
    </w:p>
    <w:p w14:paraId="1C6900ED"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Вбирання тепла огороджувальними конструкціями при розрахунку засобів охолодження повітря не враховується.</w:t>
      </w:r>
    </w:p>
    <w:p w14:paraId="0355497C" w14:textId="77777777" w:rsidR="003C4E04" w:rsidRPr="00CA7C54" w:rsidRDefault="001E748C" w:rsidP="00F64371">
      <w:pPr>
        <w:pBdr>
          <w:top w:val="nil"/>
          <w:left w:val="nil"/>
          <w:bottom w:val="nil"/>
          <w:right w:val="nil"/>
          <w:between w:val="nil"/>
        </w:pBdr>
        <w:spacing w:before="0" w:after="240" w:line="360"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Кількість виділення людьми тепла та вологи слід приймати згідно з таблицею 11.5</w:t>
      </w:r>
    </w:p>
    <w:p w14:paraId="79F0D529" w14:textId="77777777" w:rsidR="003C4E04" w:rsidRPr="00CA7C54" w:rsidRDefault="001E748C" w:rsidP="00F64371">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Таблиця 11.5</w:t>
      </w:r>
      <w:r w:rsidRPr="00CA7C54">
        <w:rPr>
          <w:color w:val="000000" w:themeColor="text1"/>
          <w:sz w:val="21"/>
          <w:szCs w:val="21"/>
        </w:rPr>
        <w:t xml:space="preserve"> – Кількість тепла та вологи, що виділяються у сховищах і СПП</w:t>
      </w:r>
    </w:p>
    <w:tbl>
      <w:tblPr>
        <w:tblStyle w:val="afffffffffffffffffffffffffffffff4"/>
        <w:tblW w:w="9776" w:type="dxa"/>
        <w:tblLayout w:type="fixed"/>
        <w:tblLook w:val="0400" w:firstRow="0" w:lastRow="0" w:firstColumn="0" w:lastColumn="0" w:noHBand="0" w:noVBand="1"/>
      </w:tblPr>
      <w:tblGrid>
        <w:gridCol w:w="4248"/>
        <w:gridCol w:w="2551"/>
        <w:gridCol w:w="2977"/>
      </w:tblGrid>
      <w:tr w:rsidR="00CA7C54" w:rsidRPr="00CA7C54" w14:paraId="59C13C11" w14:textId="77777777" w:rsidTr="009B0871">
        <w:trPr>
          <w:tblHeader/>
        </w:trPr>
        <w:tc>
          <w:tcPr>
            <w:tcW w:w="424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2E922A"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Показник</w:t>
            </w:r>
          </w:p>
        </w:tc>
        <w:tc>
          <w:tcPr>
            <w:tcW w:w="55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A2103"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Кількість тепла та вологи, що видiляються у сховищах, розташованих</w:t>
            </w:r>
          </w:p>
        </w:tc>
      </w:tr>
      <w:tr w:rsidR="00CA7C54" w:rsidRPr="00CA7C54" w14:paraId="6664C8BC" w14:textId="77777777" w:rsidTr="009B0871">
        <w:trPr>
          <w:trHeight w:val="417"/>
          <w:tblHeader/>
        </w:trPr>
        <w:tc>
          <w:tcPr>
            <w:tcW w:w="424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2A390E"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DBC8F8"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на підприємствах</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B9A7BC"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 лікувальних закладах</w:t>
            </w:r>
          </w:p>
        </w:tc>
      </w:tr>
      <w:tr w:rsidR="00CA7C54" w:rsidRPr="00CA7C54" w14:paraId="61970281" w14:textId="77777777" w:rsidTr="009B087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75D4A6"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Тепловидiлення (повні) на одну особу, що підлягає укриттю</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6BC3EA"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116 Вт (100 ккал/год)</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47B928"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116 Вт (100 ккал/год)</w:t>
            </w:r>
          </w:p>
        </w:tc>
      </w:tr>
      <w:tr w:rsidR="00CA7C54" w:rsidRPr="00CA7C54" w14:paraId="512C1C9B" w14:textId="77777777" w:rsidTr="009B087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47F9EF"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Вологовидiлення, на одну особу, що підлягає укриттю, при температурi примiщень, °С:</w:t>
            </w:r>
          </w:p>
          <w:p w14:paraId="594C3551" w14:textId="77777777" w:rsidR="003C4E04" w:rsidRPr="00CA7C54" w:rsidRDefault="001E748C">
            <w:pPr>
              <w:pBdr>
                <w:top w:val="nil"/>
                <w:left w:val="nil"/>
                <w:bottom w:val="nil"/>
                <w:right w:val="nil"/>
                <w:between w:val="nil"/>
              </w:pBdr>
              <w:spacing w:before="0" w:line="235" w:lineRule="auto"/>
              <w:ind w:firstLine="301"/>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28</w:t>
            </w:r>
          </w:p>
          <w:p w14:paraId="5BA6490E" w14:textId="77777777" w:rsidR="003C4E04" w:rsidRPr="00CA7C54" w:rsidRDefault="001E748C">
            <w:pPr>
              <w:pBdr>
                <w:top w:val="nil"/>
                <w:left w:val="nil"/>
                <w:bottom w:val="nil"/>
                <w:right w:val="nil"/>
                <w:between w:val="nil"/>
              </w:pBdr>
              <w:spacing w:before="0" w:line="235" w:lineRule="auto"/>
              <w:ind w:firstLine="301"/>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4D75C1"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7AB3485"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E0AB020"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B13A559"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95 г/год</w:t>
            </w:r>
          </w:p>
          <w:p w14:paraId="1BBB2C7D"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110 г/год</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A67320"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6A9B89E9"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6C069013"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2D22056"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95 г/год</w:t>
            </w:r>
          </w:p>
          <w:p w14:paraId="622F71C2"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w:t>
            </w:r>
          </w:p>
        </w:tc>
      </w:tr>
      <w:tr w:rsidR="00CA7C54" w:rsidRPr="00CA7C54" w14:paraId="6422B324" w14:textId="77777777" w:rsidTr="009B087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524D30"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Тепловиділення (повні) від працюючого і обслуговуючого персоналу:</w:t>
            </w:r>
          </w:p>
          <w:p w14:paraId="0467ECFA"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хірурга, операційних сестер</w:t>
            </w:r>
          </w:p>
          <w:p w14:paraId="21FAF1B0"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працюючих, що підлягають укриттюу</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16AFA0"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5C59EE" w14:textId="77777777" w:rsidR="003C4E04" w:rsidRPr="00CA7C54" w:rsidRDefault="001E748C">
            <w:pPr>
              <w:spacing w:before="0" w:line="235" w:lineRule="auto"/>
              <w:ind w:firstLine="0"/>
              <w:rPr>
                <w:rFonts w:ascii="Arial" w:eastAsia="Arial" w:hAnsi="Arial" w:cs="Arial"/>
                <w:color w:val="000000" w:themeColor="text1"/>
                <w:sz w:val="20"/>
                <w:szCs w:val="20"/>
              </w:rPr>
            </w:pPr>
            <w:r w:rsidRPr="00CA7C54">
              <w:rPr>
                <w:rFonts w:ascii="Arial" w:eastAsia="Arial" w:hAnsi="Arial" w:cs="Arial"/>
                <w:color w:val="000000" w:themeColor="text1"/>
                <w:sz w:val="20"/>
                <w:szCs w:val="20"/>
              </w:rPr>
              <w:br/>
            </w:r>
          </w:p>
          <w:p w14:paraId="59F2B9E7"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203 Вт (75 ккал/год)</w:t>
            </w:r>
          </w:p>
          <w:p w14:paraId="4FD2C6D5"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174 Вт (150 ккал/год)</w:t>
            </w:r>
          </w:p>
        </w:tc>
      </w:tr>
      <w:tr w:rsidR="003C4E04" w:rsidRPr="00CA7C54" w14:paraId="33D0AC37" w14:textId="77777777" w:rsidTr="009B087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3F5D26"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Вологовиділення від персоналу:</w:t>
            </w:r>
          </w:p>
          <w:p w14:paraId="73E531F3" w14:textId="77777777" w:rsidR="003C4E04" w:rsidRPr="00CA7C54" w:rsidRDefault="001E748C">
            <w:pPr>
              <w:pBdr>
                <w:top w:val="nil"/>
                <w:left w:val="nil"/>
                <w:bottom w:val="nil"/>
                <w:right w:val="nil"/>
                <w:between w:val="nil"/>
              </w:pBdr>
              <w:spacing w:before="0" w:line="235" w:lineRule="auto"/>
              <w:ind w:firstLine="301"/>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члени операційних бригад</w:t>
            </w:r>
          </w:p>
          <w:p w14:paraId="3ABA2B7E" w14:textId="77777777" w:rsidR="003C4E04" w:rsidRPr="00CA7C54" w:rsidRDefault="001E748C">
            <w:pPr>
              <w:pBdr>
                <w:top w:val="nil"/>
                <w:left w:val="nil"/>
                <w:bottom w:val="nil"/>
                <w:right w:val="nil"/>
                <w:between w:val="nil"/>
              </w:pBdr>
              <w:spacing w:before="0" w:line="235" w:lineRule="auto"/>
              <w:ind w:firstLine="301"/>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працівники закладу охорони здоров’я</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235020"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C59CD0"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41DB273"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200 г/год</w:t>
            </w:r>
          </w:p>
          <w:p w14:paraId="1253CC48"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170 г/год</w:t>
            </w:r>
          </w:p>
        </w:tc>
      </w:tr>
    </w:tbl>
    <w:p w14:paraId="676B8D73" w14:textId="77777777" w:rsidR="003C4E04" w:rsidRPr="00CA7C54" w:rsidRDefault="001E748C">
      <w:pPr>
        <w:pBdr>
          <w:top w:val="nil"/>
          <w:left w:val="nil"/>
          <w:bottom w:val="nil"/>
          <w:right w:val="nil"/>
          <w:between w:val="nil"/>
        </w:pBdr>
        <w:spacing w:line="240" w:lineRule="auto"/>
        <w:rPr>
          <w:rFonts w:ascii="Times New Roman" w:eastAsia="Times New Roman" w:hAnsi="Times New Roman" w:cs="Times New Roman"/>
          <w:color w:val="000000" w:themeColor="text1"/>
          <w:spacing w:val="-6"/>
          <w:sz w:val="21"/>
          <w:szCs w:val="21"/>
        </w:rPr>
      </w:pPr>
      <w:r w:rsidRPr="00CA7C54">
        <w:rPr>
          <w:color w:val="000000" w:themeColor="text1"/>
          <w:spacing w:val="-6"/>
          <w:sz w:val="21"/>
          <w:szCs w:val="21"/>
        </w:rPr>
        <w:t xml:space="preserve">Тепловиділення від електричного освітлення </w:t>
      </w:r>
      <w:r w:rsidRPr="00CA7C54">
        <w:rPr>
          <w:i/>
          <w:color w:val="000000" w:themeColor="text1"/>
          <w:spacing w:val="-6"/>
          <w:sz w:val="21"/>
          <w:szCs w:val="21"/>
        </w:rPr>
        <w:t>Q</w:t>
      </w:r>
      <w:r w:rsidRPr="00CA7C54">
        <w:rPr>
          <w:i/>
          <w:color w:val="000000" w:themeColor="text1"/>
          <w:spacing w:val="-6"/>
          <w:sz w:val="21"/>
          <w:szCs w:val="21"/>
          <w:vertAlign w:val="subscript"/>
        </w:rPr>
        <w:t>осв</w:t>
      </w:r>
      <w:r w:rsidRPr="00CA7C54">
        <w:rPr>
          <w:color w:val="000000" w:themeColor="text1"/>
          <w:spacing w:val="-6"/>
          <w:sz w:val="21"/>
          <w:szCs w:val="21"/>
        </w:rPr>
        <w:t>, ккал/год (Вт) слід визначати за формуло</w:t>
      </w:r>
      <w:r w:rsidRPr="00CA7C54">
        <w:rPr>
          <w:color w:val="000000" w:themeColor="text1"/>
          <w:spacing w:val="-6"/>
        </w:rPr>
        <w:t xml:space="preserve">ю </w:t>
      </w:r>
      <w:r w:rsidRPr="00CA7C54">
        <w:rPr>
          <w:color w:val="000000" w:themeColor="text1"/>
          <w:spacing w:val="-6"/>
          <w:sz w:val="21"/>
          <w:szCs w:val="21"/>
        </w:rPr>
        <w:t>11.2</w:t>
      </w:r>
    </w:p>
    <w:p w14:paraId="241E5BF5" w14:textId="77777777" w:rsidR="003C4E04" w:rsidRPr="00CA7C54" w:rsidRDefault="001E748C">
      <w:pPr>
        <w:pBdr>
          <w:top w:val="nil"/>
          <w:left w:val="nil"/>
          <w:bottom w:val="nil"/>
          <w:right w:val="nil"/>
          <w:between w:val="nil"/>
        </w:pBdr>
        <w:spacing w:before="240" w:after="240" w:line="240" w:lineRule="auto"/>
        <w:ind w:firstLine="1985"/>
        <w:jc w:val="center"/>
        <w:rPr>
          <w:color w:val="000000" w:themeColor="text1"/>
          <w:sz w:val="21"/>
          <w:szCs w:val="21"/>
        </w:rPr>
      </w:pPr>
      <w:r w:rsidRPr="003D7792">
        <w:rPr>
          <w:rFonts w:ascii="Times New Roman" w:hAnsi="Times New Roman" w:cs="Times New Roman"/>
          <w:i/>
          <w:color w:val="000000" w:themeColor="text1"/>
          <w:sz w:val="21"/>
          <w:szCs w:val="21"/>
        </w:rPr>
        <w:t>Q</w:t>
      </w:r>
      <w:r w:rsidRPr="003D7792">
        <w:rPr>
          <w:rFonts w:ascii="Times New Roman" w:hAnsi="Times New Roman" w:cs="Times New Roman"/>
          <w:i/>
          <w:color w:val="000000" w:themeColor="text1"/>
          <w:sz w:val="21"/>
          <w:szCs w:val="21"/>
          <w:vertAlign w:val="subscript"/>
        </w:rPr>
        <w:t>осв</w:t>
      </w:r>
      <w:r w:rsidRPr="003D7792">
        <w:rPr>
          <w:rFonts w:ascii="Times New Roman" w:hAnsi="Times New Roman" w:cs="Times New Roman"/>
          <w:i/>
          <w:color w:val="000000" w:themeColor="text1"/>
          <w:sz w:val="21"/>
          <w:szCs w:val="21"/>
        </w:rPr>
        <w:t>=860× P</w:t>
      </w:r>
      <w:r w:rsidRPr="003D7792">
        <w:rPr>
          <w:rFonts w:ascii="Times New Roman" w:hAnsi="Times New Roman" w:cs="Times New Roman"/>
          <w:i/>
          <w:color w:val="000000" w:themeColor="text1"/>
          <w:sz w:val="21"/>
          <w:szCs w:val="21"/>
          <w:vertAlign w:val="subscript"/>
        </w:rPr>
        <w:t>осв</w:t>
      </w:r>
      <w:r w:rsidRPr="003D7792">
        <w:rPr>
          <w:rFonts w:ascii="Times New Roman" w:hAnsi="Times New Roman" w:cs="Times New Roman"/>
          <w:i/>
          <w:color w:val="000000" w:themeColor="text1"/>
          <w:sz w:val="21"/>
          <w:szCs w:val="21"/>
        </w:rPr>
        <w:t xml:space="preserve">, </w:t>
      </w:r>
      <w:r w:rsidRPr="003D7792">
        <w:rPr>
          <w:rFonts w:ascii="Times New Roman" w:hAnsi="Times New Roman" w:cs="Times New Roman"/>
          <w:color w:val="000000" w:themeColor="text1"/>
          <w:sz w:val="21"/>
          <w:szCs w:val="21"/>
        </w:rPr>
        <w:t>[</w:t>
      </w:r>
      <w:r w:rsidRPr="003D7792">
        <w:rPr>
          <w:rFonts w:ascii="Times New Roman" w:hAnsi="Times New Roman" w:cs="Times New Roman"/>
          <w:i/>
          <w:color w:val="000000" w:themeColor="text1"/>
          <w:sz w:val="21"/>
          <w:szCs w:val="21"/>
        </w:rPr>
        <w:t>ккал/год</w:t>
      </w:r>
      <w:r w:rsidRPr="003D7792">
        <w:rPr>
          <w:rFonts w:ascii="Times New Roman" w:hAnsi="Times New Roman" w:cs="Times New Roman"/>
          <w:color w:val="000000" w:themeColor="text1"/>
          <w:sz w:val="21"/>
          <w:szCs w:val="21"/>
        </w:rPr>
        <w:t>]</w:t>
      </w:r>
      <w:r w:rsidRPr="003D7792">
        <w:rPr>
          <w:rFonts w:ascii="Times New Roman" w:hAnsi="Times New Roman" w:cs="Times New Roman"/>
          <w:i/>
          <w:color w:val="000000" w:themeColor="text1"/>
          <w:sz w:val="21"/>
          <w:szCs w:val="21"/>
        </w:rPr>
        <w:t xml:space="preserve"> або  Q</w:t>
      </w:r>
      <w:r w:rsidRPr="003D7792">
        <w:rPr>
          <w:rFonts w:ascii="Times New Roman" w:hAnsi="Times New Roman" w:cs="Times New Roman"/>
          <w:i/>
          <w:color w:val="000000" w:themeColor="text1"/>
          <w:sz w:val="21"/>
          <w:szCs w:val="21"/>
          <w:vertAlign w:val="subscript"/>
        </w:rPr>
        <w:t>осв</w:t>
      </w:r>
      <w:r w:rsidRPr="003D7792">
        <w:rPr>
          <w:rFonts w:ascii="Times New Roman" w:hAnsi="Times New Roman" w:cs="Times New Roman"/>
          <w:i/>
          <w:color w:val="000000" w:themeColor="text1"/>
          <w:sz w:val="21"/>
          <w:szCs w:val="21"/>
        </w:rPr>
        <w:t>=1,16×860× P</w:t>
      </w:r>
      <w:r w:rsidRPr="003D7792">
        <w:rPr>
          <w:rFonts w:ascii="Times New Roman" w:hAnsi="Times New Roman" w:cs="Times New Roman"/>
          <w:i/>
          <w:color w:val="000000" w:themeColor="text1"/>
          <w:sz w:val="21"/>
          <w:szCs w:val="21"/>
          <w:vertAlign w:val="subscript"/>
        </w:rPr>
        <w:t>осв</w:t>
      </w:r>
      <w:r w:rsidRPr="003D7792">
        <w:rPr>
          <w:rFonts w:ascii="Times New Roman" w:hAnsi="Times New Roman" w:cs="Times New Roman"/>
          <w:i/>
          <w:color w:val="000000" w:themeColor="text1"/>
          <w:sz w:val="21"/>
          <w:szCs w:val="21"/>
        </w:rPr>
        <w:t xml:space="preserve">, </w:t>
      </w:r>
      <w:r w:rsidRPr="003D7792">
        <w:rPr>
          <w:rFonts w:ascii="Times New Roman" w:hAnsi="Times New Roman" w:cs="Times New Roman"/>
          <w:color w:val="000000" w:themeColor="text1"/>
          <w:sz w:val="21"/>
          <w:szCs w:val="21"/>
        </w:rPr>
        <w:t>[</w:t>
      </w:r>
      <w:r w:rsidRPr="003D7792">
        <w:rPr>
          <w:rFonts w:ascii="Times New Roman" w:hAnsi="Times New Roman" w:cs="Times New Roman"/>
          <w:i/>
          <w:color w:val="000000" w:themeColor="text1"/>
          <w:sz w:val="21"/>
          <w:szCs w:val="21"/>
        </w:rPr>
        <w:t>Вт</w:t>
      </w:r>
      <w:r w:rsidRPr="003D7792">
        <w:rPr>
          <w:rFonts w:ascii="Times New Roman" w:hAnsi="Times New Roman" w:cs="Times New Roman"/>
          <w:color w:val="000000" w:themeColor="text1"/>
          <w:sz w:val="21"/>
          <w:szCs w:val="21"/>
        </w:rPr>
        <w:t>]</w:t>
      </w:r>
      <w:r w:rsidRPr="003D7792">
        <w:rPr>
          <w:rFonts w:ascii="Times New Roman" w:hAnsi="Times New Roman" w:cs="Times New Roman"/>
          <w:i/>
          <w:color w:val="000000" w:themeColor="text1"/>
          <w:sz w:val="21"/>
          <w:szCs w:val="21"/>
        </w:rPr>
        <w:t>,</w:t>
      </w:r>
      <w:r w:rsidRPr="00CA7C54">
        <w:rPr>
          <w:color w:val="000000" w:themeColor="text1"/>
          <w:sz w:val="21"/>
          <w:szCs w:val="21"/>
        </w:rPr>
        <w:tab/>
      </w:r>
      <w:r w:rsidRPr="00CA7C54">
        <w:rPr>
          <w:color w:val="000000" w:themeColor="text1"/>
          <w:sz w:val="21"/>
          <w:szCs w:val="21"/>
        </w:rPr>
        <w:tab/>
        <w:t>(11.2)</w:t>
      </w:r>
    </w:p>
    <w:p w14:paraId="3BBA7E0D" w14:textId="77777777" w:rsidR="00F64371" w:rsidRPr="00CA7C54" w:rsidRDefault="00F64371" w:rsidP="00F64371">
      <w:pPr>
        <w:pBdr>
          <w:top w:val="nil"/>
          <w:left w:val="nil"/>
          <w:bottom w:val="nil"/>
          <w:right w:val="nil"/>
          <w:between w:val="nil"/>
        </w:pBdr>
        <w:spacing w:before="0" w:line="288" w:lineRule="auto"/>
        <w:contextualSpacing/>
        <w:jc w:val="left"/>
        <w:rPr>
          <w:rFonts w:ascii="Times New Roman" w:eastAsia="Times New Roman" w:hAnsi="Times New Roman" w:cs="Times New Roman"/>
          <w:color w:val="000000" w:themeColor="text1"/>
          <w:sz w:val="21"/>
          <w:szCs w:val="21"/>
        </w:rPr>
      </w:pPr>
      <w:r w:rsidRPr="00CA7C54">
        <w:rPr>
          <w:color w:val="000000" w:themeColor="text1"/>
          <w:sz w:val="21"/>
          <w:szCs w:val="21"/>
        </w:rPr>
        <w:t>де</w:t>
      </w:r>
    </w:p>
    <w:p w14:paraId="7C828D77" w14:textId="77777777" w:rsidR="003C4E04" w:rsidRPr="00CA7C54" w:rsidRDefault="001E748C" w:rsidP="00F64371">
      <w:pPr>
        <w:pBdr>
          <w:top w:val="nil"/>
          <w:left w:val="nil"/>
          <w:bottom w:val="nil"/>
          <w:right w:val="nil"/>
          <w:between w:val="nil"/>
        </w:pBdr>
        <w:spacing w:before="0" w:line="288" w:lineRule="auto"/>
        <w:ind w:firstLine="426"/>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P</w:t>
      </w:r>
      <w:r w:rsidRPr="003D7792">
        <w:rPr>
          <w:rFonts w:ascii="Times New Roman" w:hAnsi="Times New Roman" w:cs="Times New Roman"/>
          <w:i/>
          <w:color w:val="000000" w:themeColor="text1"/>
          <w:sz w:val="21"/>
          <w:szCs w:val="21"/>
          <w:vertAlign w:val="subscript"/>
        </w:rPr>
        <w:t>осв</w:t>
      </w:r>
      <w:r w:rsidRPr="00CA7C54">
        <w:rPr>
          <w:color w:val="000000" w:themeColor="text1"/>
          <w:sz w:val="21"/>
          <w:szCs w:val="21"/>
        </w:rPr>
        <w:t>– сумарна потужність джерел освітлення, кВт.</w:t>
      </w:r>
    </w:p>
    <w:p w14:paraId="3779F8C8"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випадку застосування газорозрядних ламп отримане за формулою 11.2 значення слід помножити на 0,15, при застосуванні світильників на світлодіодних лампах – помножити на 0,2.</w:t>
      </w:r>
    </w:p>
    <w:p w14:paraId="5D49CF85"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Тепловиділення електросилового обладнання слід визначати за формулою 11.10, для електродвигунів при номінальному навантаженні.</w:t>
      </w:r>
    </w:p>
    <w:p w14:paraId="73AB0A5D"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11.2.1.15</w:t>
      </w:r>
      <w:r w:rsidRPr="00CA7C54">
        <w:rPr>
          <w:color w:val="000000" w:themeColor="text1"/>
          <w:sz w:val="21"/>
          <w:szCs w:val="21"/>
        </w:rPr>
        <w:t xml:space="preserve"> Кількість зовнішнього повітря у режимі фільтровентиляції (режим ІІ) приймається з урахуванням вимог 11.2.1.12 та визначається за формулою</w:t>
      </w:r>
    </w:p>
    <w:p w14:paraId="03B984F4" w14:textId="77777777" w:rsidR="003C4E04" w:rsidRPr="00CA7C54" w:rsidRDefault="001E748C">
      <w:pPr>
        <w:pBdr>
          <w:top w:val="nil"/>
          <w:left w:val="nil"/>
          <w:bottom w:val="nil"/>
          <w:right w:val="nil"/>
          <w:between w:val="nil"/>
        </w:pBdr>
        <w:spacing w:before="240" w:after="240" w:line="240" w:lineRule="auto"/>
        <w:ind w:firstLine="3260"/>
        <w:jc w:val="left"/>
        <w:rPr>
          <w:color w:val="000000" w:themeColor="text1"/>
          <w:sz w:val="21"/>
          <w:szCs w:val="21"/>
        </w:rPr>
      </w:pPr>
      <w:r w:rsidRPr="003D7792">
        <w:rPr>
          <w:rFonts w:ascii="Times New Roman" w:hAnsi="Times New Roman" w:cs="Times New Roman"/>
          <w:i/>
          <w:color w:val="000000" w:themeColor="text1"/>
          <w:sz w:val="21"/>
          <w:szCs w:val="21"/>
        </w:rPr>
        <w:t>L=(Q</w:t>
      </w:r>
      <w:r w:rsidRPr="003D7792">
        <w:rPr>
          <w:rFonts w:ascii="Times New Roman" w:hAnsi="Times New Roman" w:cs="Times New Roman"/>
          <w:i/>
          <w:color w:val="000000" w:themeColor="text1"/>
          <w:sz w:val="21"/>
          <w:szCs w:val="21"/>
          <w:vertAlign w:val="subscript"/>
        </w:rPr>
        <w:t>T</w:t>
      </w:r>
      <w:r w:rsidRPr="003D7792">
        <w:rPr>
          <w:rFonts w:ascii="Times New Roman" w:hAnsi="Times New Roman" w:cs="Times New Roman"/>
          <w:i/>
          <w:color w:val="000000" w:themeColor="text1"/>
          <w:sz w:val="21"/>
          <w:szCs w:val="21"/>
        </w:rPr>
        <w:t xml:space="preserve"> – F</w:t>
      </w:r>
      <w:r w:rsidRPr="003D7792">
        <w:rPr>
          <w:rFonts w:ascii="Times New Roman" w:hAnsi="Times New Roman" w:cs="Times New Roman"/>
          <w:i/>
          <w:color w:val="000000" w:themeColor="text1"/>
          <w:sz w:val="21"/>
          <w:szCs w:val="21"/>
          <w:vertAlign w:val="subscript"/>
        </w:rPr>
        <w:t>k</w:t>
      </w:r>
      <w:r w:rsidRPr="003D7792">
        <w:rPr>
          <w:rFonts w:ascii="Times New Roman" w:hAnsi="Times New Roman" w:cs="Times New Roman"/>
          <w:i/>
          <w:color w:val="000000" w:themeColor="text1"/>
          <w:sz w:val="21"/>
          <w:szCs w:val="21"/>
        </w:rPr>
        <w:t xml:space="preserve"> q</w:t>
      </w:r>
      <w:r w:rsidRPr="003D7792">
        <w:rPr>
          <w:rFonts w:ascii="Times New Roman" w:hAnsi="Times New Roman" w:cs="Times New Roman"/>
          <w:i/>
          <w:color w:val="000000" w:themeColor="text1"/>
          <w:sz w:val="21"/>
          <w:szCs w:val="21"/>
          <w:vertAlign w:val="subscript"/>
        </w:rPr>
        <w:t>огор</w:t>
      </w:r>
      <w:r w:rsidRPr="003D7792">
        <w:rPr>
          <w:rFonts w:ascii="Times New Roman" w:hAnsi="Times New Roman" w:cs="Times New Roman"/>
          <w:i/>
          <w:color w:val="000000" w:themeColor="text1"/>
          <w:sz w:val="21"/>
          <w:szCs w:val="21"/>
        </w:rPr>
        <w:t>) / 1,2(І</w:t>
      </w:r>
      <w:r w:rsidRPr="003D7792">
        <w:rPr>
          <w:rFonts w:ascii="Times New Roman" w:hAnsi="Times New Roman" w:cs="Times New Roman"/>
          <w:i/>
          <w:color w:val="000000" w:themeColor="text1"/>
          <w:sz w:val="21"/>
          <w:szCs w:val="21"/>
          <w:vertAlign w:val="subscript"/>
        </w:rPr>
        <w:t>вн</w:t>
      </w:r>
      <w:r w:rsidRPr="003D7792">
        <w:rPr>
          <w:rFonts w:ascii="Times New Roman" w:hAnsi="Times New Roman" w:cs="Times New Roman"/>
          <w:i/>
          <w:color w:val="000000" w:themeColor="text1"/>
          <w:sz w:val="21"/>
          <w:szCs w:val="21"/>
        </w:rPr>
        <w:t xml:space="preserve"> – І</w:t>
      </w:r>
      <w:r w:rsidRPr="003D7792">
        <w:rPr>
          <w:rFonts w:ascii="Times New Roman" w:hAnsi="Times New Roman" w:cs="Times New Roman"/>
          <w:i/>
          <w:color w:val="000000" w:themeColor="text1"/>
          <w:sz w:val="21"/>
          <w:szCs w:val="21"/>
          <w:vertAlign w:val="subscript"/>
        </w:rPr>
        <w:t>з</w:t>
      </w:r>
      <w:r w:rsidRPr="003D7792">
        <w:rPr>
          <w:rFonts w:ascii="Times New Roman" w:hAnsi="Times New Roman" w:cs="Times New Roman"/>
          <w:i/>
          <w:color w:val="000000" w:themeColor="text1"/>
          <w:sz w:val="21"/>
          <w:szCs w:val="21"/>
        </w:rPr>
        <w:t>)</w:t>
      </w:r>
      <w:r w:rsidRPr="003D7792">
        <w:rPr>
          <w:rFonts w:ascii="Times New Roman" w:hAnsi="Times New Roman" w:cs="Times New Roman"/>
          <w:color w:val="000000" w:themeColor="text1"/>
          <w:sz w:val="21"/>
          <w:szCs w:val="21"/>
        </w:rPr>
        <w:t>, [м³/год]</w:t>
      </w:r>
      <w:r w:rsidRPr="00CA7C54">
        <w:rPr>
          <w:color w:val="000000" w:themeColor="text1"/>
          <w:sz w:val="21"/>
          <w:szCs w:val="21"/>
        </w:rPr>
        <w:t xml:space="preserve">                             (11.3)</w:t>
      </w:r>
    </w:p>
    <w:p w14:paraId="7F2E3F28" w14:textId="77777777" w:rsidR="003C4E04" w:rsidRPr="00CA7C54" w:rsidRDefault="001E748C" w:rsidP="00F64371">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де</w:t>
      </w:r>
    </w:p>
    <w:p w14:paraId="2C39DC6A"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q</w:t>
      </w:r>
      <w:r w:rsidRPr="003D7792">
        <w:rPr>
          <w:rFonts w:ascii="Times New Roman" w:hAnsi="Times New Roman" w:cs="Times New Roman"/>
          <w:i/>
          <w:color w:val="000000" w:themeColor="text1"/>
          <w:sz w:val="21"/>
          <w:szCs w:val="21"/>
          <w:vertAlign w:val="subscript"/>
        </w:rPr>
        <w:t>огор</w:t>
      </w:r>
      <w:r w:rsidRPr="00CA7C54">
        <w:rPr>
          <w:color w:val="000000" w:themeColor="text1"/>
          <w:sz w:val="21"/>
          <w:szCs w:val="21"/>
        </w:rPr>
        <w:t xml:space="preserve"> – кількість тепла, ккал/(год·м²), яка поглинається 1 м</w:t>
      </w:r>
      <w:r w:rsidRPr="00CA7C54">
        <w:rPr>
          <w:color w:val="000000" w:themeColor="text1"/>
          <w:sz w:val="21"/>
          <w:szCs w:val="21"/>
          <w:vertAlign w:val="superscript"/>
        </w:rPr>
        <w:t>2</w:t>
      </w:r>
      <w:r w:rsidRPr="00CA7C54">
        <w:rPr>
          <w:color w:val="000000" w:themeColor="text1"/>
          <w:sz w:val="21"/>
          <w:szCs w:val="21"/>
        </w:rPr>
        <w:t xml:space="preserve"> огороджувальних конструкцій та приймається за таблицею 11.6;</w:t>
      </w:r>
    </w:p>
    <w:p w14:paraId="42C9A427"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F</w:t>
      </w:r>
      <w:r w:rsidRPr="003D7792">
        <w:rPr>
          <w:rFonts w:ascii="Times New Roman" w:hAnsi="Times New Roman" w:cs="Times New Roman"/>
          <w:i/>
          <w:color w:val="000000" w:themeColor="text1"/>
          <w:sz w:val="21"/>
          <w:szCs w:val="21"/>
          <w:vertAlign w:val="subscript"/>
        </w:rPr>
        <w:t>k</w:t>
      </w:r>
      <w:r w:rsidRPr="00CA7C54">
        <w:rPr>
          <w:color w:val="000000" w:themeColor="text1"/>
          <w:sz w:val="21"/>
          <w:szCs w:val="21"/>
        </w:rPr>
        <w:t xml:space="preserve"> – площа внутрішньої поверхні зовнішніх огороджувальних конструкцій, м²;</w:t>
      </w:r>
    </w:p>
    <w:p w14:paraId="4CAB373F" w14:textId="77777777" w:rsidR="00B56042" w:rsidRPr="00CA7C54" w:rsidRDefault="001E748C" w:rsidP="00F64371">
      <w:pPr>
        <w:pBdr>
          <w:top w:val="nil"/>
          <w:left w:val="nil"/>
          <w:bottom w:val="nil"/>
          <w:right w:val="nil"/>
          <w:between w:val="nil"/>
        </w:pBdr>
        <w:spacing w:before="0" w:line="288" w:lineRule="auto"/>
        <w:contextualSpacing/>
        <w:rPr>
          <w:color w:val="000000" w:themeColor="text1"/>
          <w:sz w:val="21"/>
          <w:szCs w:val="21"/>
        </w:rPr>
      </w:pPr>
      <w:r w:rsidRPr="003D7792">
        <w:rPr>
          <w:rFonts w:ascii="Times New Roman" w:hAnsi="Times New Roman" w:cs="Times New Roman"/>
          <w:i/>
          <w:color w:val="000000" w:themeColor="text1"/>
          <w:sz w:val="21"/>
          <w:szCs w:val="21"/>
        </w:rPr>
        <w:t>I</w:t>
      </w:r>
      <w:r w:rsidRPr="003D7792">
        <w:rPr>
          <w:rFonts w:ascii="Times New Roman" w:hAnsi="Times New Roman" w:cs="Times New Roman"/>
          <w:i/>
          <w:color w:val="000000" w:themeColor="text1"/>
          <w:sz w:val="21"/>
          <w:szCs w:val="21"/>
          <w:vertAlign w:val="subscript"/>
        </w:rPr>
        <w:t>вн</w:t>
      </w:r>
      <w:r w:rsidRPr="00CA7C54">
        <w:rPr>
          <w:i/>
          <w:color w:val="000000" w:themeColor="text1"/>
          <w:sz w:val="21"/>
          <w:szCs w:val="21"/>
          <w:vertAlign w:val="subscript"/>
        </w:rPr>
        <w:t xml:space="preserve"> </w:t>
      </w:r>
      <w:r w:rsidRPr="00CA7C54">
        <w:rPr>
          <w:color w:val="000000" w:themeColor="text1"/>
          <w:sz w:val="21"/>
          <w:szCs w:val="21"/>
        </w:rPr>
        <w:t xml:space="preserve">– тепловміст внутрішнього повітря, який приймається для І, ІІІ, V кліматичних районів) </w:t>
      </w:r>
    </w:p>
    <w:p w14:paraId="5F7345E0" w14:textId="77777777" w:rsidR="003C4E04" w:rsidRPr="00CA7C54" w:rsidRDefault="001E748C" w:rsidP="00C32317">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22,5 ккал/кг, для ІІ, ІV кліматичного району – 23,5 ккал/кг;</w:t>
      </w:r>
    </w:p>
    <w:p w14:paraId="644C81FB"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Q</w:t>
      </w:r>
      <w:r w:rsidRPr="003D7792">
        <w:rPr>
          <w:rFonts w:ascii="Times New Roman" w:hAnsi="Times New Roman" w:cs="Times New Roman"/>
          <w:i/>
          <w:color w:val="000000" w:themeColor="text1"/>
          <w:sz w:val="21"/>
          <w:szCs w:val="21"/>
          <w:vertAlign w:val="subscript"/>
        </w:rPr>
        <w:t>T</w:t>
      </w:r>
      <w:r w:rsidRPr="003D7792">
        <w:rPr>
          <w:rFonts w:ascii="Times New Roman" w:hAnsi="Times New Roman" w:cs="Times New Roman"/>
          <w:i/>
          <w:color w:val="000000" w:themeColor="text1"/>
          <w:sz w:val="21"/>
          <w:szCs w:val="21"/>
        </w:rPr>
        <w:t>, I</w:t>
      </w:r>
      <w:r w:rsidRPr="003D7792">
        <w:rPr>
          <w:rFonts w:ascii="Times New Roman" w:hAnsi="Times New Roman" w:cs="Times New Roman"/>
          <w:i/>
          <w:color w:val="000000" w:themeColor="text1"/>
          <w:sz w:val="21"/>
          <w:szCs w:val="21"/>
          <w:vertAlign w:val="subscript"/>
        </w:rPr>
        <w:t>з</w:t>
      </w:r>
      <w:r w:rsidRPr="00CA7C54">
        <w:rPr>
          <w:color w:val="000000" w:themeColor="text1"/>
          <w:sz w:val="21"/>
          <w:szCs w:val="21"/>
        </w:rPr>
        <w:t xml:space="preserve"> – позначення дивись позначення до формули 11.1.</w:t>
      </w:r>
    </w:p>
    <w:p w14:paraId="662371B1"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 xml:space="preserve">Теплопоглинання </w:t>
      </w:r>
      <w:r w:rsidRPr="00CA7C54">
        <w:rPr>
          <w:i/>
          <w:color w:val="000000" w:themeColor="text1"/>
          <w:sz w:val="21"/>
          <w:szCs w:val="21"/>
        </w:rPr>
        <w:t>q</w:t>
      </w:r>
      <w:r w:rsidRPr="00CA7C54">
        <w:rPr>
          <w:i/>
          <w:color w:val="000000" w:themeColor="text1"/>
          <w:sz w:val="21"/>
          <w:szCs w:val="21"/>
          <w:vertAlign w:val="subscript"/>
        </w:rPr>
        <w:t>огор</w:t>
      </w:r>
      <w:r w:rsidRPr="00CA7C54">
        <w:rPr>
          <w:color w:val="000000" w:themeColor="text1"/>
          <w:sz w:val="21"/>
          <w:szCs w:val="21"/>
        </w:rPr>
        <w:t> огороджувальними конструкціями повинно враховуватись лише для одного з режимів, як правило, для II-го режиму. У разі, якщо у технічному завданні на</w:t>
      </w:r>
      <w:r w:rsidRPr="00CA7C54">
        <w:rPr>
          <w:color w:val="000000" w:themeColor="text1"/>
        </w:rPr>
        <w:t xml:space="preserve"> про</w:t>
      </w:r>
      <w:r w:rsidR="00F64371" w:rsidRPr="00CA7C54">
        <w:rPr>
          <w:color w:val="000000" w:themeColor="text1"/>
        </w:rPr>
        <w:t>є</w:t>
      </w:r>
      <w:r w:rsidRPr="00CA7C54">
        <w:rPr>
          <w:color w:val="000000" w:themeColor="text1"/>
        </w:rPr>
        <w:t xml:space="preserve">ктування </w:t>
      </w:r>
      <w:r w:rsidRPr="00CA7C54">
        <w:rPr>
          <w:color w:val="000000" w:themeColor="text1"/>
          <w:sz w:val="21"/>
          <w:szCs w:val="21"/>
        </w:rPr>
        <w:t>сховища/СПП III режим вентиляції передбачається основним, то теплопоглинання враховується тільки для III режиму.</w:t>
      </w:r>
    </w:p>
    <w:p w14:paraId="78CD88A3" w14:textId="77777777" w:rsidR="003C4E04" w:rsidRPr="00CA7C54" w:rsidRDefault="001E748C" w:rsidP="00B56042">
      <w:pPr>
        <w:pBdr>
          <w:top w:val="nil"/>
          <w:left w:val="nil"/>
          <w:bottom w:val="nil"/>
          <w:right w:val="nil"/>
          <w:between w:val="nil"/>
        </w:pBdr>
        <w:spacing w:before="0"/>
        <w:contextualSpacing/>
        <w:rPr>
          <w:color w:val="000000" w:themeColor="text1"/>
          <w:sz w:val="21"/>
          <w:szCs w:val="21"/>
        </w:rPr>
      </w:pPr>
      <w:r w:rsidRPr="00CA7C54">
        <w:rPr>
          <w:color w:val="000000" w:themeColor="text1"/>
          <w:sz w:val="21"/>
          <w:szCs w:val="21"/>
        </w:rPr>
        <w:lastRenderedPageBreak/>
        <w:t>Теплопоглинання огороджувальними конструкціями сховищ враховується тільки за наявності обвалування.</w:t>
      </w:r>
    </w:p>
    <w:p w14:paraId="7FFFC049"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11.2.1.16</w:t>
      </w:r>
      <w:r w:rsidRPr="00CA7C54">
        <w:rPr>
          <w:color w:val="000000" w:themeColor="text1"/>
          <w:sz w:val="21"/>
          <w:szCs w:val="21"/>
        </w:rPr>
        <w:t xml:space="preserve"> Розрахунки кількості та параметрів зовнішнього повітря за даними таблиць 11.4, 11.5, 11.6 проводяться не лише для теплого, а й для перехідного та холодного періодів року. Під час про</w:t>
      </w:r>
      <w:r w:rsidR="00B56042" w:rsidRPr="00CA7C54">
        <w:rPr>
          <w:color w:val="000000" w:themeColor="text1"/>
          <w:sz w:val="21"/>
          <w:szCs w:val="21"/>
        </w:rPr>
        <w:t>є</w:t>
      </w:r>
      <w:r w:rsidRPr="00CA7C54">
        <w:rPr>
          <w:color w:val="000000" w:themeColor="text1"/>
          <w:sz w:val="21"/>
          <w:szCs w:val="21"/>
        </w:rPr>
        <w:t xml:space="preserve">ктування кількість повітря, яке подається у сховище та СПП при режимі І, необхідно визначати не лише за надлишковим </w:t>
      </w:r>
      <w:r w:rsidRPr="00CA7C54">
        <w:rPr>
          <w:i/>
          <w:color w:val="000000" w:themeColor="text1"/>
          <w:sz w:val="21"/>
          <w:szCs w:val="21"/>
        </w:rPr>
        <w:t>Q</w:t>
      </w:r>
      <w:r w:rsidRPr="00CA7C54">
        <w:rPr>
          <w:i/>
          <w:color w:val="000000" w:themeColor="text1"/>
          <w:sz w:val="21"/>
          <w:szCs w:val="21"/>
          <w:vertAlign w:val="subscript"/>
        </w:rPr>
        <w:t>Т</w:t>
      </w:r>
      <w:r w:rsidRPr="00CA7C54">
        <w:rPr>
          <w:color w:val="000000" w:themeColor="text1"/>
          <w:sz w:val="21"/>
          <w:szCs w:val="21"/>
        </w:rPr>
        <w:t>, а й за газовиділенням – СО</w:t>
      </w:r>
      <w:r w:rsidRPr="00CA7C54">
        <w:rPr>
          <w:color w:val="000000" w:themeColor="text1"/>
          <w:sz w:val="21"/>
          <w:szCs w:val="21"/>
          <w:vertAlign w:val="subscript"/>
        </w:rPr>
        <w:t>2</w:t>
      </w:r>
      <w:r w:rsidRPr="00CA7C54">
        <w:rPr>
          <w:color w:val="000000" w:themeColor="text1"/>
          <w:sz w:val="21"/>
          <w:szCs w:val="21"/>
        </w:rPr>
        <w:t>.</w:t>
      </w:r>
    </w:p>
    <w:p w14:paraId="1180A017"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11.2.1.17</w:t>
      </w:r>
      <w:r w:rsidRPr="00CA7C54">
        <w:rPr>
          <w:color w:val="000000" w:themeColor="text1"/>
          <w:sz w:val="21"/>
          <w:szCs w:val="21"/>
        </w:rPr>
        <w:t xml:space="preserve"> Вентиляція приміщень, призначених для встановлення автономних джерел енергозабезпечення (електроживлення), а також чистої та забрудненої зон санпропускників, має передбачатися через окремі повітроводи від повітроводів інших систем вентиляції.</w:t>
      </w:r>
    </w:p>
    <w:p w14:paraId="0E8A57AB"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Повітрозабори мають розміщуватися поза межами можливих завалів будівель і споруд.</w:t>
      </w:r>
    </w:p>
    <w:p w14:paraId="6C51EF45"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Повітрозабори систем фільтровентиляції допускається розміщувати на території зон можливих завалів та у передтамбурі захисної споруди (споруди подвійного призначення).</w:t>
      </w:r>
    </w:p>
    <w:p w14:paraId="1E551418"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 xml:space="preserve">Повітрозабірний короб чистої вентиляції сховищ та СПП (режиму І) доцільно сполучати з аварійним виходом із сховища. У такому разі висота та розташування повітрозабірного коробу приймається з урахуванням вимог 7.5.1.19 та 7.5.1.20цих </w:t>
      </w:r>
      <w:r w:rsidR="00B56042" w:rsidRPr="00CA7C54">
        <w:rPr>
          <w:color w:val="000000" w:themeColor="text1"/>
          <w:sz w:val="21"/>
          <w:szCs w:val="21"/>
        </w:rPr>
        <w:t>н</w:t>
      </w:r>
      <w:r w:rsidRPr="00CA7C54">
        <w:rPr>
          <w:color w:val="000000" w:themeColor="text1"/>
          <w:sz w:val="21"/>
          <w:szCs w:val="21"/>
        </w:rPr>
        <w:t>орм.</w:t>
      </w:r>
    </w:p>
    <w:p w14:paraId="40F09118" w14:textId="7665CEA0"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 xml:space="preserve">Вимоги щодо мінімальної відстані між пристроєм для забору зовнішнього повітря та пристроєм для викиду витяжного повітря у залежності від якості витяжного повітря, яке видаляється системою механічної вентиляції, коефіцієнта розсіювання і витрати повітря через викидний пристрій, слід визначати відповідно до </w:t>
      </w:r>
      <w:hyperlink r:id="rId209" w:history="1">
        <w:r w:rsidRPr="00874F83">
          <w:rPr>
            <w:rStyle w:val="ac"/>
            <w:rFonts w:cs="Arial"/>
            <w:sz w:val="21"/>
            <w:szCs w:val="21"/>
          </w:rPr>
          <w:t>ДСТУ Б EN 13779</w:t>
        </w:r>
      </w:hyperlink>
      <w:r w:rsidRPr="00CA7C54">
        <w:rPr>
          <w:color w:val="000000" w:themeColor="text1"/>
          <w:sz w:val="21"/>
          <w:szCs w:val="21"/>
        </w:rPr>
        <w:t>.</w:t>
      </w:r>
    </w:p>
    <w:p w14:paraId="67FB1E48" w14:textId="6BF96A49" w:rsidR="003C4E04" w:rsidRDefault="001E748C" w:rsidP="00B56042">
      <w:pPr>
        <w:pBdr>
          <w:top w:val="nil"/>
          <w:left w:val="nil"/>
          <w:bottom w:val="nil"/>
          <w:right w:val="nil"/>
          <w:between w:val="nil"/>
        </w:pBdr>
        <w:spacing w:before="0"/>
        <w:contextualSpacing/>
        <w:rPr>
          <w:color w:val="000000" w:themeColor="text1"/>
          <w:sz w:val="21"/>
          <w:szCs w:val="21"/>
        </w:rPr>
      </w:pPr>
      <w:r w:rsidRPr="00CA7C54">
        <w:rPr>
          <w:color w:val="000000" w:themeColor="text1"/>
          <w:sz w:val="21"/>
          <w:szCs w:val="21"/>
        </w:rPr>
        <w:t>У місцях розташування захисних споруд (споруд подвійного призначення) у житловій зоні населених пунктів допускається поєднання у загальних шахтах з витяжних каналів із окремих приміщень захисних споруд та СПП та каналів вихлопних систем автономних джерел енергозабезпечення за умови використання повітропроводів зварними без рознімних з’єднань класу щільності не менше В згідно</w:t>
      </w:r>
      <w:r w:rsidR="00B56042" w:rsidRPr="00CA7C54">
        <w:rPr>
          <w:color w:val="000000" w:themeColor="text1"/>
          <w:sz w:val="21"/>
          <w:szCs w:val="21"/>
        </w:rPr>
        <w:t xml:space="preserve"> з</w:t>
      </w:r>
      <w:r w:rsidRPr="00CA7C54">
        <w:rPr>
          <w:color w:val="000000" w:themeColor="text1"/>
          <w:sz w:val="21"/>
          <w:szCs w:val="21"/>
        </w:rPr>
        <w:t xml:space="preserve"> </w:t>
      </w:r>
      <w:hyperlink r:id="rId210" w:history="1">
        <w:r w:rsidRPr="00874F83">
          <w:rPr>
            <w:rStyle w:val="ac"/>
            <w:rFonts w:cs="Arial"/>
            <w:sz w:val="21"/>
            <w:szCs w:val="21"/>
          </w:rPr>
          <w:t>ДБН В.2.5-67</w:t>
        </w:r>
      </w:hyperlink>
      <w:r w:rsidRPr="00CA7C54">
        <w:rPr>
          <w:color w:val="000000" w:themeColor="text1"/>
          <w:sz w:val="21"/>
          <w:szCs w:val="21"/>
        </w:rPr>
        <w:t>. Для цих повітропроводів слід передбачати окрему шахту з огороджувальними конструкціями класом вогнестійкості не менше EI120.</w:t>
      </w:r>
    </w:p>
    <w:p w14:paraId="15E6A06D" w14:textId="77777777" w:rsidR="003D7792" w:rsidRPr="00CA7C54" w:rsidRDefault="003D7792" w:rsidP="00B56042">
      <w:pPr>
        <w:pBdr>
          <w:top w:val="nil"/>
          <w:left w:val="nil"/>
          <w:bottom w:val="nil"/>
          <w:right w:val="nil"/>
          <w:between w:val="nil"/>
        </w:pBdr>
        <w:spacing w:before="0"/>
        <w:contextualSpacing/>
        <w:rPr>
          <w:rFonts w:eastAsia="Times New Roman"/>
          <w:color w:val="000000" w:themeColor="text1"/>
          <w:sz w:val="21"/>
          <w:szCs w:val="21"/>
        </w:rPr>
      </w:pPr>
    </w:p>
    <w:p w14:paraId="6450DF02" w14:textId="77777777" w:rsidR="003C4E04" w:rsidRPr="00CA7C54" w:rsidRDefault="001E748C" w:rsidP="00B56042">
      <w:pPr>
        <w:pBdr>
          <w:top w:val="nil"/>
          <w:left w:val="nil"/>
          <w:bottom w:val="nil"/>
          <w:right w:val="nil"/>
          <w:between w:val="nil"/>
        </w:pBdr>
        <w:spacing w:before="0"/>
        <w:ind w:right="142"/>
        <w:contextualSpacing/>
        <w:rPr>
          <w:rFonts w:eastAsia="Times New Roman"/>
          <w:color w:val="000000" w:themeColor="text1"/>
          <w:sz w:val="21"/>
          <w:szCs w:val="21"/>
        </w:rPr>
      </w:pPr>
      <w:r w:rsidRPr="00CA7C54">
        <w:rPr>
          <w:b/>
          <w:color w:val="000000" w:themeColor="text1"/>
          <w:sz w:val="21"/>
          <w:szCs w:val="21"/>
        </w:rPr>
        <w:t>Таблиця 11.6</w:t>
      </w:r>
      <w:r w:rsidRPr="00CA7C54">
        <w:rPr>
          <w:color w:val="000000" w:themeColor="text1"/>
          <w:sz w:val="21"/>
          <w:szCs w:val="21"/>
        </w:rPr>
        <w:t xml:space="preserve"> – Кількість тепла, яка поглинається огороджувальними конструкціями</w:t>
      </w:r>
    </w:p>
    <w:tbl>
      <w:tblPr>
        <w:tblStyle w:val="afffffffffffffffffffffffffffffff5"/>
        <w:tblW w:w="9776" w:type="dxa"/>
        <w:tblLayout w:type="fixed"/>
        <w:tblLook w:val="0400" w:firstRow="0" w:lastRow="0" w:firstColumn="0" w:lastColumn="0" w:noHBand="0" w:noVBand="1"/>
      </w:tblPr>
      <w:tblGrid>
        <w:gridCol w:w="2405"/>
        <w:gridCol w:w="1985"/>
        <w:gridCol w:w="1275"/>
        <w:gridCol w:w="952"/>
        <w:gridCol w:w="1175"/>
        <w:gridCol w:w="1134"/>
        <w:gridCol w:w="850"/>
      </w:tblGrid>
      <w:tr w:rsidR="00CA7C54" w:rsidRPr="00CA7C54" w14:paraId="7F6CBEFA" w14:textId="77777777" w:rsidTr="00146546">
        <w:trPr>
          <w:tblHeader/>
        </w:trPr>
        <w:tc>
          <w:tcPr>
            <w:tcW w:w="240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883DF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Початкова температура огороджувальних конструкцій, °С</w:t>
            </w:r>
          </w:p>
        </w:tc>
        <w:tc>
          <w:tcPr>
            <w:tcW w:w="7371"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BD4E2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Середньогодинна кількість тепла, яка вбирається огороджувальними конструкціями, ккал/(год·м</w:t>
            </w:r>
            <w:r w:rsidRPr="00CA7C54">
              <w:rPr>
                <w:rFonts w:ascii="Arial" w:eastAsia="Arial" w:hAnsi="Arial" w:cs="Arial"/>
                <w:b/>
                <w:color w:val="000000" w:themeColor="text1"/>
                <w:sz w:val="20"/>
                <w:szCs w:val="20"/>
                <w:vertAlign w:val="superscript"/>
              </w:rPr>
              <w:t>2</w:t>
            </w:r>
            <w:r w:rsidRPr="00CA7C54">
              <w:rPr>
                <w:rFonts w:ascii="Arial" w:eastAsia="Arial" w:hAnsi="Arial" w:cs="Arial"/>
                <w:b/>
                <w:color w:val="000000" w:themeColor="text1"/>
                <w:sz w:val="20"/>
                <w:szCs w:val="20"/>
              </w:rPr>
              <w:t>) </w:t>
            </w:r>
          </w:p>
        </w:tc>
      </w:tr>
      <w:tr w:rsidR="00CA7C54" w:rsidRPr="00CA7C54" w14:paraId="0A46116C" w14:textId="77777777" w:rsidTr="00146546">
        <w:trPr>
          <w:tblHeader/>
        </w:trPr>
        <w:tc>
          <w:tcPr>
            <w:tcW w:w="240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E78A97"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421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BC697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залізобетонними і бетонними</w:t>
            </w:r>
          </w:p>
        </w:tc>
        <w:tc>
          <w:tcPr>
            <w:tcW w:w="315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2602C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цегляною кладкою</w:t>
            </w:r>
          </w:p>
        </w:tc>
      </w:tr>
      <w:tr w:rsidR="00CA7C54" w:rsidRPr="00CA7C54" w14:paraId="3A2783BB" w14:textId="77777777" w:rsidTr="00146546">
        <w:trPr>
          <w:trHeight w:val="1439"/>
          <w:tblHeader/>
        </w:trPr>
        <w:tc>
          <w:tcPr>
            <w:tcW w:w="240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171063"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DC69A0" w14:textId="77777777" w:rsidR="003C4E04" w:rsidRPr="00CA7C54" w:rsidRDefault="00E171B6" w:rsidP="00E171B6">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w:t>
            </w:r>
            <w:r w:rsidR="001E748C" w:rsidRPr="00CA7C54">
              <w:rPr>
                <w:rFonts w:ascii="Arial" w:eastAsia="Arial" w:hAnsi="Arial" w:cs="Arial"/>
                <w:b/>
                <w:color w:val="000000" w:themeColor="text1"/>
                <w:sz w:val="20"/>
                <w:szCs w:val="20"/>
              </w:rPr>
              <w:t>риІІ-му режимі</w:t>
            </w:r>
          </w:p>
        </w:tc>
        <w:tc>
          <w:tcPr>
            <w:tcW w:w="222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CCF9C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 ІІІ-му режимі</w:t>
            </w:r>
          </w:p>
          <w:p w14:paraId="24978BF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та температурі</w:t>
            </w:r>
          </w:p>
          <w:p w14:paraId="64E1EEA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 xml:space="preserve">у приміщенні, </w:t>
            </w:r>
            <w:r w:rsidRPr="00CA7C54">
              <w:rPr>
                <w:rFonts w:ascii="Cambria Math" w:eastAsia="Cambria Math" w:hAnsi="Cambria Math" w:cs="Cambria Math"/>
                <w:b/>
                <w:color w:val="000000" w:themeColor="text1"/>
                <w:sz w:val="20"/>
                <w:szCs w:val="20"/>
              </w:rPr>
              <w:t>℃</w:t>
            </w:r>
          </w:p>
        </w:tc>
        <w:tc>
          <w:tcPr>
            <w:tcW w:w="11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8E628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 ІІ-му режимі</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669C4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 ІІІ-му режимі</w:t>
            </w:r>
          </w:p>
          <w:p w14:paraId="228705D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та температурі</w:t>
            </w:r>
          </w:p>
          <w:p w14:paraId="30F8217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 xml:space="preserve">у приміщенні, </w:t>
            </w:r>
            <w:r w:rsidRPr="00CA7C54">
              <w:rPr>
                <w:rFonts w:ascii="Cambria Math" w:eastAsia="Cambria Math" w:hAnsi="Cambria Math" w:cs="Cambria Math"/>
                <w:b/>
                <w:color w:val="000000" w:themeColor="text1"/>
                <w:sz w:val="20"/>
                <w:szCs w:val="20"/>
              </w:rPr>
              <w:t>℃</w:t>
            </w:r>
          </w:p>
        </w:tc>
      </w:tr>
      <w:tr w:rsidR="00CA7C54" w:rsidRPr="00CA7C54" w14:paraId="6FDDF954" w14:textId="77777777" w:rsidTr="00146546">
        <w:trPr>
          <w:tblHeader/>
        </w:trPr>
        <w:tc>
          <w:tcPr>
            <w:tcW w:w="240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F55FB3"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19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650370"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41960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32</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24BF0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31</w:t>
            </w:r>
          </w:p>
        </w:tc>
        <w:tc>
          <w:tcPr>
            <w:tcW w:w="11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C0D2B3"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5FD321"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335201"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31</w:t>
            </w:r>
          </w:p>
        </w:tc>
      </w:tr>
      <w:tr w:rsidR="00CA7C54" w:rsidRPr="00CA7C54" w14:paraId="5DD87E51"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30D3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0EE101"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92</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DABE0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139</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B8E42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129</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150B9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56</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69DFB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B85D1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80</w:t>
            </w:r>
          </w:p>
        </w:tc>
      </w:tr>
      <w:tr w:rsidR="00CA7C54" w:rsidRPr="00CA7C54" w14:paraId="249A191E"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2DB6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16</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576FB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85</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66420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129</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010D37"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64FA0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D8D2E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1FEB7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74</w:t>
            </w:r>
          </w:p>
        </w:tc>
      </w:tr>
      <w:tr w:rsidR="00CA7C54" w:rsidRPr="00CA7C54" w14:paraId="59095568"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24D4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C1555"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78</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6B249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68607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110</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AAA4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48</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740E5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7B6B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68</w:t>
            </w:r>
          </w:p>
        </w:tc>
      </w:tr>
      <w:tr w:rsidR="00CA7C54" w:rsidRPr="00CA7C54" w14:paraId="37E929F8"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E693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18</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68B0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72</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FE8D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110</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4C93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F80A8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B9158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68</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B4A95"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62</w:t>
            </w:r>
          </w:p>
        </w:tc>
      </w:tr>
      <w:tr w:rsidR="00CA7C54" w:rsidRPr="00CA7C54" w14:paraId="6E59E515"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FBE20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19</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B766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65</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9D59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101</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A3AD9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83CD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39</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5412E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4E96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56</w:t>
            </w:r>
          </w:p>
        </w:tc>
      </w:tr>
      <w:tr w:rsidR="00CA7C54" w:rsidRPr="00CA7C54" w14:paraId="100C4593"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B6555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F47DB7"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58</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87952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91</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727B9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C626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58617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56</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9ED2D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r>
      <w:tr w:rsidR="00CA7C54" w:rsidRPr="00CA7C54" w14:paraId="1B5CA541"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5D15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21</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CD1EF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29EF8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81</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7DDC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64B25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1A047A"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2A8C7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44</w:t>
            </w:r>
          </w:p>
        </w:tc>
      </w:tr>
      <w:tr w:rsidR="00CA7C54" w:rsidRPr="00CA7C54" w14:paraId="4DD2F584"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3C5C2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22</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8C83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43</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16DE9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72</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655E07"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D52E5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5F02B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F7004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38</w:t>
            </w:r>
          </w:p>
        </w:tc>
      </w:tr>
      <w:tr w:rsidR="00CA7C54" w:rsidRPr="00CA7C54" w14:paraId="4C9DF238"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21B2A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23</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07BF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36</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31EE1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62</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76C9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53</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5F1D9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FF70F1"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38</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9C98C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32</w:t>
            </w:r>
          </w:p>
        </w:tc>
      </w:tr>
      <w:tr w:rsidR="00CA7C54" w:rsidRPr="00CA7C54" w14:paraId="41C11F38"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225B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24</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4DA00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009EA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53</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D4624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43</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A7125"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18</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6352E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F9C0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r>
      <w:tr w:rsidR="00CA7C54" w:rsidRPr="00CA7C54" w14:paraId="1F3DAC2A"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7720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3F13D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24</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EA1FD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43</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D530A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79E6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4B04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C86D7"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21</w:t>
            </w:r>
          </w:p>
        </w:tc>
      </w:tr>
      <w:tr w:rsidR="00CA7C54" w:rsidRPr="00CA7C54" w14:paraId="1729B0FF"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29AB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26</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F6B8C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16</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A55C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34</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5A47DA"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8360B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233E1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12468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r>
      <w:tr w:rsidR="00CA7C54" w:rsidRPr="00CA7C54" w14:paraId="42A91567"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77E05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5F179"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D8B9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24</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026FF"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4DF00"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5BDF1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8A31E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r>
      <w:tr w:rsidR="00CA7C54" w:rsidRPr="00CA7C54" w14:paraId="7D67584B" w14:textId="77777777" w:rsidTr="00146546">
        <w:trPr>
          <w:trHeight w:val="670"/>
        </w:trPr>
        <w:tc>
          <w:tcPr>
            <w:tcW w:w="9776"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A6E9E1" w14:textId="0ED96365" w:rsidR="003C4E04" w:rsidRPr="00CA7C54" w:rsidRDefault="001E748C">
            <w:pPr>
              <w:pBdr>
                <w:top w:val="nil"/>
                <w:left w:val="nil"/>
                <w:bottom w:val="nil"/>
                <w:right w:val="nil"/>
                <w:between w:val="nil"/>
              </w:pBdr>
              <w:spacing w:before="0" w:line="240" w:lineRule="auto"/>
              <w:ind w:firstLine="0"/>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w:t>
            </w:r>
            <w:r w:rsidRPr="00CA7C54">
              <w:rPr>
                <w:rFonts w:ascii="Arial" w:eastAsia="Arial" w:hAnsi="Arial" w:cs="Arial"/>
                <w:color w:val="000000" w:themeColor="text1"/>
                <w:sz w:val="20"/>
                <w:szCs w:val="20"/>
              </w:rPr>
              <w:t xml:space="preserve"> Початкова температура поверхні огороджувальних конструкцій приймається рівною середньомісячній температурі зовнішнього повітря найтеплішого місяця згідно з </w:t>
            </w:r>
            <w:hyperlink r:id="rId211" w:history="1">
              <w:r w:rsidRPr="00874F83">
                <w:rPr>
                  <w:rStyle w:val="ac"/>
                  <w:rFonts w:ascii="Arial" w:eastAsia="Arial" w:hAnsi="Arial" w:cs="Arial"/>
                  <w:sz w:val="20"/>
                  <w:szCs w:val="20"/>
                </w:rPr>
                <w:t>ДСТУ-Н Б В.1.1-27</w:t>
              </w:r>
            </w:hyperlink>
            <w:r w:rsidRPr="00CA7C54">
              <w:rPr>
                <w:rFonts w:ascii="Arial" w:eastAsia="Arial" w:hAnsi="Arial" w:cs="Arial"/>
                <w:color w:val="000000" w:themeColor="text1"/>
                <w:sz w:val="20"/>
                <w:szCs w:val="20"/>
              </w:rPr>
              <w:t xml:space="preserve">, але не нижче 15 </w:t>
            </w:r>
            <w:r w:rsidRPr="00CA7C54">
              <w:rPr>
                <w:rFonts w:ascii="Arial" w:eastAsia="Arial" w:hAnsi="Arial" w:cs="Arial"/>
                <w:color w:val="000000" w:themeColor="text1"/>
                <w:sz w:val="20"/>
                <w:szCs w:val="20"/>
                <w:vertAlign w:val="superscript"/>
              </w:rPr>
              <w:t>0</w:t>
            </w:r>
            <w:r w:rsidRPr="00CA7C54">
              <w:rPr>
                <w:rFonts w:ascii="Arial" w:eastAsia="Arial" w:hAnsi="Arial" w:cs="Arial"/>
                <w:color w:val="000000" w:themeColor="text1"/>
                <w:sz w:val="20"/>
                <w:szCs w:val="20"/>
              </w:rPr>
              <w:t>С</w:t>
            </w:r>
            <w:r w:rsidR="009B0871">
              <w:rPr>
                <w:rFonts w:ascii="Arial" w:eastAsia="Arial" w:hAnsi="Arial" w:cs="Arial"/>
                <w:color w:val="000000" w:themeColor="text1"/>
                <w:sz w:val="20"/>
                <w:szCs w:val="20"/>
              </w:rPr>
              <w:t>.</w:t>
            </w:r>
          </w:p>
        </w:tc>
      </w:tr>
    </w:tbl>
    <w:p w14:paraId="00B32352"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11.2.1.18</w:t>
      </w:r>
      <w:r w:rsidRPr="00CA7C54">
        <w:rPr>
          <w:color w:val="000000" w:themeColor="text1"/>
          <w:sz w:val="21"/>
          <w:szCs w:val="21"/>
        </w:rPr>
        <w:t xml:space="preserve"> Повітроводи припливних та витяжних систем, що прокладаються зовні, виконуються із будівельних конструкцій, розрахованих на дію повітряної ударної хвилі, або монтуються зі сталевих зварних труб і повинні прокладатися ухилом 0,003 і більше у бік від </w:t>
      </w:r>
      <w:r w:rsidRPr="00CA7C54">
        <w:rPr>
          <w:color w:val="000000" w:themeColor="text1"/>
          <w:sz w:val="21"/>
          <w:szCs w:val="21"/>
        </w:rPr>
        <w:lastRenderedPageBreak/>
        <w:t>захисної споруди (споруди подвійного призначення). При цьому перед противибуховим пристроєм слід передбачати відведення конденсату.</w:t>
      </w:r>
    </w:p>
    <w:p w14:paraId="735EADD1"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Із сталевих труб з товщиною стінки  не менше</w:t>
      </w:r>
      <w:r w:rsidR="00E171B6" w:rsidRPr="00CA7C54">
        <w:rPr>
          <w:color w:val="000000" w:themeColor="text1"/>
          <w:sz w:val="21"/>
          <w:szCs w:val="21"/>
        </w:rPr>
        <w:t xml:space="preserve"> ніж</w:t>
      </w:r>
      <w:r w:rsidRPr="00CA7C54">
        <w:rPr>
          <w:color w:val="000000" w:themeColor="text1"/>
          <w:sz w:val="21"/>
          <w:szCs w:val="21"/>
        </w:rPr>
        <w:t xml:space="preserve"> 8 мм слід виготовляти повітроводи сховищ та СПП, що прокладаються всередині приміщень до герметичних клапанів, з’єднувальні повітроводи між повітрозаборами чистої вентиляції та фільтровентиляції, а також патрубки для установки герметичних клапанів у стінах.</w:t>
      </w:r>
    </w:p>
    <w:p w14:paraId="123F3180"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Повітроводи фільтрів-поглиначів та регенеративних установок необхідно виготовляти зі сталевої труби або листової сталі завтовшки не менше</w:t>
      </w:r>
      <w:r w:rsidR="00E171B6" w:rsidRPr="00CA7C54">
        <w:rPr>
          <w:color w:val="000000" w:themeColor="text1"/>
          <w:sz w:val="21"/>
          <w:szCs w:val="21"/>
        </w:rPr>
        <w:t xml:space="preserve"> ніж </w:t>
      </w:r>
      <w:r w:rsidRPr="00CA7C54">
        <w:rPr>
          <w:color w:val="000000" w:themeColor="text1"/>
          <w:sz w:val="21"/>
          <w:szCs w:val="21"/>
        </w:rPr>
        <w:t xml:space="preserve"> 2 мм. </w:t>
      </w:r>
    </w:p>
    <w:p w14:paraId="1D5AC335" w14:textId="77777777" w:rsidR="00E171B6" w:rsidRPr="00CA7C54" w:rsidRDefault="001E748C" w:rsidP="00E171B6">
      <w:pPr>
        <w:pBdr>
          <w:top w:val="nil"/>
          <w:left w:val="nil"/>
          <w:bottom w:val="nil"/>
          <w:right w:val="nil"/>
          <w:between w:val="nil"/>
        </w:pBdr>
        <w:spacing w:before="0" w:line="288" w:lineRule="auto"/>
        <w:contextualSpacing/>
        <w:rPr>
          <w:color w:val="000000" w:themeColor="text1"/>
          <w:spacing w:val="4"/>
          <w:sz w:val="21"/>
          <w:szCs w:val="21"/>
        </w:rPr>
      </w:pPr>
      <w:r w:rsidRPr="00CA7C54">
        <w:rPr>
          <w:color w:val="000000" w:themeColor="text1"/>
          <w:sz w:val="21"/>
          <w:szCs w:val="21"/>
        </w:rPr>
        <w:t xml:space="preserve">Повітроводи всередині приміщення після герметичних клапанів та фільтрів виконують із сталевих труб круглого або прямокутного перерізу. Товщину листової сталі для повітроводів, </w:t>
      </w:r>
      <w:r w:rsidRPr="00CA7C54">
        <w:rPr>
          <w:color w:val="000000" w:themeColor="text1"/>
          <w:spacing w:val="4"/>
          <w:sz w:val="21"/>
          <w:szCs w:val="21"/>
        </w:rPr>
        <w:t xml:space="preserve">уздовж яких переміщується повітря з температурою не вище ніж 80 </w:t>
      </w:r>
      <w:r w:rsidRPr="00CA7C54">
        <w:rPr>
          <w:color w:val="000000" w:themeColor="text1"/>
          <w:spacing w:val="4"/>
          <w:sz w:val="21"/>
          <w:szCs w:val="21"/>
          <w:vertAlign w:val="superscript"/>
        </w:rPr>
        <w:t>0</w:t>
      </w:r>
      <w:r w:rsidRPr="00CA7C54">
        <w:rPr>
          <w:color w:val="000000" w:themeColor="text1"/>
          <w:spacing w:val="4"/>
          <w:sz w:val="21"/>
          <w:szCs w:val="21"/>
        </w:rPr>
        <w:t>С, слід приймати згідно</w:t>
      </w:r>
      <w:r w:rsidR="00E171B6" w:rsidRPr="00CA7C54">
        <w:rPr>
          <w:color w:val="000000" w:themeColor="text1"/>
          <w:spacing w:val="4"/>
          <w:sz w:val="21"/>
          <w:szCs w:val="21"/>
        </w:rPr>
        <w:t xml:space="preserve"> з </w:t>
      </w:r>
    </w:p>
    <w:p w14:paraId="3DFF9B93" w14:textId="16DFFF73" w:rsidR="003C4E04" w:rsidRPr="00CA7C54" w:rsidRDefault="00607C5F" w:rsidP="00E171B6">
      <w:pPr>
        <w:pBdr>
          <w:top w:val="nil"/>
          <w:left w:val="nil"/>
          <w:bottom w:val="nil"/>
          <w:right w:val="nil"/>
          <w:between w:val="nil"/>
        </w:pBdr>
        <w:spacing w:before="0" w:line="288" w:lineRule="auto"/>
        <w:ind w:firstLine="0"/>
        <w:contextualSpacing/>
        <w:rPr>
          <w:rFonts w:eastAsia="Times New Roman"/>
          <w:color w:val="000000" w:themeColor="text1"/>
          <w:sz w:val="21"/>
          <w:szCs w:val="21"/>
        </w:rPr>
      </w:pPr>
      <w:hyperlink r:id="rId212" w:history="1">
        <w:r w:rsidR="001E748C" w:rsidRPr="00607C5F">
          <w:rPr>
            <w:rStyle w:val="ac"/>
            <w:rFonts w:cs="Arial"/>
            <w:sz w:val="21"/>
            <w:szCs w:val="21"/>
          </w:rPr>
          <w:t xml:space="preserve"> ДБН В.2.5-67.</w:t>
        </w:r>
      </w:hyperlink>
    </w:p>
    <w:p w14:paraId="12002FA5"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Довжина повітроводу від вентилятора до найбільш віддаленого вентиляційного отвору має бути:</w:t>
      </w:r>
    </w:p>
    <w:p w14:paraId="2C308D3B" w14:textId="77777777" w:rsidR="003C4E04" w:rsidRPr="00CA7C54" w:rsidRDefault="00E417D3"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систем вентиляції з електроручними вентиляторами – не більше</w:t>
      </w:r>
      <w:r w:rsidR="00E171B6" w:rsidRPr="00CA7C54">
        <w:rPr>
          <w:color w:val="000000" w:themeColor="text1"/>
          <w:sz w:val="21"/>
          <w:szCs w:val="21"/>
        </w:rPr>
        <w:t xml:space="preserve"> ніж </w:t>
      </w:r>
      <w:r w:rsidR="001E748C" w:rsidRPr="00CA7C54">
        <w:rPr>
          <w:color w:val="000000" w:themeColor="text1"/>
          <w:sz w:val="21"/>
          <w:szCs w:val="21"/>
        </w:rPr>
        <w:t xml:space="preserve"> 30 м;</w:t>
      </w:r>
    </w:p>
    <w:p w14:paraId="5DA6E46D" w14:textId="77777777" w:rsidR="003C4E04" w:rsidRPr="00CA7C54" w:rsidRDefault="00E417D3" w:rsidP="00E417D3">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для систем, обладнаних промисловими вентиляторами з електроприводами – рекомендується не більше </w:t>
      </w:r>
      <w:r w:rsidR="00E171B6" w:rsidRPr="00CA7C54">
        <w:rPr>
          <w:color w:val="000000" w:themeColor="text1"/>
          <w:sz w:val="21"/>
          <w:szCs w:val="21"/>
        </w:rPr>
        <w:t xml:space="preserve">ніж </w:t>
      </w:r>
      <w:r w:rsidR="001E748C" w:rsidRPr="00CA7C54">
        <w:rPr>
          <w:color w:val="000000" w:themeColor="text1"/>
          <w:sz w:val="21"/>
          <w:szCs w:val="21"/>
        </w:rPr>
        <w:t>50 м.</w:t>
      </w:r>
    </w:p>
    <w:p w14:paraId="66961B30"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Повітроводи, по яких транспортується повітря з високою температурою, мають бути гідроізольованими та  теплоізольованими.</w:t>
      </w:r>
    </w:p>
    <w:p w14:paraId="279DE85D" w14:textId="77777777" w:rsidR="003C4E04" w:rsidRPr="00CA7C54" w:rsidRDefault="001E748C" w:rsidP="00E171B6">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rPr>
        <w:t>11.2.1.19</w:t>
      </w:r>
      <w:r w:rsidRPr="00CA7C54">
        <w:rPr>
          <w:color w:val="000000" w:themeColor="text1"/>
          <w:sz w:val="21"/>
          <w:szCs w:val="21"/>
        </w:rPr>
        <w:t xml:space="preserve"> На повiтрозаборах та витяжн</w:t>
      </w:r>
      <w:r w:rsidRPr="00CA7C54">
        <w:rPr>
          <w:color w:val="000000" w:themeColor="text1"/>
          <w:sz w:val="21"/>
          <w:szCs w:val="21"/>
          <w:highlight w:val="white"/>
        </w:rPr>
        <w:t xml:space="preserve">их пристроях захисних споруд та СПП, слід передбачати установку противовибухових пристроїв.  Основні технічні характеристики типових противовибухових пристроїв наведено у таблиці </w:t>
      </w:r>
      <w:r w:rsidR="000F1A40" w:rsidRPr="00CA7C54">
        <w:rPr>
          <w:color w:val="000000" w:themeColor="text1"/>
          <w:sz w:val="21"/>
          <w:szCs w:val="21"/>
          <w:highlight w:val="white"/>
        </w:rPr>
        <w:t>Е</w:t>
      </w:r>
      <w:r w:rsidRPr="00CA7C54">
        <w:rPr>
          <w:color w:val="000000" w:themeColor="text1"/>
          <w:sz w:val="21"/>
          <w:szCs w:val="21"/>
          <w:highlight w:val="white"/>
        </w:rPr>
        <w:t>.1 Додатк</w:t>
      </w:r>
      <w:r w:rsidR="00E171B6" w:rsidRPr="00CA7C54">
        <w:rPr>
          <w:color w:val="000000" w:themeColor="text1"/>
          <w:sz w:val="21"/>
          <w:szCs w:val="21"/>
          <w:highlight w:val="white"/>
        </w:rPr>
        <w:t>а</w:t>
      </w:r>
      <w:r w:rsidR="000F1A40" w:rsidRPr="00CA7C54">
        <w:rPr>
          <w:color w:val="000000" w:themeColor="text1"/>
          <w:sz w:val="21"/>
          <w:szCs w:val="21"/>
          <w:highlight w:val="white"/>
        </w:rPr>
        <w:t>Е</w:t>
      </w:r>
      <w:r w:rsidRPr="00CA7C54">
        <w:rPr>
          <w:color w:val="000000" w:themeColor="text1"/>
          <w:sz w:val="21"/>
          <w:szCs w:val="21"/>
          <w:highlight w:val="white"/>
        </w:rPr>
        <w:t xml:space="preserve"> цих </w:t>
      </w:r>
      <w:r w:rsidR="00E171B6" w:rsidRPr="00CA7C54">
        <w:rPr>
          <w:color w:val="000000" w:themeColor="text1"/>
          <w:sz w:val="21"/>
          <w:szCs w:val="21"/>
          <w:highlight w:val="white"/>
        </w:rPr>
        <w:t>н</w:t>
      </w:r>
      <w:r w:rsidRPr="00CA7C54">
        <w:rPr>
          <w:color w:val="000000" w:themeColor="text1"/>
          <w:sz w:val="21"/>
          <w:szCs w:val="21"/>
          <w:highlight w:val="white"/>
        </w:rPr>
        <w:t>орм. Допускається застосування інших противибухових пристроїв (аналогів) із забезпеченням необхідних технічних параметрів.</w:t>
      </w:r>
    </w:p>
    <w:p w14:paraId="6FE80F26"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Противибухові пристрої мають передбачатися такої конструкції, що заб</w:t>
      </w:r>
      <w:r w:rsidRPr="00CA7C54">
        <w:rPr>
          <w:color w:val="000000" w:themeColor="text1"/>
          <w:sz w:val="21"/>
          <w:szCs w:val="21"/>
        </w:rPr>
        <w:t>езпечує захист систем вентиляції від надмірного тиску повітряної ударної хвилі, яка відповідає проектному класу згідно Додатк</w:t>
      </w:r>
      <w:r w:rsidR="00E171B6" w:rsidRPr="00CA7C54">
        <w:rPr>
          <w:color w:val="000000" w:themeColor="text1"/>
          <w:sz w:val="21"/>
          <w:szCs w:val="21"/>
        </w:rPr>
        <w:t>а</w:t>
      </w:r>
      <w:r w:rsidRPr="00CA7C54">
        <w:rPr>
          <w:color w:val="000000" w:themeColor="text1"/>
          <w:sz w:val="21"/>
          <w:szCs w:val="21"/>
        </w:rPr>
        <w:t xml:space="preserve"> А.</w:t>
      </w:r>
    </w:p>
    <w:p w14:paraId="349A1D11"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Противибуховi пристрої слід розміщувати у межах захисних споруд (споруд подвійного призначення) із забезпеченням вільного доступу до них для здійснення огляду, заміни або ремонту.</w:t>
      </w:r>
    </w:p>
    <w:p w14:paraId="1759DD2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Конструкція противибухових пристроїв повинна забезпечувати працездатність за тих кліматичних умов, в яких пристрій використовується. Можливість застосування такого пристрою при несприятливих кліматичних умовах має бути документально підтверджена виробником.</w:t>
      </w:r>
    </w:p>
    <w:p w14:paraId="6D871CE7"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Конструкція противибухових пристроїв та місця їх установки мають забезпечувати експлуатацію зазначених пристроїв в усі пори року.</w:t>
      </w:r>
    </w:p>
    <w:p w14:paraId="736CB909"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11.2.1.20</w:t>
      </w:r>
      <w:r w:rsidRPr="00CA7C54">
        <w:rPr>
          <w:color w:val="000000" w:themeColor="text1"/>
          <w:sz w:val="21"/>
          <w:szCs w:val="21"/>
        </w:rPr>
        <w:t xml:space="preserve"> У системах вентиляції сховищ слід передбачати герметичні клапани, розраховані на тиск не менше</w:t>
      </w:r>
      <w:r w:rsidR="00E171B6" w:rsidRPr="00CA7C54">
        <w:rPr>
          <w:color w:val="000000" w:themeColor="text1"/>
          <w:sz w:val="21"/>
          <w:szCs w:val="21"/>
        </w:rPr>
        <w:t xml:space="preserve"> ніж</w:t>
      </w:r>
      <w:r w:rsidRPr="00CA7C54">
        <w:rPr>
          <w:color w:val="000000" w:themeColor="text1"/>
          <w:sz w:val="21"/>
          <w:szCs w:val="21"/>
        </w:rPr>
        <w:t xml:space="preserve"> 0,1 МПа (1 кгс/см²), з ручним приводом при габариті до 600 мм включно та з електроприводом при наявності ДЕС або габаритом понад 600 мм.</w:t>
      </w:r>
    </w:p>
    <w:p w14:paraId="2D03767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сховищах для огляду та очищення герметичних клапанів, встановлених всередині повітроводів, що проходять через зону герметизації, зі сторони внутрішніх приміщень слід передбачати люк-вставку, що встановлюється після герметичного клапану (за напрямом руху повітря).</w:t>
      </w:r>
    </w:p>
    <w:p w14:paraId="78E5B316"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відбору проб повітря та зняття інших показників при проведення пуско-налагоджувальних робіт та випробуванні герметичності системи на повітроводах вентиляції</w:t>
      </w:r>
      <w:r w:rsidR="00E171B6" w:rsidRPr="00CA7C54">
        <w:rPr>
          <w:color w:val="000000" w:themeColor="text1"/>
          <w:sz w:val="21"/>
          <w:szCs w:val="21"/>
        </w:rPr>
        <w:t>,</w:t>
      </w:r>
      <w:r w:rsidRPr="00CA7C54">
        <w:rPr>
          <w:color w:val="000000" w:themeColor="text1"/>
          <w:sz w:val="21"/>
          <w:szCs w:val="21"/>
        </w:rPr>
        <w:t xml:space="preserve"> до та після фільтрів, гермоклапанів, вентиляторів слід передбачати зварні штуцери із заглушками на різьбі.</w:t>
      </w:r>
    </w:p>
    <w:p w14:paraId="1F1441BD"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11.2.1.21</w:t>
      </w:r>
      <w:r w:rsidRPr="00CA7C54">
        <w:rPr>
          <w:color w:val="000000" w:themeColor="text1"/>
          <w:sz w:val="21"/>
          <w:szCs w:val="21"/>
        </w:rPr>
        <w:t xml:space="preserve"> Системи вентиляції сховищ та СПП слід передбачати вентилятори з електроручним приводом.</w:t>
      </w:r>
    </w:p>
    <w:p w14:paraId="672AB51E"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Продуктивність та напір електроручних вентиляторів мають відповідати розрахунковим параметрам вентиляції.</w:t>
      </w:r>
    </w:p>
    <w:p w14:paraId="6C732859"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У режимі чистої вентиляції сховищ та СПП слід передбачати використання електроручних вентиляторів, які входять у систему фільтровентиляції (режим ІІ).</w:t>
      </w:r>
    </w:p>
    <w:p w14:paraId="18DFC01E"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недостатній продуктивності цих вентиляторів для І-го режиму необхідно передбачати встановлення допоміжних електроручних вентиляторів.</w:t>
      </w:r>
    </w:p>
    <w:p w14:paraId="5AD9F405"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На кожному електроручному вентиляторі (у сховищах та СПП без захищеного автономного джерела електропостачання, ДЕС) слід передбачати встановлення зворотного клапану – показника витрати повітря. При цьому аеродинамічний опір системи чистої вентиляції не повинен перевищувати статичного повного напору, який розвивається вентиляторами. Зазначене допускається забезпечувати за рахунок збільшення числа паралельно працюючих противибухових пристроїв та протипилових фільтрів.</w:t>
      </w:r>
    </w:p>
    <w:p w14:paraId="76735BB3"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визначенні кількості електроручних вентиляторів, що встановлюються паралельно, слід вводити коригувальний коефіцієнт на їх продуктивність, який дорівнює 0,8.</w:t>
      </w:r>
    </w:p>
    <w:p w14:paraId="4291D3D8" w14:textId="77777777" w:rsidR="003C4E04" w:rsidRPr="00CA7C54" w:rsidRDefault="001E748C" w:rsidP="00E171B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Фільтровентиляційне обладнання, зокрема фільтровентиляційні комплекти, мають встановлюються в окремому приміщенні – фільтровентиляційній камері.</w:t>
      </w:r>
    </w:p>
    <w:p w14:paraId="6F78DC02" w14:textId="2A579DB8" w:rsidR="003C4E04" w:rsidRPr="00CA7C54" w:rsidRDefault="001E748C" w:rsidP="00E171B6">
      <w:pP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 xml:space="preserve">Основні технічні характеристики типових електроручних вентиляторів наведено у таблиці </w:t>
      </w:r>
      <w:r w:rsidR="000F1A40" w:rsidRPr="00CA7C54">
        <w:rPr>
          <w:color w:val="000000" w:themeColor="text1"/>
          <w:sz w:val="21"/>
          <w:szCs w:val="21"/>
          <w:highlight w:val="white"/>
        </w:rPr>
        <w:t>Е</w:t>
      </w:r>
      <w:r w:rsidRPr="00CA7C54">
        <w:rPr>
          <w:color w:val="000000" w:themeColor="text1"/>
          <w:sz w:val="21"/>
          <w:szCs w:val="21"/>
          <w:highlight w:val="white"/>
        </w:rPr>
        <w:t>.2 Додатк</w:t>
      </w:r>
      <w:r w:rsidR="00EF4D76" w:rsidRPr="00CA7C54">
        <w:rPr>
          <w:color w:val="000000" w:themeColor="text1"/>
          <w:sz w:val="21"/>
          <w:szCs w:val="21"/>
          <w:highlight w:val="white"/>
        </w:rPr>
        <w:t>а</w:t>
      </w:r>
      <w:r w:rsidR="00607C5F">
        <w:rPr>
          <w:color w:val="000000" w:themeColor="text1"/>
          <w:sz w:val="21"/>
          <w:szCs w:val="21"/>
          <w:highlight w:val="white"/>
        </w:rPr>
        <w:t xml:space="preserve"> </w:t>
      </w:r>
      <w:r w:rsidR="000F1A40" w:rsidRPr="00CA7C54">
        <w:rPr>
          <w:color w:val="000000" w:themeColor="text1"/>
          <w:sz w:val="21"/>
          <w:szCs w:val="21"/>
          <w:highlight w:val="white"/>
        </w:rPr>
        <w:t>Е</w:t>
      </w:r>
      <w:r w:rsidRPr="00CA7C54">
        <w:rPr>
          <w:color w:val="000000" w:themeColor="text1"/>
          <w:sz w:val="21"/>
          <w:szCs w:val="21"/>
          <w:highlight w:val="white"/>
        </w:rPr>
        <w:t xml:space="preserve"> цих </w:t>
      </w:r>
      <w:r w:rsidR="00EF4D76" w:rsidRPr="00CA7C54">
        <w:rPr>
          <w:color w:val="000000" w:themeColor="text1"/>
          <w:sz w:val="21"/>
          <w:szCs w:val="21"/>
          <w:highlight w:val="white"/>
        </w:rPr>
        <w:t>н</w:t>
      </w:r>
      <w:r w:rsidRPr="00CA7C54">
        <w:rPr>
          <w:color w:val="000000" w:themeColor="text1"/>
          <w:sz w:val="21"/>
          <w:szCs w:val="21"/>
          <w:highlight w:val="white"/>
        </w:rPr>
        <w:t>орм. Допускається застосування інших електроручних вентиляторів (аналогів) із забезпеченням необхідних технічних параметрів.</w:t>
      </w:r>
    </w:p>
    <w:p w14:paraId="0A9D3111"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11.2.1.22</w:t>
      </w:r>
      <w:r w:rsidRPr="00CA7C54">
        <w:rPr>
          <w:color w:val="000000" w:themeColor="text1"/>
          <w:sz w:val="21"/>
          <w:szCs w:val="21"/>
        </w:rPr>
        <w:t xml:space="preserve"> Протипилові фільтри для систем вентиляції з електроручним приводом вентиляторів встановлюються в окремих приміщеннях або за захисним екраном, який виключає можливість прямого опромінення персоналу.</w:t>
      </w:r>
    </w:p>
    <w:p w14:paraId="4B7001DD"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Товщина захисних/шумоізоляційних екранів (стін) вентиляційних (фільтро-вентиляційних), приміщень, суміжних з внутрішніми приміщеннями захисних споруд (споруд подвійного призначення) має бути не менше величин, передбачених у таблиці 11.7</w:t>
      </w:r>
    </w:p>
    <w:p w14:paraId="762336BD" w14:textId="77777777" w:rsidR="003C4E04" w:rsidRPr="00CA7C54" w:rsidRDefault="001E748C" w:rsidP="00E171B6">
      <w:pPr>
        <w:pBdr>
          <w:top w:val="nil"/>
          <w:left w:val="nil"/>
          <w:bottom w:val="nil"/>
          <w:right w:val="nil"/>
          <w:between w:val="nil"/>
        </w:pBdr>
        <w:spacing w:before="0" w:line="288" w:lineRule="auto"/>
        <w:ind w:right="142"/>
        <w:contextualSpacing/>
        <w:rPr>
          <w:rFonts w:eastAsia="Times New Roman"/>
          <w:color w:val="000000" w:themeColor="text1"/>
          <w:sz w:val="21"/>
          <w:szCs w:val="21"/>
        </w:rPr>
      </w:pPr>
      <w:r w:rsidRPr="00CA7C54">
        <w:rPr>
          <w:b/>
          <w:color w:val="000000" w:themeColor="text1"/>
          <w:sz w:val="21"/>
          <w:szCs w:val="21"/>
        </w:rPr>
        <w:t>Таблиця 11.7</w:t>
      </w:r>
      <w:r w:rsidRPr="00CA7C54">
        <w:rPr>
          <w:color w:val="000000" w:themeColor="text1"/>
          <w:sz w:val="21"/>
          <w:szCs w:val="21"/>
        </w:rPr>
        <w:t xml:space="preserve"> – Товщина захисних/шумоізоляційних екранів (стін)</w:t>
      </w:r>
    </w:p>
    <w:tbl>
      <w:tblPr>
        <w:tblStyle w:val="afffffffffffffffffffffffffffffff6"/>
        <w:tblW w:w="9634" w:type="dxa"/>
        <w:tblLayout w:type="fixed"/>
        <w:tblLook w:val="0400" w:firstRow="0" w:lastRow="0" w:firstColumn="0" w:lastColumn="0" w:noHBand="0" w:noVBand="1"/>
      </w:tblPr>
      <w:tblGrid>
        <w:gridCol w:w="3542"/>
        <w:gridCol w:w="818"/>
        <w:gridCol w:w="909"/>
        <w:gridCol w:w="1010"/>
        <w:gridCol w:w="1113"/>
        <w:gridCol w:w="1108"/>
        <w:gridCol w:w="1134"/>
      </w:tblGrid>
      <w:tr w:rsidR="00CA7C54" w:rsidRPr="00CA7C54" w14:paraId="00E3CF53" w14:textId="77777777" w:rsidTr="00293FA8">
        <w:trPr>
          <w:tblHeader/>
        </w:trPr>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F7D5AA"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Розрахункова подача повітря, 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/год</w:t>
            </w:r>
          </w:p>
        </w:tc>
        <w:tc>
          <w:tcPr>
            <w:tcW w:w="8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CCAEE8"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до 300</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5EAD15"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300-600</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22DE4F"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600-1000</w:t>
            </w:r>
          </w:p>
        </w:tc>
        <w:tc>
          <w:tcPr>
            <w:tcW w:w="11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B77B2D"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1000-5000</w:t>
            </w:r>
          </w:p>
        </w:tc>
        <w:tc>
          <w:tcPr>
            <w:tcW w:w="11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D5E90"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5000-10000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21A5D6"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більше 10000</w:t>
            </w:r>
          </w:p>
        </w:tc>
      </w:tr>
      <w:tr w:rsidR="003C4E04" w:rsidRPr="00CA7C54" w14:paraId="6ECB934E" w14:textId="77777777" w:rsidTr="00293FA8">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9548B1" w14:textId="77777777" w:rsidR="003C4E04" w:rsidRPr="00CA7C54" w:rsidRDefault="001E748C" w:rsidP="00E171B6">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Товщина стін (екранів), мм:</w:t>
            </w:r>
          </w:p>
          <w:p w14:paraId="00128838" w14:textId="77777777" w:rsidR="003C4E04" w:rsidRPr="00CA7C54" w:rsidRDefault="001E748C" w:rsidP="00E171B6">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залізобетонних (бетонних)</w:t>
            </w:r>
          </w:p>
          <w:p w14:paraId="62008A15" w14:textId="77777777" w:rsidR="003C4E04" w:rsidRPr="00CA7C54" w:rsidRDefault="001E748C" w:rsidP="00E171B6">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армоцегляних</w:t>
            </w:r>
          </w:p>
        </w:tc>
        <w:tc>
          <w:tcPr>
            <w:tcW w:w="8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BE3B3F"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21F3AB6B"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w:t>
            </w:r>
          </w:p>
          <w:p w14:paraId="1C03DEF2"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8CB0CB"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3F675581"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w:t>
            </w:r>
          </w:p>
          <w:p w14:paraId="7A481611"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39312"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64ADEDFB"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p w14:paraId="7F8FAB38"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11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A878E8"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6B3335F8"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w:t>
            </w:r>
          </w:p>
          <w:p w14:paraId="26AA5532"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tc>
        <w:tc>
          <w:tcPr>
            <w:tcW w:w="11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931A6E"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7969E1CC"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w:t>
            </w:r>
          </w:p>
          <w:p w14:paraId="6E08486A"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CF0DB5"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784DB4B0"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p w14:paraId="5819BF45"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400</w:t>
            </w:r>
          </w:p>
        </w:tc>
      </w:tr>
    </w:tbl>
    <w:p w14:paraId="12DEFDFE" w14:textId="77777777" w:rsidR="003C4E04" w:rsidRPr="00CA7C54" w:rsidRDefault="003C4E04" w:rsidP="00E171B6">
      <w:pPr>
        <w:spacing w:before="0" w:line="288" w:lineRule="auto"/>
        <w:contextualSpacing/>
        <w:rPr>
          <w:color w:val="000000" w:themeColor="text1"/>
          <w:sz w:val="21"/>
          <w:szCs w:val="21"/>
        </w:rPr>
      </w:pPr>
    </w:p>
    <w:p w14:paraId="0FC2A70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11.2.1.23</w:t>
      </w:r>
      <w:r w:rsidRPr="00CA7C54">
        <w:rPr>
          <w:color w:val="000000" w:themeColor="text1"/>
          <w:sz w:val="21"/>
          <w:szCs w:val="21"/>
        </w:rPr>
        <w:t xml:space="preserve"> Очищення зовнішнього повітря від пилу при режимі чистої вентиляції та фільтровентиляції слід передбачати за одноступінчастою схемою – у здвоєних (розташованих послідовно) фільтрах грубого очищення.</w:t>
      </w:r>
    </w:p>
    <w:p w14:paraId="398F9D40"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випадках застосування передфiльтрiв очищення зовнішнього повітря від пилу слід передбачати за двоступінчастою схемою. Як перший ступінь слід використовувати фільтри грубого очищення, зокрема – масляні, та інші фільтри з коефіцієнтом очищення не менше</w:t>
      </w:r>
      <w:r w:rsidR="00EF4D76" w:rsidRPr="00CA7C54">
        <w:rPr>
          <w:color w:val="000000" w:themeColor="text1"/>
          <w:sz w:val="21"/>
          <w:szCs w:val="21"/>
        </w:rPr>
        <w:t xml:space="preserve"> ніж</w:t>
      </w:r>
      <w:r w:rsidRPr="00CA7C54">
        <w:rPr>
          <w:color w:val="000000" w:themeColor="text1"/>
          <w:sz w:val="21"/>
          <w:szCs w:val="21"/>
        </w:rPr>
        <w:t xml:space="preserve"> 0,8. Якщо у період мирного часу очищення зовнішнього повітря від пилу не потрібне, слід передбачати можливість демонтажу фільтрів грубого очищення (їх окремих елементів), а за наявності передфiльтрiв – обвідну лінію.</w:t>
      </w:r>
    </w:p>
    <w:p w14:paraId="55907FE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Очищення зовнішнього повітря від газоподібних та аерозольних засобів масового ураження слід проводити</w:t>
      </w:r>
      <w:r w:rsidR="00270A0B">
        <w:rPr>
          <w:color w:val="000000" w:themeColor="text1"/>
          <w:sz w:val="21"/>
          <w:szCs w:val="21"/>
        </w:rPr>
        <w:t>:</w:t>
      </w:r>
    </w:p>
    <w:p w14:paraId="2388CBF1" w14:textId="77777777" w:rsidR="003C4E04" w:rsidRPr="00CA7C54" w:rsidRDefault="00E417D3"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застосуванні промислових вентиляторів з електроприводом – у фільтрах-поглиначах з витратою повітря не менше ніж 300 м</w:t>
      </w:r>
      <w:r w:rsidR="001E748C" w:rsidRPr="00CA7C54">
        <w:rPr>
          <w:color w:val="000000" w:themeColor="text1"/>
          <w:sz w:val="21"/>
          <w:szCs w:val="21"/>
          <w:vertAlign w:val="superscript"/>
        </w:rPr>
        <w:t>3</w:t>
      </w:r>
      <w:r w:rsidR="001E748C" w:rsidRPr="00CA7C54">
        <w:rPr>
          <w:color w:val="000000" w:themeColor="text1"/>
          <w:sz w:val="21"/>
          <w:szCs w:val="21"/>
        </w:rPr>
        <w:t>/год;</w:t>
      </w:r>
    </w:p>
    <w:p w14:paraId="5204A767" w14:textId="77777777" w:rsidR="003C4E04" w:rsidRPr="00CA7C54" w:rsidRDefault="00E417D3"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використанні електроручних вентиляторів – у фільтрах-поглиначах.</w:t>
      </w:r>
    </w:p>
    <w:p w14:paraId="179705DE"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Регенерацію внутрішнього повітря сховищ та СПП при III режимі слід передбачати в регенеративних установках. Регенеративна установка може монтуватися самостійно або у складі фільтровентиляційного комплекту.</w:t>
      </w:r>
    </w:p>
    <w:p w14:paraId="17C8DB42"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Очищення від окису вуглецю зовнішнього повітря, яке подається у сховище за режимом регенерації для створення підпору, слід передбачати у спеціальних фільтрах.</w:t>
      </w:r>
    </w:p>
    <w:p w14:paraId="0F904301"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Підготовка повітря (підігрів чи охолодження) до та після спеціальних фільтрів, передбачення для цього додаткового спеціального обладнання, встановлення фільтрів та </w:t>
      </w:r>
      <w:r w:rsidRPr="00CA7C54">
        <w:rPr>
          <w:color w:val="000000" w:themeColor="text1"/>
          <w:sz w:val="21"/>
          <w:szCs w:val="21"/>
        </w:rPr>
        <w:lastRenderedPageBreak/>
        <w:t>відповідного обладнання в об’ємі захисної споруди (споруди подвійного призначення) передбачається відповідно до вимог (рекомендацій) технічної документації на них. </w:t>
      </w:r>
    </w:p>
    <w:p w14:paraId="2C67308A"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11.2.1.24</w:t>
      </w:r>
      <w:r w:rsidRPr="00CA7C54">
        <w:rPr>
          <w:color w:val="000000" w:themeColor="text1"/>
          <w:sz w:val="21"/>
          <w:szCs w:val="21"/>
        </w:rPr>
        <w:t xml:space="preserve"> У системі чистої вентиляції допускається передбачати встановлення калориферів із запірною арматурою для підігріву зовнішнього повітря у мирний час. У сховищах закладів охорони здоров’я рекомендується передбачати підігрів повітря.</w:t>
      </w:r>
    </w:p>
    <w:p w14:paraId="0DBDFA4C"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електроручних вентиляторах калорифери повинн</w:t>
      </w:r>
      <w:r w:rsidR="0013003D" w:rsidRPr="00CA7C54">
        <w:rPr>
          <w:color w:val="000000" w:themeColor="text1"/>
          <w:sz w:val="21"/>
          <w:szCs w:val="21"/>
        </w:rPr>
        <w:t>о</w:t>
      </w:r>
      <w:r w:rsidRPr="00CA7C54">
        <w:rPr>
          <w:color w:val="000000" w:themeColor="text1"/>
          <w:sz w:val="21"/>
          <w:szCs w:val="21"/>
        </w:rPr>
        <w:t xml:space="preserve"> встановлювати на обвідній лінії.</w:t>
      </w:r>
    </w:p>
    <w:p w14:paraId="4C37F91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11.2.1.25</w:t>
      </w:r>
      <w:r w:rsidRPr="00CA7C54">
        <w:rPr>
          <w:color w:val="000000" w:themeColor="text1"/>
          <w:sz w:val="21"/>
          <w:szCs w:val="21"/>
        </w:rPr>
        <w:t xml:space="preserve"> Припливна система вентиляції сховища та СПП повинна забезпечувати подавання повітря у приміщення для осіб, які підлягають укриттю пропорційно їх кількості i у допоміжні приміщення – з розрахунку асиміляції тепло- та вологонадлишкiв та розбавлення шкідливих речовин, що виділяються.</w:t>
      </w:r>
    </w:p>
    <w:p w14:paraId="1A5CE6FE"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При фільтровентиляції та регенерації слід передбачати рециркуляцію повітря в об’ємі, який забезпечує збереження у системі кількості повітря, яке подається при чистій вентиляції, - для сховищ та СПП з електровентиляторами та збереження у системі не менше </w:t>
      </w:r>
      <w:r w:rsidR="0013003D" w:rsidRPr="00CA7C54">
        <w:rPr>
          <w:color w:val="000000" w:themeColor="text1"/>
          <w:sz w:val="21"/>
          <w:szCs w:val="21"/>
        </w:rPr>
        <w:t xml:space="preserve"> ніж </w:t>
      </w:r>
      <w:r w:rsidRPr="00CA7C54">
        <w:rPr>
          <w:color w:val="000000" w:themeColor="text1"/>
          <w:sz w:val="21"/>
          <w:szCs w:val="21"/>
        </w:rPr>
        <w:t>70 % кількості повітря, яке подається при чистій вентиляції, - для сховищ та СПП з електроручними вентиляторами. </w:t>
      </w:r>
    </w:p>
    <w:p w14:paraId="791651B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сховищах та СПП місткістю більше</w:t>
      </w:r>
      <w:r w:rsidR="0013003D" w:rsidRPr="00CA7C54">
        <w:rPr>
          <w:color w:val="000000" w:themeColor="text1"/>
          <w:sz w:val="21"/>
          <w:szCs w:val="21"/>
        </w:rPr>
        <w:t xml:space="preserve"> ніж</w:t>
      </w:r>
      <w:r w:rsidRPr="00CA7C54">
        <w:rPr>
          <w:color w:val="000000" w:themeColor="text1"/>
          <w:sz w:val="21"/>
          <w:szCs w:val="21"/>
        </w:rPr>
        <w:t xml:space="preserve"> 150 осіб подавання повітря у приміщення методом перетікання не допускається.</w:t>
      </w:r>
    </w:p>
    <w:p w14:paraId="684B046B"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наявності у складі сховища чи СПП станції перекачування дренажної води у ній слід передбачати витяжну систему вентиляції, що працює при продуванні тамбура насосної за рахунок підпору у приміщенні споруди, який дорівнює –  50 Па (5 кгс/м</w:t>
      </w:r>
      <w:r w:rsidRPr="00CA7C54">
        <w:rPr>
          <w:color w:val="000000" w:themeColor="text1"/>
          <w:sz w:val="21"/>
          <w:szCs w:val="21"/>
          <w:vertAlign w:val="superscript"/>
        </w:rPr>
        <w:t>2</w:t>
      </w:r>
      <w:r w:rsidRPr="00CA7C54">
        <w:rPr>
          <w:color w:val="000000" w:themeColor="text1"/>
          <w:sz w:val="21"/>
          <w:szCs w:val="21"/>
        </w:rPr>
        <w:t>).</w:t>
      </w:r>
    </w:p>
    <w:p w14:paraId="20F57CC7"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наявності у захисній споруді одного загального приміщення для осіб, які підлягають укриттю, повітря для рециркуляції допускається забирати безпосередньо із зазначеного приміщення.</w:t>
      </w:r>
    </w:p>
    <w:p w14:paraId="04C09418"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розміщенні осіб, які підлягають укриттю, у двох та більше приміщеннях вентиляцію і забір повітря для рециркуляції слід передбачати з кожного приміщення, використовуючи для рециркуляції повітроводи витяжної системи.</w:t>
      </w:r>
    </w:p>
    <w:p w14:paraId="6AFE203A"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pacing w:val="-4"/>
          <w:sz w:val="21"/>
          <w:szCs w:val="21"/>
        </w:rPr>
      </w:pPr>
      <w:r w:rsidRPr="00CA7C54">
        <w:rPr>
          <w:color w:val="000000" w:themeColor="text1"/>
          <w:sz w:val="21"/>
          <w:szCs w:val="21"/>
        </w:rPr>
        <w:t xml:space="preserve">У приміщенні для зберігання продуктів харчування та у приміщенні для балонів системи </w:t>
      </w:r>
      <w:r w:rsidRPr="00CA7C54">
        <w:rPr>
          <w:color w:val="000000" w:themeColor="text1"/>
          <w:spacing w:val="-4"/>
          <w:sz w:val="21"/>
          <w:szCs w:val="21"/>
        </w:rPr>
        <w:t>регенерації слід передбачати витяжну вентиляцію з розрахунку двократного повітрообміну за 1 год.</w:t>
      </w:r>
    </w:p>
    <w:p w14:paraId="32274429"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Приплив повітря у приміщення для зберігання продуктів харчування, електрощитову та балонну слід здійснювати методом перетікання з приміщення для осіб, які підлягають укриттю, із встановленням на припливе у балонну герметичного клапана з ручним приводом.</w:t>
      </w:r>
    </w:p>
    <w:p w14:paraId="276EB2BC"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Видалення повітря зі сховища слід передбачати через санітарні вузли, приміщення ДЕС та безпосередньо з приміщення для осіб, які підлягають укриттю.</w:t>
      </w:r>
    </w:p>
    <w:p w14:paraId="5CCBA7F8"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облаштуванні вентиляції додатково слід передбачати витяжку з фекального приямку, санвузлів. Витрату повітря у I-му режимі вентиляції слід приймати 100 м</w:t>
      </w:r>
      <w:r w:rsidRPr="00CA7C54">
        <w:rPr>
          <w:color w:val="000000" w:themeColor="text1"/>
          <w:sz w:val="21"/>
          <w:szCs w:val="21"/>
          <w:vertAlign w:val="superscript"/>
        </w:rPr>
        <w:t>3</w:t>
      </w:r>
      <w:r w:rsidRPr="00CA7C54">
        <w:rPr>
          <w:color w:val="000000" w:themeColor="text1"/>
          <w:sz w:val="21"/>
          <w:szCs w:val="21"/>
        </w:rPr>
        <w:t>/год від кожного унітазу та 50 м</w:t>
      </w:r>
      <w:r w:rsidRPr="00CA7C54">
        <w:rPr>
          <w:color w:val="000000" w:themeColor="text1"/>
          <w:sz w:val="21"/>
          <w:szCs w:val="21"/>
          <w:vertAlign w:val="superscript"/>
        </w:rPr>
        <w:t>3</w:t>
      </w:r>
      <w:r w:rsidRPr="00CA7C54">
        <w:rPr>
          <w:color w:val="000000" w:themeColor="text1"/>
          <w:sz w:val="21"/>
          <w:szCs w:val="21"/>
        </w:rPr>
        <w:t>/год від кожного пісуара.</w:t>
      </w:r>
    </w:p>
    <w:p w14:paraId="0BF7AE7D"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ІІ-го режиму вентиляції допускається знижувати вказану норму витрати повітря від унітаза до 25 м</w:t>
      </w:r>
      <w:r w:rsidRPr="00CA7C54">
        <w:rPr>
          <w:color w:val="000000" w:themeColor="text1"/>
          <w:sz w:val="21"/>
          <w:szCs w:val="21"/>
          <w:vertAlign w:val="superscript"/>
        </w:rPr>
        <w:t>3</w:t>
      </w:r>
      <w:r w:rsidRPr="00CA7C54">
        <w:rPr>
          <w:color w:val="000000" w:themeColor="text1"/>
          <w:sz w:val="21"/>
          <w:szCs w:val="21"/>
        </w:rPr>
        <w:t>/год.</w:t>
      </w:r>
    </w:p>
    <w:p w14:paraId="37ED9946"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Витяжні повітропроводи з окремих приміщень сховища, якщо це не суперечить вимогам</w:t>
      </w:r>
      <w:r w:rsidRPr="00CA7C54">
        <w:rPr>
          <w:color w:val="000000" w:themeColor="text1"/>
          <w:sz w:val="21"/>
          <w:szCs w:val="21"/>
        </w:rPr>
        <w:br/>
        <w:t>ДБН В.2.5-67, рекомендується об’єднувати.</w:t>
      </w:r>
    </w:p>
    <w:p w14:paraId="311DDE2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11.2.1.26</w:t>
      </w:r>
      <w:r w:rsidRPr="00CA7C54">
        <w:rPr>
          <w:color w:val="000000" w:themeColor="text1"/>
          <w:sz w:val="21"/>
          <w:szCs w:val="21"/>
        </w:rPr>
        <w:t xml:space="preserve"> Для забезпечення окремих виходів зі сховища чи СПП на поверхню та входу назад при режимі фільтровентиляції слід передбачати вентиляцію тамбура або тамбур-шлюз</w:t>
      </w:r>
      <w:r w:rsidR="0013003D" w:rsidRPr="00CA7C54">
        <w:rPr>
          <w:color w:val="000000" w:themeColor="text1"/>
          <w:sz w:val="21"/>
          <w:szCs w:val="21"/>
        </w:rPr>
        <w:t>у</w:t>
      </w:r>
      <w:r w:rsidRPr="00CA7C54">
        <w:rPr>
          <w:color w:val="000000" w:themeColor="text1"/>
          <w:sz w:val="21"/>
          <w:szCs w:val="21"/>
        </w:rPr>
        <w:t xml:space="preserve"> одного з входів. При цьому кількість повітря, що подається в цей тамбур за 1 год, повинна складати не менше 25-кратного об’єму тамбура при тривалості вентиляції до 6 хв. Аналогічні вимоги ставляться до вентиляції тамбура станції перекачування дренажних вод. Вентиляція тамбура (тамбур-шлюз</w:t>
      </w:r>
      <w:r w:rsidR="00881435" w:rsidRPr="00CA7C54">
        <w:rPr>
          <w:color w:val="000000" w:themeColor="text1"/>
          <w:sz w:val="21"/>
          <w:szCs w:val="21"/>
        </w:rPr>
        <w:t>у</w:t>
      </w:r>
      <w:r w:rsidRPr="00CA7C54">
        <w:rPr>
          <w:color w:val="000000" w:themeColor="text1"/>
          <w:sz w:val="21"/>
          <w:szCs w:val="21"/>
        </w:rPr>
        <w:t>) повинна проводитись методом перетікання за рахунок підпору у сховище/СПП за допомогою клапанів надмірного тиску, встановлення яких має передбачатися на внутрішній та зовнішній стінах тамбура (тамбур-шлюз</w:t>
      </w:r>
      <w:r w:rsidR="00881435" w:rsidRPr="00CA7C54">
        <w:rPr>
          <w:color w:val="000000" w:themeColor="text1"/>
          <w:sz w:val="21"/>
          <w:szCs w:val="21"/>
        </w:rPr>
        <w:t>у</w:t>
      </w:r>
      <w:r w:rsidRPr="00CA7C54">
        <w:rPr>
          <w:color w:val="000000" w:themeColor="text1"/>
          <w:sz w:val="21"/>
          <w:szCs w:val="21"/>
        </w:rPr>
        <w:t>), із встановленням на зовнішньому клапані надмірного тиску (КНТ) противибухового пристрою або безпосередньо від системи фільтровентиляції. При цьому потужність вентиляційної системи режиму фільтровентиляції збільшувати не слід.</w:t>
      </w:r>
    </w:p>
    <w:p w14:paraId="61E17D0D"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Для збереження величини експлуатаційного підпору на період провітрювання тамбура (тамбур-шлюз</w:t>
      </w:r>
      <w:r w:rsidR="00881435" w:rsidRPr="00CA7C54">
        <w:rPr>
          <w:color w:val="000000" w:themeColor="text1"/>
          <w:sz w:val="21"/>
          <w:szCs w:val="21"/>
        </w:rPr>
        <w:t>у</w:t>
      </w:r>
      <w:r w:rsidRPr="00CA7C54">
        <w:rPr>
          <w:color w:val="000000" w:themeColor="text1"/>
          <w:sz w:val="21"/>
          <w:szCs w:val="21"/>
        </w:rPr>
        <w:t>) рекомендується за необхідності передбачати можливість відключення витяжних систем вентиляції.</w:t>
      </w:r>
    </w:p>
    <w:p w14:paraId="22873C9B"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11.2.1.27</w:t>
      </w:r>
      <w:r w:rsidRPr="00CA7C54">
        <w:rPr>
          <w:color w:val="000000" w:themeColor="text1"/>
          <w:sz w:val="21"/>
          <w:szCs w:val="21"/>
        </w:rPr>
        <w:t xml:space="preserve"> Для забезпечення експлуатаційного підпору 50 Па (5 кгс/м²) при II-му режимі кількість припливного повітря у сховище/СПП L</w:t>
      </w:r>
      <w:r w:rsidRPr="00CA7C54">
        <w:rPr>
          <w:color w:val="000000" w:themeColor="text1"/>
          <w:sz w:val="21"/>
          <w:szCs w:val="21"/>
          <w:vertAlign w:val="subscript"/>
        </w:rPr>
        <w:t xml:space="preserve">ІІ </w:t>
      </w:r>
      <w:r w:rsidRPr="00CA7C54">
        <w:rPr>
          <w:color w:val="000000" w:themeColor="text1"/>
          <w:sz w:val="21"/>
          <w:szCs w:val="21"/>
        </w:rPr>
        <w:t>(м</w:t>
      </w:r>
      <w:r w:rsidRPr="00CA7C54">
        <w:rPr>
          <w:color w:val="000000" w:themeColor="text1"/>
          <w:sz w:val="21"/>
          <w:szCs w:val="21"/>
          <w:vertAlign w:val="superscript"/>
        </w:rPr>
        <w:t>3</w:t>
      </w:r>
      <w:r w:rsidRPr="00CA7C54">
        <w:rPr>
          <w:color w:val="000000" w:themeColor="text1"/>
          <w:sz w:val="21"/>
          <w:szCs w:val="21"/>
        </w:rPr>
        <w:t xml:space="preserve"> /год) має бути не менше суми величин, що компенсують витікання крізь огороджувальні конструкції, витяжку з санвузлів, станції перекачки дренажних вод (за її наявності), а також перетікання повітря із приміщень сховища/СПП у приміщення ДЕС (при вентиляції ДЕС повітрям із основних приміщень сховища/СПП)</w:t>
      </w:r>
      <w:r w:rsidR="00270A0B">
        <w:rPr>
          <w:color w:val="000000" w:themeColor="text1"/>
          <w:sz w:val="21"/>
          <w:szCs w:val="21"/>
        </w:rPr>
        <w:t>.</w:t>
      </w:r>
    </w:p>
    <w:p w14:paraId="392CDAD4"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Кількість повітря </w:t>
      </w:r>
      <w:r w:rsidRPr="00CA7C54">
        <w:rPr>
          <w:i/>
          <w:color w:val="000000" w:themeColor="text1"/>
          <w:sz w:val="21"/>
          <w:szCs w:val="21"/>
        </w:rPr>
        <w:t>L</w:t>
      </w:r>
      <w:r w:rsidRPr="00CA7C54">
        <w:rPr>
          <w:i/>
          <w:color w:val="000000" w:themeColor="text1"/>
          <w:sz w:val="21"/>
          <w:szCs w:val="21"/>
          <w:vertAlign w:val="subscript"/>
        </w:rPr>
        <w:t>ІІ</w:t>
      </w:r>
      <w:r w:rsidRPr="00CA7C54">
        <w:rPr>
          <w:color w:val="000000" w:themeColor="text1"/>
          <w:sz w:val="21"/>
          <w:szCs w:val="21"/>
        </w:rPr>
        <w:t>, (м</w:t>
      </w:r>
      <w:r w:rsidRPr="00CA7C54">
        <w:rPr>
          <w:color w:val="000000" w:themeColor="text1"/>
          <w:sz w:val="21"/>
          <w:szCs w:val="21"/>
          <w:vertAlign w:val="superscript"/>
        </w:rPr>
        <w:t>3</w:t>
      </w:r>
      <w:r w:rsidRPr="00CA7C54">
        <w:rPr>
          <w:color w:val="000000" w:themeColor="text1"/>
          <w:sz w:val="21"/>
          <w:szCs w:val="21"/>
        </w:rPr>
        <w:t>/год), для забезпечення експлуатаційного підпору 50 Па (5 кгс/м</w:t>
      </w:r>
      <w:r w:rsidRPr="00CA7C54">
        <w:rPr>
          <w:color w:val="000000" w:themeColor="text1"/>
          <w:sz w:val="21"/>
          <w:szCs w:val="21"/>
          <w:vertAlign w:val="superscript"/>
        </w:rPr>
        <w:t>2</w:t>
      </w:r>
      <w:r w:rsidRPr="00CA7C54">
        <w:rPr>
          <w:color w:val="000000" w:themeColor="text1"/>
          <w:sz w:val="21"/>
          <w:szCs w:val="21"/>
        </w:rPr>
        <w:t>) при II-му режимі слід визначати за формулою:</w:t>
      </w:r>
    </w:p>
    <w:p w14:paraId="08D3CCAA" w14:textId="77777777" w:rsidR="003C4E04" w:rsidRPr="00CA7C54" w:rsidRDefault="001E748C" w:rsidP="003D7792">
      <w:pPr>
        <w:pBdr>
          <w:top w:val="nil"/>
          <w:left w:val="nil"/>
          <w:bottom w:val="nil"/>
          <w:right w:val="nil"/>
          <w:between w:val="nil"/>
        </w:pBdr>
        <w:spacing w:before="240" w:after="240" w:line="240" w:lineRule="auto"/>
        <w:ind w:left="2126" w:right="142" w:firstLine="568"/>
        <w:rPr>
          <w:rFonts w:ascii="Times New Roman" w:eastAsia="Times New Roman" w:hAnsi="Times New Roman" w:cs="Times New Roman"/>
          <w:color w:val="000000" w:themeColor="text1"/>
          <w:sz w:val="24"/>
          <w:szCs w:val="24"/>
        </w:rPr>
      </w:pPr>
      <w:r w:rsidRPr="003D7792">
        <w:rPr>
          <w:rFonts w:ascii="Times New Roman" w:hAnsi="Times New Roman" w:cs="Times New Roman"/>
          <w:i/>
          <w:color w:val="000000" w:themeColor="text1"/>
        </w:rPr>
        <w:t>L</w:t>
      </w:r>
      <w:r w:rsidRPr="003D7792">
        <w:rPr>
          <w:rFonts w:ascii="Times New Roman" w:hAnsi="Times New Roman" w:cs="Times New Roman"/>
          <w:i/>
          <w:color w:val="000000" w:themeColor="text1"/>
          <w:vertAlign w:val="subscript"/>
        </w:rPr>
        <w:t>ІІ</w:t>
      </w:r>
      <w:sdt>
        <w:sdtPr>
          <w:rPr>
            <w:rFonts w:ascii="Times New Roman" w:hAnsi="Times New Roman" w:cs="Times New Roman"/>
            <w:color w:val="000000" w:themeColor="text1"/>
          </w:rPr>
          <w:tag w:val="goog_rdk_4"/>
          <w:id w:val="-530026554"/>
        </w:sdtPr>
        <w:sdtEndPr/>
        <w:sdtContent>
          <w:r w:rsidRPr="003D7792">
            <w:rPr>
              <w:rFonts w:ascii="Times New Roman" w:eastAsia="Arial Unicode MS" w:hAnsi="Times New Roman" w:cs="Times New Roman"/>
              <w:i/>
              <w:color w:val="000000" w:themeColor="text1"/>
            </w:rPr>
            <w:t xml:space="preserve"> ≥ К</w:t>
          </w:r>
        </w:sdtContent>
      </w:sdt>
      <w:r w:rsidRPr="003D7792">
        <w:rPr>
          <w:rFonts w:ascii="Times New Roman" w:hAnsi="Times New Roman" w:cs="Times New Roman"/>
          <w:i/>
          <w:color w:val="000000" w:themeColor="text1"/>
          <w:vertAlign w:val="subscript"/>
        </w:rPr>
        <w:t>ІІ</w:t>
      </w:r>
      <w:r w:rsidRPr="003D7792">
        <w:rPr>
          <w:rFonts w:ascii="Times New Roman" w:hAnsi="Times New Roman" w:cs="Times New Roman"/>
          <w:i/>
          <w:color w:val="000000" w:themeColor="text1"/>
        </w:rPr>
        <w:t xml:space="preserve"> F</w:t>
      </w:r>
      <w:r w:rsidRPr="003D7792">
        <w:rPr>
          <w:rFonts w:ascii="Times New Roman" w:hAnsi="Times New Roman" w:cs="Times New Roman"/>
          <w:i/>
          <w:color w:val="000000" w:themeColor="text1"/>
          <w:vertAlign w:val="subscript"/>
        </w:rPr>
        <w:t>огор</w:t>
      </w:r>
      <w:r w:rsidRPr="003D7792">
        <w:rPr>
          <w:rFonts w:ascii="Times New Roman" w:hAnsi="Times New Roman" w:cs="Times New Roman"/>
          <w:i/>
          <w:color w:val="000000" w:themeColor="text1"/>
        </w:rPr>
        <w:t>+ L</w:t>
      </w:r>
      <w:r w:rsidRPr="003D7792">
        <w:rPr>
          <w:rFonts w:ascii="Times New Roman" w:hAnsi="Times New Roman" w:cs="Times New Roman"/>
          <w:i/>
          <w:color w:val="000000" w:themeColor="text1"/>
          <w:vertAlign w:val="subscript"/>
        </w:rPr>
        <w:t>св</w:t>
      </w:r>
      <w:r w:rsidRPr="003D7792">
        <w:rPr>
          <w:rFonts w:ascii="Times New Roman" w:hAnsi="Times New Roman" w:cs="Times New Roman"/>
          <w:i/>
          <w:color w:val="000000" w:themeColor="text1"/>
        </w:rPr>
        <w:t>+ L</w:t>
      </w:r>
      <w:r w:rsidRPr="003D7792">
        <w:rPr>
          <w:rFonts w:ascii="Times New Roman" w:hAnsi="Times New Roman" w:cs="Times New Roman"/>
          <w:i/>
          <w:color w:val="000000" w:themeColor="text1"/>
          <w:vertAlign w:val="subscript"/>
        </w:rPr>
        <w:t>сп</w:t>
      </w:r>
      <w:r w:rsidRPr="003D7792">
        <w:rPr>
          <w:rFonts w:ascii="Times New Roman" w:hAnsi="Times New Roman" w:cs="Times New Roman"/>
          <w:i/>
          <w:color w:val="000000" w:themeColor="text1"/>
        </w:rPr>
        <w:t>+ L</w:t>
      </w:r>
      <w:r w:rsidRPr="003D7792">
        <w:rPr>
          <w:rFonts w:ascii="Times New Roman" w:hAnsi="Times New Roman" w:cs="Times New Roman"/>
          <w:i/>
          <w:color w:val="000000" w:themeColor="text1"/>
          <w:vertAlign w:val="subscript"/>
        </w:rPr>
        <w:t>дес</w:t>
      </w:r>
      <w:r w:rsidRPr="003D7792">
        <w:rPr>
          <w:rFonts w:ascii="Times New Roman" w:hAnsi="Times New Roman" w:cs="Times New Roman"/>
          <w:i/>
          <w:color w:val="000000" w:themeColor="text1"/>
        </w:rPr>
        <w:t>+ L</w:t>
      </w:r>
      <w:r w:rsidRPr="003D7792">
        <w:rPr>
          <w:rFonts w:ascii="Times New Roman" w:hAnsi="Times New Roman" w:cs="Times New Roman"/>
          <w:i/>
          <w:color w:val="000000" w:themeColor="text1"/>
          <w:vertAlign w:val="subscript"/>
        </w:rPr>
        <w:t>сп</w:t>
      </w:r>
      <w:r w:rsidRPr="003D7792">
        <w:rPr>
          <w:rFonts w:ascii="Times New Roman" w:hAnsi="Times New Roman" w:cs="Times New Roman"/>
          <w:i/>
          <w:color w:val="000000" w:themeColor="text1"/>
        </w:rPr>
        <w:t>’</w:t>
      </w:r>
      <w:r w:rsidRPr="003D7792">
        <w:rPr>
          <w:rFonts w:ascii="Times New Roman" w:hAnsi="Times New Roman" w:cs="Times New Roman"/>
          <w:color w:val="000000" w:themeColor="text1"/>
        </w:rPr>
        <w:t>,</w:t>
      </w:r>
      <w:r w:rsidRPr="00CA7C54">
        <w:rPr>
          <w:color w:val="000000" w:themeColor="text1"/>
        </w:rPr>
        <w:t>                                           (11.4)</w:t>
      </w:r>
    </w:p>
    <w:p w14:paraId="405F3A79" w14:textId="77777777" w:rsidR="003C4E04" w:rsidRPr="00CA7C54" w:rsidRDefault="001E748C" w:rsidP="00881435">
      <w:pPr>
        <w:pBdr>
          <w:top w:val="nil"/>
          <w:left w:val="nil"/>
          <w:bottom w:val="nil"/>
          <w:right w:val="nil"/>
          <w:between w:val="nil"/>
        </w:pBdr>
        <w:spacing w:before="0" w:line="288" w:lineRule="auto"/>
        <w:ind w:right="142"/>
        <w:contextualSpacing/>
        <w:rPr>
          <w:color w:val="000000" w:themeColor="text1"/>
          <w:sz w:val="21"/>
          <w:szCs w:val="21"/>
        </w:rPr>
      </w:pPr>
      <w:r w:rsidRPr="00CA7C54">
        <w:rPr>
          <w:color w:val="000000" w:themeColor="text1"/>
          <w:sz w:val="21"/>
          <w:szCs w:val="21"/>
        </w:rPr>
        <w:t>де</w:t>
      </w:r>
    </w:p>
    <w:p w14:paraId="20530DF3"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К</w:t>
      </w:r>
      <w:r w:rsidRPr="003D7792">
        <w:rPr>
          <w:rFonts w:ascii="Times New Roman" w:hAnsi="Times New Roman" w:cs="Times New Roman"/>
          <w:i/>
          <w:color w:val="000000" w:themeColor="text1"/>
          <w:sz w:val="21"/>
          <w:szCs w:val="21"/>
          <w:vertAlign w:val="subscript"/>
        </w:rPr>
        <w:t>ІІ</w:t>
      </w:r>
      <w:r w:rsidRPr="00CA7C54">
        <w:rPr>
          <w:color w:val="000000" w:themeColor="text1"/>
          <w:sz w:val="21"/>
          <w:szCs w:val="21"/>
        </w:rPr>
        <w:t xml:space="preserve"> - питоме витікання (втрата) повітря, м³/год, через 1 м² огороджувальних конструкцій по контуру герметизації сховища і приймається:  для сховищ звичайної герметичності – 0,53 м</w:t>
      </w:r>
      <w:r w:rsidRPr="00CA7C54">
        <w:rPr>
          <w:color w:val="000000" w:themeColor="text1"/>
          <w:sz w:val="21"/>
          <w:szCs w:val="21"/>
          <w:vertAlign w:val="superscript"/>
        </w:rPr>
        <w:t>3</w:t>
      </w:r>
      <w:r w:rsidRPr="00CA7C54">
        <w:rPr>
          <w:color w:val="000000" w:themeColor="text1"/>
          <w:sz w:val="21"/>
          <w:szCs w:val="21"/>
        </w:rPr>
        <w:t>/м</w:t>
      </w:r>
      <w:r w:rsidRPr="00CA7C54">
        <w:rPr>
          <w:color w:val="000000" w:themeColor="text1"/>
          <w:sz w:val="21"/>
          <w:szCs w:val="21"/>
          <w:vertAlign w:val="superscript"/>
        </w:rPr>
        <w:t>2</w:t>
      </w:r>
      <w:r w:rsidRPr="00CA7C54">
        <w:rPr>
          <w:color w:val="000000" w:themeColor="text1"/>
          <w:sz w:val="21"/>
          <w:szCs w:val="21"/>
        </w:rPr>
        <w:t>·год,  для сховищ підвищеної герметичності – 0,22 м</w:t>
      </w:r>
      <w:r w:rsidRPr="00CA7C54">
        <w:rPr>
          <w:color w:val="000000" w:themeColor="text1"/>
          <w:sz w:val="21"/>
          <w:szCs w:val="21"/>
          <w:vertAlign w:val="superscript"/>
        </w:rPr>
        <w:t>3</w:t>
      </w:r>
      <w:r w:rsidRPr="00CA7C54">
        <w:rPr>
          <w:color w:val="000000" w:themeColor="text1"/>
          <w:sz w:val="21"/>
          <w:szCs w:val="21"/>
        </w:rPr>
        <w:t>/м</w:t>
      </w:r>
      <w:r w:rsidRPr="00CA7C54">
        <w:rPr>
          <w:color w:val="000000" w:themeColor="text1"/>
          <w:sz w:val="21"/>
          <w:szCs w:val="21"/>
          <w:vertAlign w:val="superscript"/>
        </w:rPr>
        <w:t>2</w:t>
      </w:r>
      <w:r w:rsidRPr="00CA7C54">
        <w:rPr>
          <w:color w:val="000000" w:themeColor="text1"/>
          <w:sz w:val="21"/>
          <w:szCs w:val="21"/>
        </w:rPr>
        <w:t>·год;</w:t>
      </w:r>
    </w:p>
    <w:p w14:paraId="2D4ADC86"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F</w:t>
      </w:r>
      <w:r w:rsidRPr="003D7792">
        <w:rPr>
          <w:rFonts w:ascii="Times New Roman" w:hAnsi="Times New Roman" w:cs="Times New Roman"/>
          <w:i/>
          <w:color w:val="000000" w:themeColor="text1"/>
          <w:sz w:val="21"/>
          <w:szCs w:val="21"/>
          <w:vertAlign w:val="subscript"/>
        </w:rPr>
        <w:t>огор</w:t>
      </w:r>
      <w:r w:rsidRPr="00CA7C54">
        <w:rPr>
          <w:color w:val="000000" w:themeColor="text1"/>
          <w:sz w:val="21"/>
          <w:szCs w:val="21"/>
        </w:rPr>
        <w:t xml:space="preserve"> – площа  огороджувальних конструкцій сховища по контуру герметизації, м²;</w:t>
      </w:r>
    </w:p>
    <w:p w14:paraId="2BFAD1D4"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св</w:t>
      </w:r>
      <w:r w:rsidRPr="00CA7C54">
        <w:rPr>
          <w:color w:val="000000" w:themeColor="text1"/>
          <w:sz w:val="21"/>
          <w:szCs w:val="21"/>
        </w:rPr>
        <w:t>– кількість повітря, яке видаляється з санвузлів, м³/год;</w:t>
      </w:r>
    </w:p>
    <w:p w14:paraId="505080FD"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сп</w:t>
      </w:r>
      <w:r w:rsidRPr="00CA7C54">
        <w:rPr>
          <w:color w:val="000000" w:themeColor="text1"/>
          <w:sz w:val="21"/>
          <w:szCs w:val="21"/>
        </w:rPr>
        <w:t xml:space="preserve"> – кількість повітря, яке видаляється із станції перекачування дренажних вод, м³/год;</w:t>
      </w:r>
    </w:p>
    <w:p w14:paraId="3B7154FC"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дес</w:t>
      </w:r>
      <w:r w:rsidRPr="00CA7C54">
        <w:rPr>
          <w:color w:val="000000" w:themeColor="text1"/>
          <w:sz w:val="21"/>
          <w:szCs w:val="21"/>
        </w:rPr>
        <w:t xml:space="preserve"> – кількість повітря, яке надходить у приміщення ДЕС з приміщень для осіб, які підлягають укриттю, при ІІ режимі, м³/год;</w:t>
      </w:r>
    </w:p>
    <w:p w14:paraId="05D610AE"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сп</w:t>
      </w:r>
      <w:r w:rsidRPr="003D7792">
        <w:rPr>
          <w:rFonts w:ascii="Times New Roman" w:hAnsi="Times New Roman" w:cs="Times New Roman"/>
          <w:i/>
          <w:color w:val="000000" w:themeColor="text1"/>
          <w:sz w:val="21"/>
          <w:szCs w:val="21"/>
        </w:rPr>
        <w:t>’</w:t>
      </w:r>
      <w:r w:rsidRPr="00CA7C54">
        <w:rPr>
          <w:color w:val="000000" w:themeColor="text1"/>
          <w:sz w:val="21"/>
          <w:szCs w:val="21"/>
        </w:rPr>
        <w:t xml:space="preserve"> – повна кількість повітря, яке видаляється з чистої та забрудненої зон для сховищ/СПП, які мають санпропускники, приміщення для запасу води, комору для зберігання продуктів тощо.</w:t>
      </w:r>
    </w:p>
    <w:p w14:paraId="004AA17B" w14:textId="77777777" w:rsidR="003C4E04" w:rsidRPr="00CA7C54" w:rsidRDefault="001E748C" w:rsidP="00881435">
      <w:pPr>
        <w:pBdr>
          <w:top w:val="nil"/>
          <w:left w:val="nil"/>
          <w:bottom w:val="nil"/>
          <w:right w:val="nil"/>
          <w:between w:val="nil"/>
        </w:pBdr>
        <w:spacing w:before="0" w:line="360" w:lineRule="auto"/>
        <w:ind w:right="142" w:firstLine="709"/>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сховищах, обладнаних санпропускником, кількість повітря, яке подається у сховище/СПП, зростає на величину, яка визначається за формулою</w:t>
      </w:r>
      <w:r w:rsidR="00E417D3">
        <w:rPr>
          <w:color w:val="000000" w:themeColor="text1"/>
          <w:sz w:val="21"/>
          <w:szCs w:val="21"/>
        </w:rPr>
        <w:t>:</w:t>
      </w:r>
    </w:p>
    <w:p w14:paraId="4A219CFC" w14:textId="77777777" w:rsidR="003C4E04" w:rsidRPr="00CA7C54" w:rsidRDefault="00DC31F3" w:rsidP="003D7792">
      <w:pPr>
        <w:pBdr>
          <w:top w:val="nil"/>
          <w:left w:val="nil"/>
          <w:bottom w:val="nil"/>
          <w:right w:val="nil"/>
          <w:between w:val="nil"/>
        </w:pBdr>
        <w:spacing w:before="240" w:after="240" w:line="240" w:lineRule="auto"/>
        <w:ind w:left="2126" w:right="142" w:firstLine="709"/>
        <w:rPr>
          <w:rFonts w:ascii="Times New Roman" w:eastAsia="Times New Roman" w:hAnsi="Times New Roman" w:cs="Times New Roman"/>
          <w:color w:val="000000" w:themeColor="text1"/>
          <w:sz w:val="24"/>
          <w:szCs w:val="24"/>
        </w:rPr>
      </w:pPr>
      <m:oMath>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L</m:t>
            </m:r>
          </m:e>
          <m:sub>
            <m:r>
              <w:rPr>
                <w:rFonts w:ascii="Cambria Math" w:eastAsia="Cambria Math" w:hAnsi="Cambria Math" w:cs="Cambria Math"/>
                <w:color w:val="000000" w:themeColor="text1"/>
                <w:sz w:val="28"/>
                <w:szCs w:val="28"/>
              </w:rPr>
              <m:t>сп</m:t>
            </m:r>
          </m:sub>
          <m:sup>
            <m:r>
              <w:rPr>
                <w:rFonts w:ascii="Cambria Math" w:eastAsia="Cambria Math" w:hAnsi="Cambria Math" w:cs="Cambria Math"/>
                <w:color w:val="000000" w:themeColor="text1"/>
                <w:sz w:val="28"/>
                <w:szCs w:val="28"/>
              </w:rPr>
              <m:t>'</m:t>
            </m:r>
          </m:sup>
        </m:sSubSup>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Q</m:t>
                </m:r>
              </m:e>
              <m:sub>
                <m:r>
                  <w:rPr>
                    <w:rFonts w:ascii="Cambria Math" w:eastAsia="Cambria Math" w:hAnsi="Cambria Math" w:cs="Cambria Math"/>
                    <w:color w:val="000000" w:themeColor="text1"/>
                    <w:sz w:val="28"/>
                    <w:szCs w:val="28"/>
                  </w:rPr>
                  <m:t>сп</m:t>
                </m:r>
              </m:sub>
              <m:sup>
                <m:r>
                  <w:rPr>
                    <w:rFonts w:ascii="Cambria Math" w:eastAsia="Cambria Math" w:hAnsi="Cambria Math" w:cs="Cambria Math"/>
                    <w:color w:val="000000" w:themeColor="text1"/>
                    <w:sz w:val="28"/>
                    <w:szCs w:val="28"/>
                  </w:rPr>
                  <m:t>'</m:t>
                </m:r>
              </m:sup>
            </m:sSubSup>
          </m:num>
          <m:den>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γ</m:t>
                </m:r>
              </m:e>
              <m:sup>
                <m:r>
                  <w:rPr>
                    <w:rFonts w:ascii="Cambria Math" w:eastAsia="Cambria Math" w:hAnsi="Cambria Math" w:cs="Cambria Math"/>
                    <w:color w:val="000000" w:themeColor="text1"/>
                    <w:sz w:val="28"/>
                    <w:szCs w:val="28"/>
                  </w:rPr>
                  <m:t>'</m:t>
                </m:r>
              </m:sup>
            </m:sSup>
            <m:r>
              <w:rPr>
                <w:rFonts w:ascii="Cambria Math" w:eastAsia="Cambria Math" w:hAnsi="Cambria Math" w:cs="Cambria Math"/>
                <w:color w:val="000000" w:themeColor="text1"/>
                <w:sz w:val="28"/>
                <w:szCs w:val="28"/>
              </w:rPr>
              <m:t>∙c∙(</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п</m:t>
                </m:r>
              </m:sub>
            </m:sSub>
            <m: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з</m:t>
                </m:r>
              </m:sub>
            </m:sSub>
            <m:r>
              <w:rPr>
                <w:rFonts w:ascii="Cambria Math" w:eastAsia="Cambria Math" w:hAnsi="Cambria Math" w:cs="Cambria Math"/>
                <w:color w:val="000000" w:themeColor="text1"/>
                <w:sz w:val="28"/>
                <w:szCs w:val="28"/>
              </w:rPr>
              <m:t>)</m:t>
            </m:r>
          </m:den>
        </m:f>
      </m:oMath>
      <w:r w:rsidR="001E748C" w:rsidRPr="00CA7C54">
        <w:rPr>
          <w:color w:val="000000" w:themeColor="text1"/>
        </w:rPr>
        <w:t>,                                                                  (11.5)</w:t>
      </w:r>
    </w:p>
    <w:p w14:paraId="06905D52" w14:textId="77777777" w:rsidR="003C4E04" w:rsidRPr="00CA7C54" w:rsidRDefault="001E748C">
      <w:pPr>
        <w:pBdr>
          <w:top w:val="nil"/>
          <w:left w:val="nil"/>
          <w:bottom w:val="nil"/>
          <w:right w:val="nil"/>
          <w:between w:val="nil"/>
        </w:pBdr>
        <w:spacing w:line="240" w:lineRule="auto"/>
        <w:ind w:right="141"/>
        <w:rPr>
          <w:color w:val="000000" w:themeColor="text1"/>
        </w:rPr>
      </w:pPr>
      <w:r w:rsidRPr="00CA7C54">
        <w:rPr>
          <w:color w:val="000000" w:themeColor="text1"/>
        </w:rPr>
        <w:t>де</w:t>
      </w:r>
    </w:p>
    <w:bookmarkStart w:id="21" w:name="OLE_LINK1"/>
    <w:p w14:paraId="6B58D89F" w14:textId="77777777" w:rsidR="003C4E04" w:rsidRPr="00CA7C54" w:rsidRDefault="00DC31F3">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m:oMath>
        <m:sSubSup>
          <m:sSubSupPr>
            <m:ctrlPr>
              <w:rPr>
                <w:rFonts w:ascii="Cambria Math" w:eastAsia="Cambria Math" w:hAnsi="Cambria Math" w:cs="Cambria Math"/>
                <w:color w:val="000000" w:themeColor="text1"/>
              </w:rPr>
            </m:ctrlPr>
          </m:sSubSupPr>
          <m:e>
            <m:r>
              <w:rPr>
                <w:rFonts w:ascii="Cambria Math" w:eastAsia="Cambria Math" w:hAnsi="Cambria Math" w:cs="Cambria Math"/>
                <w:color w:val="000000" w:themeColor="text1"/>
              </w:rPr>
              <m:t>Q</m:t>
            </m:r>
          </m:e>
          <m:sub>
            <m:r>
              <w:rPr>
                <w:rFonts w:ascii="Cambria Math" w:eastAsia="Cambria Math" w:hAnsi="Cambria Math" w:cs="Cambria Math"/>
                <w:color w:val="000000" w:themeColor="text1"/>
              </w:rPr>
              <m:t>сп</m:t>
            </m:r>
          </m:sub>
          <m:sup>
            <m:r>
              <w:rPr>
                <w:rFonts w:ascii="Cambria Math" w:eastAsia="Cambria Math" w:hAnsi="Cambria Math" w:cs="Cambria Math"/>
                <w:color w:val="000000" w:themeColor="text1"/>
              </w:rPr>
              <m:t>'</m:t>
            </m:r>
          </m:sup>
        </m:sSubSup>
      </m:oMath>
      <w:r w:rsidR="001E748C" w:rsidRPr="00CA7C54">
        <w:rPr>
          <w:color w:val="000000" w:themeColor="text1"/>
        </w:rPr>
        <w:t xml:space="preserve"> –  повна кількість тепла, яке виділяється у сховище/СПП, зокрема, що виділяється при пароутворенні у системах водопостачання (душовими, бойлерами тощо), ккал/год;</w:t>
      </w:r>
    </w:p>
    <w:bookmarkEnd w:id="21"/>
    <w:p w14:paraId="4A7B30B1" w14:textId="77777777" w:rsidR="003C4E04" w:rsidRPr="00CA7C54" w:rsidRDefault="001E748C">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w:r w:rsidRPr="00CA7C54">
        <w:rPr>
          <w:i/>
          <w:color w:val="000000" w:themeColor="text1"/>
        </w:rPr>
        <w:t xml:space="preserve">с </w:t>
      </w:r>
      <w:r w:rsidRPr="00CA7C54">
        <w:rPr>
          <w:color w:val="000000" w:themeColor="text1"/>
        </w:rPr>
        <w:t>– теплоємкість повітря, яка приймається 0,24 ккал/кг·</w:t>
      </w:r>
      <w:r w:rsidRPr="00CA7C54">
        <w:rPr>
          <w:color w:val="000000" w:themeColor="text1"/>
          <w:vertAlign w:val="superscript"/>
        </w:rPr>
        <w:t>0</w:t>
      </w:r>
      <w:r w:rsidRPr="00CA7C54">
        <w:rPr>
          <w:color w:val="000000" w:themeColor="text1"/>
        </w:rPr>
        <w:t>С, (1,028 кДж/кг·К);</w:t>
      </w:r>
    </w:p>
    <w:p w14:paraId="7307C38D" w14:textId="77777777" w:rsidR="003C4E04" w:rsidRPr="00CA7C54" w:rsidRDefault="001E748C">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w:r w:rsidRPr="00CA7C54">
        <w:rPr>
          <w:i/>
          <w:color w:val="000000" w:themeColor="text1"/>
          <w:sz w:val="20"/>
          <w:szCs w:val="20"/>
        </w:rPr>
        <w:t>γ</w:t>
      </w:r>
      <w:r w:rsidRPr="00CA7C54">
        <w:rPr>
          <w:i/>
          <w:color w:val="000000" w:themeColor="text1"/>
        </w:rPr>
        <w:t>’</w:t>
      </w:r>
      <w:r w:rsidRPr="00CA7C54">
        <w:rPr>
          <w:color w:val="000000" w:themeColor="text1"/>
        </w:rPr>
        <w:t xml:space="preserve"> –  об'ємна вага повітря, яка приймається 1,2 кгс/м</w:t>
      </w:r>
      <w:r w:rsidRPr="00CA7C54">
        <w:rPr>
          <w:color w:val="000000" w:themeColor="text1"/>
          <w:vertAlign w:val="superscript"/>
        </w:rPr>
        <w:t>3</w:t>
      </w:r>
      <w:r w:rsidRPr="00CA7C54">
        <w:rPr>
          <w:color w:val="000000" w:themeColor="text1"/>
        </w:rPr>
        <w:t xml:space="preserve"> ;</w:t>
      </w:r>
    </w:p>
    <w:p w14:paraId="0BE5DC7B" w14:textId="77777777" w:rsidR="003C4E04" w:rsidRPr="00CA7C54" w:rsidRDefault="001E748C">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w:r w:rsidRPr="00CA7C54">
        <w:rPr>
          <w:i/>
          <w:color w:val="000000" w:themeColor="text1"/>
        </w:rPr>
        <w:t>t</w:t>
      </w:r>
      <w:r w:rsidRPr="00CA7C54">
        <w:rPr>
          <w:i/>
          <w:color w:val="000000" w:themeColor="text1"/>
          <w:vertAlign w:val="subscript"/>
        </w:rPr>
        <w:t>п</w:t>
      </w:r>
      <w:r w:rsidRPr="00CA7C54">
        <w:rPr>
          <w:color w:val="000000" w:themeColor="text1"/>
        </w:rPr>
        <w:t xml:space="preserve"> –  температура повітря у приміщенні душової, яка приймається 25 </w:t>
      </w:r>
      <w:r w:rsidRPr="00CA7C54">
        <w:rPr>
          <w:color w:val="000000" w:themeColor="text1"/>
          <w:vertAlign w:val="superscript"/>
        </w:rPr>
        <w:t>0</w:t>
      </w:r>
      <w:r w:rsidRPr="00CA7C54">
        <w:rPr>
          <w:color w:val="000000" w:themeColor="text1"/>
        </w:rPr>
        <w:t>С;</w:t>
      </w:r>
    </w:p>
    <w:p w14:paraId="0C480FA9" w14:textId="77777777" w:rsidR="003C4E04" w:rsidRPr="00CA7C54" w:rsidRDefault="001E748C">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w:r w:rsidRPr="00CA7C54">
        <w:rPr>
          <w:i/>
          <w:color w:val="000000" w:themeColor="text1"/>
        </w:rPr>
        <w:t>t</w:t>
      </w:r>
      <w:r w:rsidRPr="00CA7C54">
        <w:rPr>
          <w:i/>
          <w:color w:val="000000" w:themeColor="text1"/>
          <w:vertAlign w:val="subscript"/>
        </w:rPr>
        <w:t>з</w:t>
      </w:r>
      <w:r w:rsidRPr="00CA7C54">
        <w:rPr>
          <w:color w:val="000000" w:themeColor="text1"/>
        </w:rPr>
        <w:t xml:space="preserve"> –  розрахункова середньомісячна температура зовнішнього повітря найтеплішого місяця.</w:t>
      </w:r>
    </w:p>
    <w:p w14:paraId="438D89FB" w14:textId="77777777" w:rsidR="003C4E04" w:rsidRPr="00CA7C54" w:rsidRDefault="00DE0039" w:rsidP="003D7792">
      <w:pPr>
        <w:pBdr>
          <w:top w:val="nil"/>
          <w:left w:val="nil"/>
          <w:bottom w:val="nil"/>
          <w:right w:val="nil"/>
          <w:between w:val="nil"/>
        </w:pBdr>
        <w:spacing w:before="240" w:after="240" w:line="240" w:lineRule="auto"/>
        <w:ind w:left="2835" w:right="142" w:firstLine="0"/>
        <w:rPr>
          <w:rFonts w:ascii="Times New Roman" w:eastAsia="Times New Roman" w:hAnsi="Times New Roman" w:cs="Times New Roman"/>
          <w:color w:val="000000" w:themeColor="text1"/>
          <w:sz w:val="24"/>
          <w:szCs w:val="24"/>
        </w:rPr>
      </w:pPr>
      <w:bookmarkStart w:id="22" w:name="OLE_LINK2"/>
      <m:oMath>
        <m:r>
          <w:rPr>
            <w:rFonts w:ascii="Cambria Math" w:eastAsia="Cambria Math" w:hAnsi="Cambria Math" w:cs="Cambria Math"/>
            <w:color w:val="000000" w:themeColor="text1"/>
            <w:sz w:val="28"/>
            <w:szCs w:val="28"/>
          </w:rPr>
          <m:t>Q</m:t>
        </m:r>
      </m:oMath>
      <w:r w:rsidR="001E748C" w:rsidRPr="00CA7C54">
        <w:rPr>
          <w:i/>
          <w:color w:val="000000" w:themeColor="text1"/>
        </w:rPr>
        <w:t>'</w:t>
      </w:r>
      <w:r w:rsidR="001E748C" w:rsidRPr="00CA7C54">
        <w:rPr>
          <w:i/>
          <w:color w:val="000000" w:themeColor="text1"/>
          <w:vertAlign w:val="subscript"/>
        </w:rPr>
        <w:t>сп</w:t>
      </w:r>
      <w:r w:rsidR="001E748C" w:rsidRPr="00CA7C54">
        <w:rPr>
          <w:i/>
          <w:color w:val="000000" w:themeColor="text1"/>
        </w:rPr>
        <w:t xml:space="preserve"> </w:t>
      </w:r>
      <w:r w:rsidR="001E748C" w:rsidRPr="003D7792">
        <w:rPr>
          <w:rFonts w:ascii="Times New Roman" w:hAnsi="Times New Roman" w:cs="Times New Roman"/>
          <w:i/>
          <w:color w:val="000000" w:themeColor="text1"/>
        </w:rPr>
        <w:t>= (t</w:t>
      </w:r>
      <w:r w:rsidR="001E748C" w:rsidRPr="003D7792">
        <w:rPr>
          <w:rFonts w:ascii="Times New Roman" w:hAnsi="Times New Roman" w:cs="Times New Roman"/>
          <w:i/>
          <w:color w:val="000000" w:themeColor="text1"/>
          <w:vertAlign w:val="subscript"/>
        </w:rPr>
        <w:t>2</w:t>
      </w:r>
      <w:r w:rsidR="001E748C" w:rsidRPr="003D7792">
        <w:rPr>
          <w:rFonts w:ascii="Times New Roman" w:hAnsi="Times New Roman" w:cs="Times New Roman"/>
          <w:color w:val="000000" w:themeColor="text1"/>
        </w:rPr>
        <w:t xml:space="preserve"> – </w:t>
      </w:r>
      <w:r w:rsidR="001E748C" w:rsidRPr="003D7792">
        <w:rPr>
          <w:rFonts w:ascii="Times New Roman" w:hAnsi="Times New Roman" w:cs="Times New Roman"/>
          <w:i/>
          <w:color w:val="000000" w:themeColor="text1"/>
        </w:rPr>
        <w:t>t</w:t>
      </w:r>
      <w:r w:rsidR="001E748C" w:rsidRPr="003D7792">
        <w:rPr>
          <w:rFonts w:ascii="Times New Roman" w:hAnsi="Times New Roman" w:cs="Times New Roman"/>
          <w:i/>
          <w:color w:val="000000" w:themeColor="text1"/>
          <w:vertAlign w:val="subscript"/>
        </w:rPr>
        <w:t>1</w:t>
      </w:r>
      <w:r w:rsidR="001E748C" w:rsidRPr="003D7792">
        <w:rPr>
          <w:rFonts w:ascii="Times New Roman" w:hAnsi="Times New Roman" w:cs="Times New Roman"/>
          <w:i/>
          <w:color w:val="000000" w:themeColor="text1"/>
        </w:rPr>
        <w:t>)(c</w:t>
      </w:r>
      <w:r w:rsidR="001E748C" w:rsidRPr="003D7792">
        <w:rPr>
          <w:rFonts w:ascii="Times New Roman" w:hAnsi="Times New Roman" w:cs="Times New Roman"/>
          <w:i/>
          <w:color w:val="000000" w:themeColor="text1"/>
          <w:vertAlign w:val="subscript"/>
        </w:rPr>
        <w:t>1</w:t>
      </w:r>
      <w:r w:rsidR="001E748C" w:rsidRPr="003D7792">
        <w:rPr>
          <w:rFonts w:ascii="Times New Roman" w:hAnsi="Times New Roman" w:cs="Times New Roman"/>
          <w:i/>
          <w:color w:val="000000" w:themeColor="text1"/>
        </w:rPr>
        <w:t>m</w:t>
      </w:r>
      <w:r w:rsidR="001E748C" w:rsidRPr="003D7792">
        <w:rPr>
          <w:rFonts w:ascii="Times New Roman" w:hAnsi="Times New Roman" w:cs="Times New Roman"/>
          <w:i/>
          <w:color w:val="000000" w:themeColor="text1"/>
          <w:vertAlign w:val="subscript"/>
        </w:rPr>
        <w:t>н</w:t>
      </w:r>
      <w:r w:rsidR="001E748C" w:rsidRPr="003D7792">
        <w:rPr>
          <w:rFonts w:ascii="Times New Roman" w:hAnsi="Times New Roman" w:cs="Times New Roman"/>
          <w:i/>
          <w:color w:val="000000" w:themeColor="text1"/>
        </w:rPr>
        <w:t>n+c</w:t>
      </w:r>
      <w:r w:rsidR="001E748C" w:rsidRPr="003D7792">
        <w:rPr>
          <w:rFonts w:ascii="Times New Roman" w:hAnsi="Times New Roman" w:cs="Times New Roman"/>
          <w:i/>
          <w:color w:val="000000" w:themeColor="text1"/>
          <w:vertAlign w:val="subscript"/>
        </w:rPr>
        <w:t>2</w:t>
      </w:r>
      <w:r w:rsidR="001E748C" w:rsidRPr="003D7792">
        <w:rPr>
          <w:rFonts w:ascii="Times New Roman" w:hAnsi="Times New Roman" w:cs="Times New Roman"/>
          <w:i/>
          <w:color w:val="000000" w:themeColor="text1"/>
        </w:rPr>
        <w:t>m</w:t>
      </w:r>
      <w:r w:rsidR="001E748C" w:rsidRPr="003D7792">
        <w:rPr>
          <w:rFonts w:ascii="Times New Roman" w:hAnsi="Times New Roman" w:cs="Times New Roman"/>
          <w:i/>
          <w:color w:val="000000" w:themeColor="text1"/>
          <w:vertAlign w:val="subscript"/>
        </w:rPr>
        <w:t>в</w:t>
      </w:r>
      <w:r w:rsidR="001E748C" w:rsidRPr="003D7792">
        <w:rPr>
          <w:rFonts w:ascii="Times New Roman" w:hAnsi="Times New Roman" w:cs="Times New Roman"/>
          <w:i/>
          <w:color w:val="000000" w:themeColor="text1"/>
        </w:rPr>
        <w:t>)</w:t>
      </w:r>
      <w:r w:rsidR="001E748C" w:rsidRPr="003D7792">
        <w:rPr>
          <w:rFonts w:ascii="Times New Roman" w:hAnsi="Times New Roman" w:cs="Times New Roman"/>
          <w:color w:val="000000" w:themeColor="text1"/>
          <w:sz w:val="28"/>
          <w:szCs w:val="28"/>
        </w:rPr>
        <w:t>,</w:t>
      </w:r>
      <w:bookmarkEnd w:id="22"/>
      <w:r w:rsidR="001E748C" w:rsidRPr="00CA7C54">
        <w:rPr>
          <w:color w:val="000000" w:themeColor="text1"/>
        </w:rPr>
        <w:t xml:space="preserve">                                                      (11.6)</w:t>
      </w:r>
    </w:p>
    <w:p w14:paraId="27F335E1" w14:textId="77777777" w:rsidR="003C4E04" w:rsidRPr="00CA7C54" w:rsidRDefault="001E748C" w:rsidP="00881435">
      <w:pPr>
        <w:pBdr>
          <w:top w:val="nil"/>
          <w:left w:val="nil"/>
          <w:bottom w:val="nil"/>
          <w:right w:val="nil"/>
          <w:between w:val="nil"/>
        </w:pBdr>
        <w:spacing w:before="0"/>
        <w:ind w:right="141"/>
        <w:contextualSpacing/>
        <w:jc w:val="left"/>
        <w:rPr>
          <w:color w:val="000000" w:themeColor="text1"/>
          <w:sz w:val="21"/>
          <w:szCs w:val="21"/>
        </w:rPr>
      </w:pPr>
      <w:r w:rsidRPr="00CA7C54">
        <w:rPr>
          <w:color w:val="000000" w:themeColor="text1"/>
          <w:sz w:val="21"/>
          <w:szCs w:val="21"/>
        </w:rPr>
        <w:t>де</w:t>
      </w:r>
    </w:p>
    <w:p w14:paraId="3866CE75" w14:textId="77777777" w:rsidR="003C4E04" w:rsidRPr="00CA7C54" w:rsidRDefault="001E748C" w:rsidP="00881435">
      <w:pPr>
        <w:pBdr>
          <w:top w:val="nil"/>
          <w:left w:val="nil"/>
          <w:bottom w:val="nil"/>
          <w:right w:val="nil"/>
          <w:between w:val="nil"/>
        </w:pBdr>
        <w:spacing w:before="0"/>
        <w:ind w:right="141"/>
        <w:contextualSpacing/>
        <w:jc w:val="left"/>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t</w:t>
      </w:r>
      <w:r w:rsidRPr="003D7792">
        <w:rPr>
          <w:rFonts w:ascii="Times New Roman" w:hAnsi="Times New Roman" w:cs="Times New Roman"/>
          <w:i/>
          <w:color w:val="000000" w:themeColor="text1"/>
          <w:sz w:val="21"/>
          <w:szCs w:val="21"/>
          <w:vertAlign w:val="subscript"/>
        </w:rPr>
        <w:t>2</w:t>
      </w:r>
      <w:r w:rsidRPr="003D7792">
        <w:rPr>
          <w:rFonts w:ascii="Times New Roman" w:hAnsi="Times New Roman" w:cs="Times New Roman"/>
          <w:color w:val="000000" w:themeColor="text1"/>
          <w:sz w:val="21"/>
          <w:szCs w:val="21"/>
        </w:rPr>
        <w:t xml:space="preserve"> </w:t>
      </w:r>
      <w:r w:rsidRPr="00CA7C54">
        <w:rPr>
          <w:color w:val="000000" w:themeColor="text1"/>
          <w:sz w:val="21"/>
          <w:szCs w:val="21"/>
        </w:rPr>
        <w:t xml:space="preserve">– температура нагрітої води електроводонагрівачами, яка приймається 80 </w:t>
      </w:r>
      <w:r w:rsidRPr="00CA7C54">
        <w:rPr>
          <w:color w:val="000000" w:themeColor="text1"/>
          <w:sz w:val="21"/>
          <w:szCs w:val="21"/>
          <w:vertAlign w:val="superscript"/>
        </w:rPr>
        <w:t>0</w:t>
      </w:r>
      <w:r w:rsidRPr="00CA7C54">
        <w:rPr>
          <w:color w:val="000000" w:themeColor="text1"/>
          <w:sz w:val="21"/>
          <w:szCs w:val="21"/>
        </w:rPr>
        <w:t>С;</w:t>
      </w:r>
    </w:p>
    <w:p w14:paraId="5B0B308D"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t</w:t>
      </w:r>
      <w:r w:rsidRPr="003D7792">
        <w:rPr>
          <w:rFonts w:ascii="Times New Roman" w:hAnsi="Times New Roman" w:cs="Times New Roman"/>
          <w:i/>
          <w:color w:val="000000" w:themeColor="text1"/>
          <w:sz w:val="21"/>
          <w:szCs w:val="21"/>
          <w:vertAlign w:val="subscript"/>
        </w:rPr>
        <w:t>1</w:t>
      </w:r>
      <w:r w:rsidRPr="00CA7C54">
        <w:rPr>
          <w:color w:val="000000" w:themeColor="text1"/>
          <w:sz w:val="21"/>
          <w:szCs w:val="21"/>
        </w:rPr>
        <w:t xml:space="preserve">–  початкова температура санпропускника (температура 1 повітря всередині санпропускника), яка приймається 16 град. </w:t>
      </w:r>
      <w:r w:rsidRPr="00CA7C54">
        <w:rPr>
          <w:rFonts w:ascii="Cambria Math" w:eastAsia="Cambria Math" w:hAnsi="Cambria Math" w:cs="Cambria Math"/>
          <w:color w:val="000000" w:themeColor="text1"/>
          <w:sz w:val="21"/>
          <w:szCs w:val="21"/>
        </w:rPr>
        <w:t>℃</w:t>
      </w:r>
      <w:r w:rsidRPr="00CA7C54">
        <w:rPr>
          <w:color w:val="000000" w:themeColor="text1"/>
          <w:sz w:val="21"/>
          <w:szCs w:val="21"/>
        </w:rPr>
        <w:t>;</w:t>
      </w:r>
    </w:p>
    <w:p w14:paraId="57526717"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c</w:t>
      </w:r>
      <w:r w:rsidRPr="003D7792">
        <w:rPr>
          <w:rFonts w:ascii="Times New Roman" w:hAnsi="Times New Roman" w:cs="Times New Roman"/>
          <w:i/>
          <w:color w:val="000000" w:themeColor="text1"/>
          <w:sz w:val="21"/>
          <w:szCs w:val="21"/>
          <w:vertAlign w:val="subscript"/>
        </w:rPr>
        <w:t>1</w:t>
      </w:r>
      <w:r w:rsidRPr="00CA7C54">
        <w:rPr>
          <w:color w:val="000000" w:themeColor="text1"/>
          <w:sz w:val="21"/>
          <w:szCs w:val="21"/>
        </w:rPr>
        <w:t xml:space="preserve"> – питома теплоємність матеріалу електронагрiвача, яка приймається як для заліза, ккал/кг·</w:t>
      </w:r>
      <w:r w:rsidRPr="00CA7C54">
        <w:rPr>
          <w:color w:val="000000" w:themeColor="text1"/>
          <w:sz w:val="21"/>
          <w:szCs w:val="21"/>
          <w:vertAlign w:val="superscript"/>
        </w:rPr>
        <w:t>0</w:t>
      </w:r>
      <w:r w:rsidRPr="00CA7C54">
        <w:rPr>
          <w:color w:val="000000" w:themeColor="text1"/>
          <w:sz w:val="21"/>
          <w:szCs w:val="21"/>
        </w:rPr>
        <w:t>С;</w:t>
      </w:r>
    </w:p>
    <w:p w14:paraId="0F49BD58"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lastRenderedPageBreak/>
        <w:t>m</w:t>
      </w:r>
      <w:r w:rsidRPr="003D7792">
        <w:rPr>
          <w:rFonts w:ascii="Times New Roman" w:hAnsi="Times New Roman" w:cs="Times New Roman"/>
          <w:i/>
          <w:color w:val="000000" w:themeColor="text1"/>
          <w:sz w:val="21"/>
          <w:szCs w:val="21"/>
          <w:vertAlign w:val="subscript"/>
        </w:rPr>
        <w:t>н</w:t>
      </w:r>
      <w:r w:rsidRPr="00CA7C54">
        <w:rPr>
          <w:color w:val="000000" w:themeColor="text1"/>
          <w:sz w:val="21"/>
          <w:szCs w:val="21"/>
        </w:rPr>
        <w:t>–  маса електронагрiвача;</w:t>
      </w:r>
    </w:p>
    <w:p w14:paraId="1AF1803C"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n</w:t>
      </w:r>
      <w:r w:rsidRPr="003D7792">
        <w:rPr>
          <w:rFonts w:ascii="Times New Roman" w:hAnsi="Times New Roman" w:cs="Times New Roman"/>
          <w:color w:val="000000" w:themeColor="text1"/>
          <w:sz w:val="21"/>
          <w:szCs w:val="21"/>
        </w:rPr>
        <w:t xml:space="preserve"> </w:t>
      </w:r>
      <w:r w:rsidRPr="00CA7C54">
        <w:rPr>
          <w:color w:val="000000" w:themeColor="text1"/>
          <w:sz w:val="21"/>
          <w:szCs w:val="21"/>
        </w:rPr>
        <w:t>–  кількість електронагрiвачiв;</w:t>
      </w:r>
    </w:p>
    <w:p w14:paraId="3DD1382B"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m</w:t>
      </w:r>
      <w:r w:rsidRPr="003D7792">
        <w:rPr>
          <w:rFonts w:ascii="Times New Roman" w:hAnsi="Times New Roman" w:cs="Times New Roman"/>
          <w:i/>
          <w:color w:val="000000" w:themeColor="text1"/>
          <w:sz w:val="21"/>
          <w:szCs w:val="21"/>
          <w:vertAlign w:val="subscript"/>
        </w:rPr>
        <w:t>в</w:t>
      </w:r>
      <w:r w:rsidRPr="00CA7C54">
        <w:rPr>
          <w:color w:val="000000" w:themeColor="text1"/>
          <w:sz w:val="21"/>
          <w:szCs w:val="21"/>
        </w:rPr>
        <w:t>–  маса запасу води для миття людей у санпропускнику сховища;</w:t>
      </w:r>
    </w:p>
    <w:p w14:paraId="1E649035"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c</w:t>
      </w:r>
      <w:r w:rsidRPr="003D7792">
        <w:rPr>
          <w:rFonts w:ascii="Times New Roman" w:hAnsi="Times New Roman" w:cs="Times New Roman"/>
          <w:i/>
          <w:color w:val="000000" w:themeColor="text1"/>
          <w:sz w:val="21"/>
          <w:szCs w:val="21"/>
          <w:vertAlign w:val="subscript"/>
        </w:rPr>
        <w:t>2</w:t>
      </w:r>
      <w:r w:rsidRPr="00CA7C54">
        <w:rPr>
          <w:color w:val="000000" w:themeColor="text1"/>
          <w:sz w:val="21"/>
          <w:szCs w:val="21"/>
        </w:rPr>
        <w:t xml:space="preserve"> –  питома теплоємність води, ккал/кг·</w:t>
      </w:r>
      <w:r w:rsidRPr="00CA7C54">
        <w:rPr>
          <w:color w:val="000000" w:themeColor="text1"/>
          <w:sz w:val="21"/>
          <w:szCs w:val="21"/>
          <w:vertAlign w:val="superscript"/>
        </w:rPr>
        <w:t>0</w:t>
      </w:r>
      <w:r w:rsidRPr="00CA7C54">
        <w:rPr>
          <w:color w:val="000000" w:themeColor="text1"/>
          <w:sz w:val="21"/>
          <w:szCs w:val="21"/>
        </w:rPr>
        <w:t>С.</w:t>
      </w:r>
    </w:p>
    <w:p w14:paraId="12FCF8C7" w14:textId="77777777" w:rsidR="003C4E04" w:rsidRPr="00CA7C54" w:rsidRDefault="001E748C" w:rsidP="00881435">
      <w:pPr>
        <w:pBdr>
          <w:top w:val="nil"/>
          <w:left w:val="nil"/>
          <w:bottom w:val="nil"/>
          <w:right w:val="nil"/>
          <w:between w:val="nil"/>
        </w:pBdr>
        <w:spacing w:before="0"/>
        <w:ind w:right="113"/>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сховищах атомних енергетичних об'єктів, що мають санпропускник, повітрообмін приймається:</w:t>
      </w:r>
    </w:p>
    <w:p w14:paraId="0DE0B4A0" w14:textId="77777777" w:rsidR="003C4E04" w:rsidRPr="00CA7C54" w:rsidRDefault="00E417D3" w:rsidP="00E417D3">
      <w:pPr>
        <w:pBdr>
          <w:top w:val="nil"/>
          <w:left w:val="nil"/>
          <w:bottom w:val="nil"/>
          <w:right w:val="nil"/>
          <w:between w:val="nil"/>
        </w:pBdr>
        <w:spacing w:before="0"/>
        <w:ind w:right="113"/>
        <w:contextualSpacing/>
        <w:jc w:val="left"/>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 душовій приплив 10-кратний, витяжка 11-кратна за годину незалежно від режиму вентиляції;</w:t>
      </w:r>
    </w:p>
    <w:p w14:paraId="007E18CC" w14:textId="77777777" w:rsidR="003C4E04" w:rsidRPr="00CA7C54" w:rsidRDefault="00E417D3" w:rsidP="00881435">
      <w:pPr>
        <w:pBdr>
          <w:top w:val="nil"/>
          <w:left w:val="nil"/>
          <w:bottom w:val="nil"/>
          <w:right w:val="nil"/>
          <w:between w:val="nil"/>
        </w:pBdr>
        <w:spacing w:before="0"/>
        <w:ind w:right="113"/>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 роздягальні, приміщенні для брудного одягу, у приміщенні для дозконтролю приплив 2,5-кратний, витяжка 2-кратна;</w:t>
      </w:r>
    </w:p>
    <w:p w14:paraId="008A0635" w14:textId="77777777" w:rsidR="003C4E04" w:rsidRPr="00CA7C54" w:rsidRDefault="001E748C" w:rsidP="00881435">
      <w:pPr>
        <w:pBdr>
          <w:top w:val="nil"/>
          <w:left w:val="nil"/>
          <w:bottom w:val="nil"/>
          <w:right w:val="nil"/>
          <w:between w:val="nil"/>
        </w:pBdr>
        <w:spacing w:before="0"/>
        <w:ind w:right="113"/>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роздягальні, приміщенні для чистого одягу приплив 2-кратний, витяжка 1,5-кратна.</w:t>
      </w:r>
    </w:p>
    <w:p w14:paraId="4A1CC64B" w14:textId="77777777" w:rsidR="003C4E04" w:rsidRPr="00CA7C54" w:rsidRDefault="001E748C" w:rsidP="00881435">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11.2.1.28</w:t>
      </w:r>
      <w:r w:rsidRPr="00CA7C54">
        <w:rPr>
          <w:color w:val="000000" w:themeColor="text1"/>
          <w:sz w:val="21"/>
          <w:szCs w:val="21"/>
        </w:rPr>
        <w:t xml:space="preserve"> Для забезпечення нормованого експлуатаційного підпору при III режимі кількість припливного повітря</w:t>
      </w:r>
      <w:r w:rsidRPr="00CA7C54">
        <w:rPr>
          <w:i/>
          <w:color w:val="000000" w:themeColor="text1"/>
          <w:sz w:val="21"/>
          <w:szCs w:val="21"/>
        </w:rPr>
        <w:t>L</w:t>
      </w:r>
      <w:r w:rsidRPr="00CA7C54">
        <w:rPr>
          <w:i/>
          <w:color w:val="000000" w:themeColor="text1"/>
          <w:sz w:val="21"/>
          <w:szCs w:val="21"/>
          <w:vertAlign w:val="subscript"/>
        </w:rPr>
        <w:t>ІІІ</w:t>
      </w:r>
      <w:r w:rsidRPr="00CA7C54">
        <w:rPr>
          <w:color w:val="000000" w:themeColor="text1"/>
          <w:sz w:val="21"/>
          <w:szCs w:val="21"/>
        </w:rPr>
        <w:t xml:space="preserve"> , м³ /год, слід визначати за формулою</w:t>
      </w:r>
    </w:p>
    <w:p w14:paraId="4CF00292" w14:textId="77777777" w:rsidR="003C4E04" w:rsidRPr="00CA7C54" w:rsidRDefault="001E748C" w:rsidP="003D7792">
      <w:pPr>
        <w:pBdr>
          <w:top w:val="nil"/>
          <w:left w:val="nil"/>
          <w:bottom w:val="nil"/>
          <w:right w:val="nil"/>
          <w:between w:val="nil"/>
        </w:pBdr>
        <w:spacing w:before="0" w:line="288" w:lineRule="auto"/>
        <w:ind w:left="1701" w:right="142" w:firstLine="1701"/>
        <w:contextualSpacing/>
        <w:rPr>
          <w:rFonts w:ascii="Times New Roman" w:eastAsia="Times New Roman" w:hAnsi="Times New Roman" w:cs="Times New Roman"/>
          <w:color w:val="000000" w:themeColor="text1"/>
          <w:sz w:val="21"/>
          <w:szCs w:val="21"/>
        </w:rPr>
      </w:pPr>
      <w:bookmarkStart w:id="23" w:name="_heading=h.gjdgxs" w:colFirst="0" w:colLast="0"/>
      <w:bookmarkEnd w:id="23"/>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III</w:t>
      </w:r>
      <w:r w:rsidRPr="003D7792">
        <w:rPr>
          <w:rFonts w:ascii="Times New Roman" w:hAnsi="Times New Roman" w:cs="Times New Roman"/>
          <w:i/>
          <w:color w:val="000000" w:themeColor="text1"/>
          <w:sz w:val="21"/>
          <w:szCs w:val="21"/>
        </w:rPr>
        <w:t>=K</w:t>
      </w:r>
      <w:r w:rsidRPr="003D7792">
        <w:rPr>
          <w:rFonts w:ascii="Times New Roman" w:hAnsi="Times New Roman" w:cs="Times New Roman"/>
          <w:i/>
          <w:color w:val="000000" w:themeColor="text1"/>
          <w:sz w:val="21"/>
          <w:szCs w:val="21"/>
          <w:vertAlign w:val="subscript"/>
        </w:rPr>
        <w:t>III</w:t>
      </w:r>
      <w:r w:rsidRPr="003D7792">
        <w:rPr>
          <w:rFonts w:ascii="Times New Roman" w:hAnsi="Times New Roman" w:cs="Times New Roman"/>
          <w:i/>
          <w:color w:val="000000" w:themeColor="text1"/>
          <w:sz w:val="21"/>
          <w:szCs w:val="21"/>
        </w:rPr>
        <w:t xml:space="preserve"> F</w:t>
      </w:r>
      <w:r w:rsidRPr="003D7792">
        <w:rPr>
          <w:rFonts w:ascii="Times New Roman" w:hAnsi="Times New Roman" w:cs="Times New Roman"/>
          <w:i/>
          <w:color w:val="000000" w:themeColor="text1"/>
          <w:sz w:val="21"/>
          <w:szCs w:val="21"/>
          <w:vertAlign w:val="subscript"/>
        </w:rPr>
        <w:t>огор</w:t>
      </w:r>
      <w:r w:rsidRPr="003D7792">
        <w:rPr>
          <w:rFonts w:ascii="Times New Roman" w:hAnsi="Times New Roman" w:cs="Times New Roman"/>
          <w:i/>
          <w:color w:val="000000" w:themeColor="text1"/>
          <w:sz w:val="21"/>
          <w:szCs w:val="21"/>
        </w:rPr>
        <w:t xml:space="preserve">, </w:t>
      </w:r>
      <w:r w:rsidRPr="003D7792">
        <w:rPr>
          <w:rFonts w:ascii="Times New Roman" w:hAnsi="Times New Roman" w:cs="Times New Roman"/>
          <w:color w:val="000000" w:themeColor="text1"/>
          <w:sz w:val="21"/>
          <w:szCs w:val="21"/>
        </w:rPr>
        <w:t> [м³/год],</w:t>
      </w:r>
      <w:r w:rsidRPr="00CA7C54">
        <w:rPr>
          <w:color w:val="000000" w:themeColor="text1"/>
          <w:sz w:val="21"/>
          <w:szCs w:val="21"/>
        </w:rPr>
        <w:t xml:space="preserve">                                                      (11.7)</w:t>
      </w:r>
    </w:p>
    <w:p w14:paraId="2E9F8C08" w14:textId="77777777" w:rsidR="003C4E04" w:rsidRPr="00CA7C54" w:rsidRDefault="001E748C" w:rsidP="00881435">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39CBE573" w14:textId="77777777" w:rsidR="003C4E04" w:rsidRPr="00CA7C54" w:rsidRDefault="001E748C" w:rsidP="00881435">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К</w:t>
      </w:r>
      <w:r w:rsidRPr="003D7792">
        <w:rPr>
          <w:rFonts w:ascii="Times New Roman" w:hAnsi="Times New Roman" w:cs="Times New Roman"/>
          <w:i/>
          <w:color w:val="000000" w:themeColor="text1"/>
          <w:sz w:val="21"/>
          <w:szCs w:val="21"/>
          <w:vertAlign w:val="subscript"/>
        </w:rPr>
        <w:t>ІІІ</w:t>
      </w:r>
      <w:r w:rsidRPr="003D7792">
        <w:rPr>
          <w:rFonts w:ascii="Times New Roman" w:hAnsi="Times New Roman" w:cs="Times New Roman"/>
          <w:color w:val="000000" w:themeColor="text1"/>
          <w:sz w:val="21"/>
          <w:szCs w:val="21"/>
        </w:rPr>
        <w:t xml:space="preserve"> </w:t>
      </w:r>
      <w:r w:rsidRPr="00CA7C54">
        <w:rPr>
          <w:color w:val="000000" w:themeColor="text1"/>
          <w:sz w:val="21"/>
          <w:szCs w:val="21"/>
        </w:rPr>
        <w:t>– питоме витікання (втрата) повітря,  [м³/год], крізь 1 м² огороджувальних конструкцій по контуру герметизації сховища, яке приймається 0,097 м</w:t>
      </w:r>
      <w:r w:rsidRPr="00CA7C54">
        <w:rPr>
          <w:color w:val="000000" w:themeColor="text1"/>
          <w:sz w:val="21"/>
          <w:szCs w:val="21"/>
          <w:vertAlign w:val="superscript"/>
        </w:rPr>
        <w:t>3</w:t>
      </w:r>
      <w:r w:rsidRPr="00CA7C54">
        <w:rPr>
          <w:color w:val="000000" w:themeColor="text1"/>
          <w:sz w:val="21"/>
          <w:szCs w:val="21"/>
        </w:rPr>
        <w:t>/м</w:t>
      </w:r>
      <w:r w:rsidRPr="00CA7C54">
        <w:rPr>
          <w:color w:val="000000" w:themeColor="text1"/>
          <w:sz w:val="21"/>
          <w:szCs w:val="21"/>
          <w:vertAlign w:val="superscript"/>
        </w:rPr>
        <w:t>2</w:t>
      </w:r>
      <w:r w:rsidRPr="00CA7C54">
        <w:rPr>
          <w:color w:val="000000" w:themeColor="text1"/>
          <w:sz w:val="21"/>
          <w:szCs w:val="21"/>
        </w:rPr>
        <w:t>·год;</w:t>
      </w:r>
    </w:p>
    <w:p w14:paraId="5E2E3EBF" w14:textId="77777777" w:rsidR="003C4E04" w:rsidRPr="00CA7C54" w:rsidRDefault="001E748C" w:rsidP="00881435">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F</w:t>
      </w:r>
      <w:r w:rsidRPr="003D7792">
        <w:rPr>
          <w:rFonts w:ascii="Times New Roman" w:hAnsi="Times New Roman" w:cs="Times New Roman"/>
          <w:i/>
          <w:color w:val="000000" w:themeColor="text1"/>
          <w:sz w:val="21"/>
          <w:szCs w:val="21"/>
          <w:vertAlign w:val="subscript"/>
        </w:rPr>
        <w:t>огор</w:t>
      </w:r>
      <w:r w:rsidRPr="003D7792">
        <w:rPr>
          <w:rFonts w:ascii="Times New Roman" w:hAnsi="Times New Roman" w:cs="Times New Roman"/>
          <w:color w:val="000000" w:themeColor="text1"/>
          <w:sz w:val="21"/>
          <w:szCs w:val="21"/>
        </w:rPr>
        <w:t xml:space="preserve"> </w:t>
      </w:r>
      <w:r w:rsidRPr="00CA7C54">
        <w:rPr>
          <w:color w:val="000000" w:themeColor="text1"/>
          <w:sz w:val="21"/>
          <w:szCs w:val="21"/>
        </w:rPr>
        <w:t>– позначення те саме, що у формулі (11.4).</w:t>
      </w:r>
    </w:p>
    <w:p w14:paraId="2F2A1AA7"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Послідовність проведення розрахунків по визначенню запасів стиснутого повітря для влаштування підпору у сховищах з III-м режимом наведено у Додатку </w:t>
      </w:r>
      <w:r w:rsidR="000F1A40" w:rsidRPr="00CA7C54">
        <w:rPr>
          <w:color w:val="000000" w:themeColor="text1"/>
          <w:sz w:val="21"/>
          <w:szCs w:val="21"/>
        </w:rPr>
        <w:t>Ж</w:t>
      </w:r>
      <w:r w:rsidRPr="00CA7C54">
        <w:rPr>
          <w:color w:val="000000" w:themeColor="text1"/>
          <w:sz w:val="21"/>
          <w:szCs w:val="21"/>
        </w:rPr>
        <w:t>.</w:t>
      </w:r>
    </w:p>
    <w:p w14:paraId="7D4D3668"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11.2.1.29 </w:t>
      </w:r>
      <w:r w:rsidRPr="00CA7C54">
        <w:rPr>
          <w:color w:val="000000" w:themeColor="text1"/>
          <w:sz w:val="21"/>
          <w:szCs w:val="21"/>
        </w:rPr>
        <w:t>У режимі чистої вентиляції (режим І) загальна кількість повітря, яке видаляється, повинна складати 0,9 від об'єму повітря. </w:t>
      </w:r>
    </w:p>
    <w:p w14:paraId="162D2766"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11.2.1.30</w:t>
      </w:r>
      <w:r w:rsidRPr="00CA7C54">
        <w:rPr>
          <w:color w:val="000000" w:themeColor="text1"/>
          <w:sz w:val="21"/>
          <w:szCs w:val="21"/>
        </w:rPr>
        <w:t xml:space="preserve"> Контроль за підпором повітря у сховище (у приміщеннях для осіб що укриваються, приміщенні для встановлення автономних джерел енергозабезпечення (ДЕС) та станції перекачування) слід виконувати за допомогою тягонапоромiру, який з'єднаний з атмосферою водогазопровідною оцинкованою трубою діаметром 15 мм з запірним пристроєм. Вивід труби від пiдпоромiра в атмосферу слід виконувати у зону, в якій немає впливу потоків повітря при роботі систем вентиляції сховища.</w:t>
      </w:r>
    </w:p>
    <w:p w14:paraId="5D4D3205"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11.2.1.31</w:t>
      </w:r>
      <w:r w:rsidRPr="00CA7C54">
        <w:rPr>
          <w:color w:val="000000" w:themeColor="text1"/>
          <w:sz w:val="21"/>
          <w:szCs w:val="21"/>
        </w:rPr>
        <w:t xml:space="preserve"> У про</w:t>
      </w:r>
      <w:r w:rsidR="00881435" w:rsidRPr="00CA7C54">
        <w:rPr>
          <w:color w:val="000000" w:themeColor="text1"/>
          <w:sz w:val="21"/>
          <w:szCs w:val="21"/>
        </w:rPr>
        <w:t>є</w:t>
      </w:r>
      <w:r w:rsidRPr="00CA7C54">
        <w:rPr>
          <w:color w:val="000000" w:themeColor="text1"/>
          <w:sz w:val="21"/>
          <w:szCs w:val="21"/>
        </w:rPr>
        <w:t>ктній документації вказуються всі площини (лінії, зони) герметизації сховища/СПП та засоби, що забезпечують герметизацію у входах та місцях проходу комунікацій.</w:t>
      </w:r>
    </w:p>
    <w:p w14:paraId="7584CBF8"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11.2.1.32</w:t>
      </w:r>
      <w:r w:rsidRPr="00CA7C54">
        <w:rPr>
          <w:color w:val="000000" w:themeColor="text1"/>
          <w:sz w:val="21"/>
          <w:szCs w:val="21"/>
        </w:rPr>
        <w:t xml:space="preserve"> Видалення повітря слід передбачати за рахунок підпору повітря у приміщенні сховища чи СПП або за допомогою витяжних вентиляторів, встановлення яких допускається разом з припливними вентиляторами.</w:t>
      </w:r>
    </w:p>
    <w:p w14:paraId="0291E75A"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Аеродинамічний опір витяжних систем при видаленні повітря за рахунок підпору не повинен перевищувати 50 Па, при цьому допускається передбачати збільшення кількості противибухових пристроїв, а розміщення шахт та оголовків витяжної вентиляції слід передбачати на території, яка знаходиться поза межами зони можливих завалів.</w:t>
      </w:r>
    </w:p>
    <w:p w14:paraId="32651DB8"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видаленні повітря електровентиляторами та електроручними вентиляторами аеродинамічний опір витяжних систем визначається розрахунком. У разі розміщення витяжних шахт та оголовків цих систем на території зони можливих завалів, має враховуватися додатковий опір від завалу, який дорівнює 50 Па.</w:t>
      </w:r>
    </w:p>
    <w:p w14:paraId="6C31F442" w14:textId="77777777" w:rsidR="003C4E04" w:rsidRPr="00CA7C54" w:rsidRDefault="001E748C" w:rsidP="00881435">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rPr>
        <w:t>11.2.1.33</w:t>
      </w:r>
      <w:r w:rsidRPr="00CA7C54">
        <w:rPr>
          <w:color w:val="000000" w:themeColor="text1"/>
          <w:sz w:val="21"/>
          <w:szCs w:val="21"/>
        </w:rPr>
        <w:t xml:space="preserve"> Системи вентиляції сховищ та СПП під’єднуються до джерела електропостачання з урахуванням вимог розд</w:t>
      </w:r>
      <w:r w:rsidRPr="00CA7C54">
        <w:rPr>
          <w:color w:val="000000" w:themeColor="text1"/>
          <w:sz w:val="21"/>
          <w:szCs w:val="21"/>
          <w:highlight w:val="white"/>
        </w:rPr>
        <w:t xml:space="preserve">ілу 11.5 цих </w:t>
      </w:r>
      <w:r w:rsidR="00FB4FD3" w:rsidRPr="00CA7C54">
        <w:rPr>
          <w:color w:val="000000" w:themeColor="text1"/>
          <w:sz w:val="21"/>
          <w:szCs w:val="21"/>
          <w:highlight w:val="white"/>
        </w:rPr>
        <w:t>н</w:t>
      </w:r>
      <w:r w:rsidRPr="00CA7C54">
        <w:rPr>
          <w:color w:val="000000" w:themeColor="text1"/>
          <w:sz w:val="21"/>
          <w:szCs w:val="21"/>
          <w:highlight w:val="white"/>
        </w:rPr>
        <w:t xml:space="preserve">орм. </w:t>
      </w:r>
    </w:p>
    <w:p w14:paraId="537485B5" w14:textId="77777777" w:rsidR="003C4E04" w:rsidRPr="00CA7C54" w:rsidRDefault="001E748C" w:rsidP="00935A1D">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11.2.2 Системи вентиляції ПРУ та СПП із захисними властивостями ПРУ</w:t>
      </w:r>
    </w:p>
    <w:p w14:paraId="383A42CD"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11.2.2.1 </w:t>
      </w:r>
      <w:r w:rsidRPr="00CA7C54">
        <w:rPr>
          <w:color w:val="000000" w:themeColor="text1"/>
          <w:sz w:val="21"/>
          <w:szCs w:val="21"/>
        </w:rPr>
        <w:t>У ПРУ та СПП слід передбачати вентиляцію із механічним спонуканням. Відстань між обладнанням має відповідати вимогам таблиці 11.1. </w:t>
      </w:r>
    </w:p>
    <w:p w14:paraId="2E218858"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11.2.2.2 </w:t>
      </w:r>
      <w:r w:rsidRPr="00CA7C54">
        <w:rPr>
          <w:color w:val="000000" w:themeColor="text1"/>
          <w:sz w:val="21"/>
          <w:szCs w:val="21"/>
        </w:rPr>
        <w:t>При укритті людей у ПРУ та СПП у основних приміщеннях для укриття повинні дотримуватися оптимальні умови мікроклімату (температура повітря, відносна вологість, швидкість руху повітря), що визначені по аналогії перебування людей у нервово-емоційному напруженні (характеристики до аналогічної легкої роботи Іа) Параметри мікроклімату контролюються на рівні 0,5 м над верхньою поверхнею сидіння або верхньої лави для лежання (при багаторівневому розміщенні людей), але не нижче</w:t>
      </w:r>
      <w:r w:rsidR="00F53F9C" w:rsidRPr="00CA7C54">
        <w:rPr>
          <w:color w:val="000000" w:themeColor="text1"/>
          <w:sz w:val="21"/>
          <w:szCs w:val="21"/>
        </w:rPr>
        <w:t xml:space="preserve"> ніж</w:t>
      </w:r>
      <w:r w:rsidRPr="00CA7C54">
        <w:rPr>
          <w:color w:val="000000" w:themeColor="text1"/>
          <w:sz w:val="21"/>
          <w:szCs w:val="21"/>
        </w:rPr>
        <w:t xml:space="preserve"> 1,5 м над поверхнею підлоги.</w:t>
      </w:r>
    </w:p>
    <w:p w14:paraId="57785196"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 xml:space="preserve">11.2.2.3 </w:t>
      </w:r>
      <w:r w:rsidRPr="00CA7C54">
        <w:rPr>
          <w:color w:val="000000" w:themeColor="text1"/>
          <w:sz w:val="21"/>
          <w:szCs w:val="21"/>
        </w:rPr>
        <w:t>У приміщеннях ПРУ та СПП гранично-допустимі параметри мікроклімату і газовий склад повітряного середовища залежно від складу осіб, що укриваються, слід приймати за таблицею 11.2, колонка – чиста вентиляція.</w:t>
      </w:r>
    </w:p>
    <w:p w14:paraId="3DDEDB7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приміщеннях медичного пункту гранично-допустимі параметри мікроклімату і газового складу повітряного середовища слід приймати за таблицею 11.2 як для групи населення "діти віком до 11 років, вагітні жінки, матері-годувальниці", колонка – чиста вентиляція.</w:t>
      </w:r>
    </w:p>
    <w:p w14:paraId="2996DE6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11.2.2.4 </w:t>
      </w:r>
      <w:r w:rsidRPr="00CA7C54">
        <w:rPr>
          <w:color w:val="000000" w:themeColor="text1"/>
          <w:sz w:val="21"/>
          <w:szCs w:val="21"/>
        </w:rPr>
        <w:t xml:space="preserve">Кількість зовнішнього повітря, яке подається у ПРУ/СПП  призначених для закладів охорони здоров’я, слід приймати не менше </w:t>
      </w:r>
      <w:r w:rsidR="00E7302F">
        <w:rPr>
          <w:color w:val="000000" w:themeColor="text1"/>
          <w:sz w:val="21"/>
          <w:szCs w:val="21"/>
        </w:rPr>
        <w:t xml:space="preserve">ніж </w:t>
      </w:r>
      <w:r w:rsidRPr="00CA7C54">
        <w:rPr>
          <w:color w:val="000000" w:themeColor="text1"/>
          <w:sz w:val="21"/>
          <w:szCs w:val="21"/>
        </w:rPr>
        <w:t>значен</w:t>
      </w:r>
      <w:r w:rsidR="00E7302F">
        <w:rPr>
          <w:color w:val="000000" w:themeColor="text1"/>
          <w:sz w:val="21"/>
          <w:szCs w:val="21"/>
        </w:rPr>
        <w:t>няу</w:t>
      </w:r>
      <w:r w:rsidRPr="00CA7C54">
        <w:rPr>
          <w:color w:val="000000" w:themeColor="text1"/>
          <w:sz w:val="21"/>
          <w:szCs w:val="21"/>
        </w:rPr>
        <w:t xml:space="preserve"> таблиці 11.4 помножених на коефіцієнт 1,5</w:t>
      </w:r>
      <w:r w:rsidR="00C7348B">
        <w:rPr>
          <w:color w:val="000000" w:themeColor="text1"/>
          <w:sz w:val="21"/>
          <w:szCs w:val="21"/>
        </w:rPr>
        <w:t>,</w:t>
      </w:r>
      <w:r w:rsidR="00E417D3">
        <w:rPr>
          <w:color w:val="000000" w:themeColor="text1"/>
          <w:sz w:val="21"/>
          <w:szCs w:val="21"/>
        </w:rPr>
        <w:t>і</w:t>
      </w:r>
      <w:r w:rsidRPr="00CA7C54">
        <w:rPr>
          <w:color w:val="000000" w:themeColor="text1"/>
          <w:sz w:val="21"/>
          <w:szCs w:val="21"/>
        </w:rPr>
        <w:t>нших груп будівель та споруд – не менше</w:t>
      </w:r>
      <w:r w:rsidR="00E7302F">
        <w:rPr>
          <w:color w:val="000000" w:themeColor="text1"/>
          <w:sz w:val="21"/>
          <w:szCs w:val="21"/>
        </w:rPr>
        <w:t xml:space="preserve"> ніж </w:t>
      </w:r>
      <w:r w:rsidRPr="00CA7C54">
        <w:rPr>
          <w:color w:val="000000" w:themeColor="text1"/>
          <w:sz w:val="21"/>
          <w:szCs w:val="21"/>
        </w:rPr>
        <w:t xml:space="preserve"> значен</w:t>
      </w:r>
      <w:r w:rsidR="00E7302F">
        <w:rPr>
          <w:color w:val="000000" w:themeColor="text1"/>
          <w:sz w:val="21"/>
          <w:szCs w:val="21"/>
        </w:rPr>
        <w:t>няу</w:t>
      </w:r>
      <w:r w:rsidRPr="00CA7C54">
        <w:rPr>
          <w:color w:val="000000" w:themeColor="text1"/>
          <w:sz w:val="21"/>
          <w:szCs w:val="21"/>
        </w:rPr>
        <w:t xml:space="preserve"> таблиці 11.4 без врахування коефіцієнту.</w:t>
      </w:r>
    </w:p>
    <w:p w14:paraId="1BDF7575"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Кількість зовнішнього повітря, яке подається у приміщення ПРУ/СПП, що призначені для укриття дітей віком до 11 років, вагітних жінок та </w:t>
      </w:r>
      <w:r w:rsidR="000F1A40" w:rsidRPr="00CA7C54">
        <w:rPr>
          <w:color w:val="000000" w:themeColor="text1"/>
          <w:sz w:val="21"/>
          <w:szCs w:val="21"/>
        </w:rPr>
        <w:t>матер</w:t>
      </w:r>
      <w:r w:rsidR="00C17CE3">
        <w:rPr>
          <w:color w:val="000000" w:themeColor="text1"/>
          <w:sz w:val="21"/>
          <w:szCs w:val="21"/>
        </w:rPr>
        <w:t>ів</w:t>
      </w:r>
      <w:r w:rsidR="000F1A40" w:rsidRPr="00CA7C54">
        <w:rPr>
          <w:color w:val="000000" w:themeColor="text1"/>
          <w:sz w:val="21"/>
          <w:szCs w:val="21"/>
        </w:rPr>
        <w:t>-годувальниць</w:t>
      </w:r>
      <w:r w:rsidRPr="00CA7C54">
        <w:rPr>
          <w:color w:val="000000" w:themeColor="text1"/>
          <w:sz w:val="21"/>
          <w:szCs w:val="21"/>
        </w:rPr>
        <w:t>, слід визначати розрахунком за формулою 11.1, але не менше значення в таблиці 11.4</w:t>
      </w:r>
    </w:p>
    <w:p w14:paraId="66A9C106" w14:textId="77777777" w:rsidR="003C4E04" w:rsidRPr="00CA7C54" w:rsidRDefault="001E748C" w:rsidP="00935A1D">
      <w:pPr>
        <w:spacing w:before="0" w:line="288" w:lineRule="auto"/>
        <w:contextualSpacing/>
        <w:rPr>
          <w:color w:val="000000" w:themeColor="text1"/>
          <w:sz w:val="21"/>
          <w:szCs w:val="21"/>
        </w:rPr>
      </w:pPr>
      <w:r w:rsidRPr="00CA7C54">
        <w:rPr>
          <w:color w:val="000000" w:themeColor="text1"/>
          <w:sz w:val="21"/>
          <w:szCs w:val="21"/>
        </w:rPr>
        <w:t>При цьому мінімальна кратність повітрообміну у приміщеннях для перебування осіб, які підлягають укриттю, має становити 6 за годину (4 при капремонті і реконструкції), для закладів охорони здоров'я  - 10 за годину (6 при капремонті і реконструкції).</w:t>
      </w:r>
    </w:p>
    <w:p w14:paraId="195EF3E0"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11.2.2.5</w:t>
      </w:r>
      <w:r w:rsidRPr="00CA7C54">
        <w:rPr>
          <w:color w:val="000000" w:themeColor="text1"/>
          <w:sz w:val="21"/>
          <w:szCs w:val="21"/>
        </w:rPr>
        <w:t xml:space="preserve"> Вентилятори для систем вентиляції ПРУ та СПП без захищеного автономного джерела електропостачання або без ДЕС  слід передбачати з електроручним приводом.</w:t>
      </w:r>
    </w:p>
    <w:p w14:paraId="6ABE930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Продуктивність електроручних вентиляторів має відповідати розрахунковим параметрам вентиляції.</w:t>
      </w:r>
    </w:p>
    <w:p w14:paraId="2C1BEF74"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визначенні кількості електроручних вентиляторів, що встановлюються паралельно, слід вводити поправочний коефіцієнт на їх продуктивність, який дорівнює 0,8. </w:t>
      </w:r>
    </w:p>
    <w:p w14:paraId="46BE028B"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застосуванні у ПРУ/СПП вентиляторів тільки з електроприводом слід передбачати резервну вентиляцію з розрахунку не менше</w:t>
      </w:r>
      <w:r w:rsidR="00F53F9C" w:rsidRPr="00CA7C54">
        <w:rPr>
          <w:color w:val="000000" w:themeColor="text1"/>
          <w:sz w:val="21"/>
          <w:szCs w:val="21"/>
        </w:rPr>
        <w:t xml:space="preserve"> ніж</w:t>
      </w:r>
      <w:r w:rsidRPr="00CA7C54">
        <w:rPr>
          <w:color w:val="000000" w:themeColor="text1"/>
          <w:sz w:val="21"/>
          <w:szCs w:val="21"/>
        </w:rPr>
        <w:t xml:space="preserve"> 3 м³/люд·год. Резервна вентиляція у цьому випадку виконується із застосуванням електроручних вентиляторів.</w:t>
      </w:r>
    </w:p>
    <w:p w14:paraId="02745A54" w14:textId="77777777" w:rsidR="003C4E04" w:rsidRPr="00CA7C54" w:rsidRDefault="001E748C" w:rsidP="00935A1D">
      <w:pPr>
        <w:spacing w:before="0" w:line="288" w:lineRule="auto"/>
        <w:ind w:firstLine="566"/>
        <w:contextualSpacing/>
        <w:rPr>
          <w:color w:val="000000" w:themeColor="text1"/>
          <w:sz w:val="21"/>
          <w:szCs w:val="21"/>
        </w:rPr>
      </w:pPr>
      <w:r w:rsidRPr="00CA7C54">
        <w:rPr>
          <w:color w:val="000000" w:themeColor="text1"/>
          <w:sz w:val="21"/>
          <w:szCs w:val="21"/>
          <w:highlight w:val="white"/>
        </w:rPr>
        <w:t>Основні технічні характеристики типових електроручних вентиляторів наведено у таблиці Д.2 Додатк</w:t>
      </w:r>
      <w:r w:rsidR="0029561C" w:rsidRPr="00CA7C54">
        <w:rPr>
          <w:color w:val="000000" w:themeColor="text1"/>
          <w:sz w:val="21"/>
          <w:szCs w:val="21"/>
          <w:highlight w:val="white"/>
        </w:rPr>
        <w:t>а</w:t>
      </w:r>
      <w:r w:rsidR="000F1A40" w:rsidRPr="00CA7C54">
        <w:rPr>
          <w:color w:val="000000" w:themeColor="text1"/>
          <w:sz w:val="21"/>
          <w:szCs w:val="21"/>
          <w:highlight w:val="white"/>
        </w:rPr>
        <w:t>Е</w:t>
      </w:r>
      <w:r w:rsidRPr="00CA7C54">
        <w:rPr>
          <w:color w:val="000000" w:themeColor="text1"/>
          <w:sz w:val="21"/>
          <w:szCs w:val="21"/>
          <w:highlight w:val="white"/>
        </w:rPr>
        <w:t xml:space="preserve"> цих </w:t>
      </w:r>
      <w:r w:rsidR="0029561C" w:rsidRPr="00CA7C54">
        <w:rPr>
          <w:color w:val="000000" w:themeColor="text1"/>
          <w:sz w:val="21"/>
          <w:szCs w:val="21"/>
          <w:highlight w:val="white"/>
        </w:rPr>
        <w:t>н</w:t>
      </w:r>
      <w:r w:rsidRPr="00CA7C54">
        <w:rPr>
          <w:color w:val="000000" w:themeColor="text1"/>
          <w:sz w:val="21"/>
          <w:szCs w:val="21"/>
          <w:highlight w:val="white"/>
        </w:rPr>
        <w:t>орм. Допускається застосування інших електроручних вентиляторів (аналогів) із забезпеченням необхідних технічних параметрів.</w:t>
      </w:r>
    </w:p>
    <w:p w14:paraId="44B9F51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11.2.2.6 </w:t>
      </w:r>
      <w:r w:rsidRPr="00CA7C54">
        <w:rPr>
          <w:color w:val="000000" w:themeColor="text1"/>
          <w:sz w:val="21"/>
          <w:szCs w:val="21"/>
        </w:rPr>
        <w:t>Всі вентиляційні отвори обладнуються протипиловими пристроями (фільтрами), які мають опір потоку повітря не менше</w:t>
      </w:r>
      <w:r w:rsidR="0029561C" w:rsidRPr="00CA7C54">
        <w:rPr>
          <w:color w:val="000000" w:themeColor="text1"/>
          <w:sz w:val="21"/>
          <w:szCs w:val="21"/>
        </w:rPr>
        <w:t xml:space="preserve"> ніж </w:t>
      </w:r>
      <w:r w:rsidRPr="00CA7C54">
        <w:rPr>
          <w:color w:val="000000" w:themeColor="text1"/>
          <w:sz w:val="21"/>
          <w:szCs w:val="21"/>
        </w:rPr>
        <w:t xml:space="preserve"> 5 Н/м</w:t>
      </w:r>
      <w:r w:rsidRPr="00CA7C54">
        <w:rPr>
          <w:color w:val="000000" w:themeColor="text1"/>
          <w:sz w:val="21"/>
          <w:szCs w:val="21"/>
          <w:vertAlign w:val="superscript"/>
        </w:rPr>
        <w:t>2</w:t>
      </w:r>
      <w:r w:rsidRPr="00CA7C54">
        <w:rPr>
          <w:color w:val="000000" w:themeColor="text1"/>
          <w:sz w:val="21"/>
          <w:szCs w:val="21"/>
        </w:rPr>
        <w:t xml:space="preserve"> (0,5 кгс/м</w:t>
      </w:r>
      <w:r w:rsidRPr="00CA7C54">
        <w:rPr>
          <w:color w:val="000000" w:themeColor="text1"/>
          <w:sz w:val="21"/>
          <w:szCs w:val="21"/>
          <w:vertAlign w:val="superscript"/>
        </w:rPr>
        <w:t>2</w:t>
      </w:r>
      <w:r w:rsidRPr="00CA7C54">
        <w:rPr>
          <w:color w:val="000000" w:themeColor="text1"/>
          <w:sz w:val="21"/>
          <w:szCs w:val="21"/>
        </w:rPr>
        <w:t>). При очищенні від пилу повітря, яке подається у приміщення ПРУ/СПП механічною системою вентиляції слід використовувати фільтри грубого очищення, зокрема – масляні, та інші фільтри з коефіцієнтом очищення не менше</w:t>
      </w:r>
      <w:r w:rsidR="0029561C" w:rsidRPr="00CA7C54">
        <w:rPr>
          <w:color w:val="000000" w:themeColor="text1"/>
          <w:sz w:val="21"/>
          <w:szCs w:val="21"/>
        </w:rPr>
        <w:t xml:space="preserve"> ніж </w:t>
      </w:r>
      <w:r w:rsidRPr="00CA7C54">
        <w:rPr>
          <w:color w:val="000000" w:themeColor="text1"/>
          <w:sz w:val="21"/>
          <w:szCs w:val="21"/>
        </w:rPr>
        <w:t xml:space="preserve"> 0,8.</w:t>
      </w:r>
    </w:p>
    <w:p w14:paraId="2CFC9CD9" w14:textId="77777777" w:rsidR="003C4E04" w:rsidRPr="00CA7C54" w:rsidRDefault="001E748C" w:rsidP="003D779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11.2.2.7</w:t>
      </w:r>
      <w:r w:rsidRPr="00CA7C54">
        <w:rPr>
          <w:color w:val="000000" w:themeColor="text1"/>
          <w:sz w:val="21"/>
          <w:szCs w:val="21"/>
        </w:rPr>
        <w:t xml:space="preserve"> Вентиляція приміщень, призначених для встановлення автономних джерел енергозабезпечення (електроживлення) (ДЕС), а також чистої та забрудненої зон санпропускників, має передбачатися через окремі повітроводи від повітроводів інших систем вентиляції.</w:t>
      </w:r>
    </w:p>
    <w:p w14:paraId="36CDE974" w14:textId="2D4CC96F" w:rsidR="003D7792" w:rsidRPr="00B173EB" w:rsidRDefault="001E748C" w:rsidP="003D7792">
      <w:pPr>
        <w:spacing w:before="0" w:line="288" w:lineRule="auto"/>
        <w:ind w:firstLine="709"/>
        <w:rPr>
          <w:sz w:val="21"/>
          <w:szCs w:val="21"/>
        </w:rPr>
      </w:pPr>
      <w:r w:rsidRPr="00CA7C54">
        <w:rPr>
          <w:color w:val="000000" w:themeColor="text1"/>
          <w:sz w:val="21"/>
          <w:szCs w:val="21"/>
        </w:rPr>
        <w:t>Повітрозабори мають розміщуватися поза межами можливих завалів будівель і споруд.</w:t>
      </w:r>
      <w:r w:rsidR="003D7792" w:rsidRPr="003D7792">
        <w:rPr>
          <w:rFonts w:eastAsia="Calibri"/>
          <w:bCs/>
          <w:sz w:val="21"/>
          <w:szCs w:val="21"/>
        </w:rPr>
        <w:t xml:space="preserve"> </w:t>
      </w:r>
      <w:bookmarkStart w:id="24" w:name="Розділ_7_ОБ’ЄМНО-ПЛАНУВАЛЬНІ_РІШЕННЯ"/>
      <w:bookmarkEnd w:id="24"/>
      <w:r w:rsidR="003D7792" w:rsidRPr="00B173EB">
        <w:rPr>
          <w:rFonts w:eastAsia="Calibri"/>
          <w:bCs/>
          <w:sz w:val="21"/>
          <w:szCs w:val="21"/>
        </w:rPr>
        <w:t>Допускається розташування повітрозаборів у межах зон можливих завалів за умови влаштування не менше одного додаткового (резервного) повітрозабору з розташуванням оголовків повітрозаборів на протилежних сторонах відносно захисної споруди або вздовж одного фасаду захисної споруди за умови забезпечення відстані між ними не менше 50</w:t>
      </w:r>
      <w:r w:rsidR="003D7792">
        <w:rPr>
          <w:rFonts w:eastAsia="Calibri"/>
          <w:bCs/>
          <w:sz w:val="21"/>
          <w:szCs w:val="21"/>
        </w:rPr>
        <w:t xml:space="preserve"> </w:t>
      </w:r>
      <w:r w:rsidR="003D7792" w:rsidRPr="00B173EB">
        <w:rPr>
          <w:rFonts w:eastAsia="Calibri"/>
          <w:bCs/>
          <w:sz w:val="21"/>
          <w:szCs w:val="21"/>
        </w:rPr>
        <w:t>м</w:t>
      </w:r>
      <w:r w:rsidR="003D7792">
        <w:rPr>
          <w:rFonts w:eastAsia="Calibri"/>
          <w:bCs/>
          <w:sz w:val="21"/>
          <w:szCs w:val="21"/>
        </w:rPr>
        <w:t>.</w:t>
      </w:r>
    </w:p>
    <w:p w14:paraId="690D3D34" w14:textId="77777777" w:rsidR="003C4E04" w:rsidRPr="00CA7C54" w:rsidRDefault="001E748C" w:rsidP="003D779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Вимоги щодо мінімальної відстані між пристроєм для забору зовнішнього повітря та пристроєм для викиду витяжного повітря у залежності від якості витяжного повітря, яке видаляється системою механічної вентиляції, коефіцієнта розсіювання і витрати повітря через викидний пристрій, слід визначати відповідно до ДСТУ Б EN 13779.</w:t>
      </w:r>
    </w:p>
    <w:p w14:paraId="3BF1D1A0" w14:textId="52F998A1" w:rsidR="003C4E04" w:rsidRDefault="001E748C" w:rsidP="003D7792">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У місцях розташування ПРУ/СПП у житловій зоні населених пунктів допускається поєднання у загальних шахтах з витяжних каналів із окремих приміщень та каналів вихлопних систем автономних джерел енергозабезпечення за умови використання повітропроводів зварними без рознімних з’єднань класу щільності не менше В згідно </w:t>
      </w:r>
      <w:r w:rsidR="0029561C" w:rsidRPr="00CA7C54">
        <w:rPr>
          <w:color w:val="000000" w:themeColor="text1"/>
          <w:sz w:val="21"/>
          <w:szCs w:val="21"/>
        </w:rPr>
        <w:t xml:space="preserve">з </w:t>
      </w:r>
      <w:hyperlink r:id="rId213" w:history="1">
        <w:r w:rsidRPr="00607C5F">
          <w:rPr>
            <w:rStyle w:val="ac"/>
            <w:rFonts w:cs="Arial"/>
            <w:sz w:val="21"/>
            <w:szCs w:val="21"/>
          </w:rPr>
          <w:t>ДБН В.2.5-67.</w:t>
        </w:r>
      </w:hyperlink>
      <w:r w:rsidRPr="00CA7C54">
        <w:rPr>
          <w:color w:val="000000" w:themeColor="text1"/>
          <w:sz w:val="21"/>
          <w:szCs w:val="21"/>
        </w:rPr>
        <w:t xml:space="preserve"> Для цих </w:t>
      </w:r>
      <w:r w:rsidRPr="00CA7C54">
        <w:rPr>
          <w:color w:val="000000" w:themeColor="text1"/>
          <w:sz w:val="21"/>
          <w:szCs w:val="21"/>
        </w:rPr>
        <w:lastRenderedPageBreak/>
        <w:t>повітропроводів слід передбачати окрему шахту з огороджувальними конструкціями класом вогнестійкості не менше EI120.</w:t>
      </w:r>
    </w:p>
    <w:p w14:paraId="56C560AB" w14:textId="5092BC4A" w:rsidR="003D7792" w:rsidRPr="003D7792" w:rsidRDefault="003D7792" w:rsidP="003D7792">
      <w:pPr>
        <w:pBdr>
          <w:top w:val="nil"/>
          <w:left w:val="nil"/>
          <w:bottom w:val="nil"/>
          <w:right w:val="nil"/>
          <w:between w:val="nil"/>
        </w:pBdr>
        <w:spacing w:before="0" w:line="288" w:lineRule="auto"/>
        <w:contextualSpacing/>
        <w:rPr>
          <w:rFonts w:eastAsia="Times New Roman"/>
          <w:b/>
          <w:bCs/>
          <w:i/>
          <w:iCs/>
          <w:color w:val="00B050"/>
          <w:sz w:val="21"/>
          <w:szCs w:val="21"/>
        </w:rPr>
      </w:pPr>
      <w:r w:rsidRPr="003D7792">
        <w:rPr>
          <w:b/>
          <w:bCs/>
          <w:i/>
          <w:iCs/>
          <w:color w:val="00B050"/>
          <w:sz w:val="21"/>
          <w:szCs w:val="21"/>
        </w:rPr>
        <w:t>(Пункт 11.2.2.7 змінено, Зміна № 2)</w:t>
      </w:r>
    </w:p>
    <w:p w14:paraId="4703C9E1"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11.2.2.8</w:t>
      </w:r>
      <w:r w:rsidRPr="00CA7C54">
        <w:rPr>
          <w:color w:val="000000" w:themeColor="text1"/>
          <w:sz w:val="21"/>
          <w:szCs w:val="21"/>
        </w:rPr>
        <w:t xml:space="preserve"> Повітроводи припливних та витяжних систем, що прокладаються зовні, виконуються із будівельних конструкцій, розрахованих на дію повітряної ударної хвилі, або монтуються зі сталевих зварних труб і повинні прокладатися з ухилом 0,003 і більше у бік від захисної споруди (споруди подвійного призначення). При цьому перед противибуховим пристроєм слід передбачати відведення конденсату.</w:t>
      </w:r>
    </w:p>
    <w:p w14:paraId="7764A602"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Повітроводи фільтрів необхідно виготовляти зі сталевої труби або листової сталі завтовшки не менше</w:t>
      </w:r>
      <w:r w:rsidR="009F3E09" w:rsidRPr="00CA7C54">
        <w:rPr>
          <w:color w:val="000000" w:themeColor="text1"/>
          <w:sz w:val="21"/>
          <w:szCs w:val="21"/>
        </w:rPr>
        <w:t xml:space="preserve"> ніж </w:t>
      </w:r>
      <w:r w:rsidRPr="00CA7C54">
        <w:rPr>
          <w:color w:val="000000" w:themeColor="text1"/>
          <w:sz w:val="21"/>
          <w:szCs w:val="21"/>
        </w:rPr>
        <w:t>2 мм. </w:t>
      </w:r>
    </w:p>
    <w:p w14:paraId="6B41A2CB" w14:textId="1A11DF11"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В інших випадках повітроводи ПРУ/СПП виконують із сталевих труб круглого або прямокутного перерізу. Товщину листової сталі для повітроводів, уздовж яких переміщується повітря з температурою не вище ніж 80 </w:t>
      </w:r>
      <w:r w:rsidRPr="00CA7C54">
        <w:rPr>
          <w:color w:val="000000" w:themeColor="text1"/>
          <w:sz w:val="21"/>
          <w:szCs w:val="21"/>
          <w:vertAlign w:val="superscript"/>
        </w:rPr>
        <w:t>0</w:t>
      </w:r>
      <w:r w:rsidRPr="00CA7C54">
        <w:rPr>
          <w:color w:val="000000" w:themeColor="text1"/>
          <w:sz w:val="21"/>
          <w:szCs w:val="21"/>
        </w:rPr>
        <w:t xml:space="preserve">С, слід приймати згідно </w:t>
      </w:r>
      <w:r w:rsidR="0000532B" w:rsidRPr="00CA7C54">
        <w:rPr>
          <w:color w:val="000000" w:themeColor="text1"/>
          <w:sz w:val="21"/>
          <w:szCs w:val="21"/>
        </w:rPr>
        <w:t xml:space="preserve">з </w:t>
      </w:r>
      <w:hyperlink r:id="rId214" w:history="1">
        <w:r w:rsidRPr="00607C5F">
          <w:rPr>
            <w:rStyle w:val="ac"/>
            <w:rFonts w:cs="Arial"/>
            <w:sz w:val="21"/>
            <w:szCs w:val="21"/>
          </w:rPr>
          <w:t>ДБН В.2.5-67</w:t>
        </w:r>
      </w:hyperlink>
      <w:r w:rsidRPr="00CA7C54">
        <w:rPr>
          <w:color w:val="000000" w:themeColor="text1"/>
          <w:sz w:val="21"/>
          <w:szCs w:val="21"/>
        </w:rPr>
        <w:t>.</w:t>
      </w:r>
    </w:p>
    <w:p w14:paraId="500F408E"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Довжина повітроводу від вентилятора до найбільш віддаленого вентиляційного отвору має бути:</w:t>
      </w:r>
    </w:p>
    <w:p w14:paraId="742C5655" w14:textId="77777777" w:rsidR="003C4E04" w:rsidRPr="00CA7C54" w:rsidRDefault="00C7348B"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систем вентиляції з електроручними вентиляторами – не більше</w:t>
      </w:r>
      <w:r w:rsidR="00CE56BE" w:rsidRPr="00CA7C54">
        <w:rPr>
          <w:color w:val="000000" w:themeColor="text1"/>
          <w:sz w:val="21"/>
          <w:szCs w:val="21"/>
        </w:rPr>
        <w:t xml:space="preserve"> ніж </w:t>
      </w:r>
      <w:r w:rsidR="001E748C" w:rsidRPr="00CA7C54">
        <w:rPr>
          <w:color w:val="000000" w:themeColor="text1"/>
          <w:sz w:val="21"/>
          <w:szCs w:val="21"/>
        </w:rPr>
        <w:t xml:space="preserve"> 30 м;</w:t>
      </w:r>
    </w:p>
    <w:p w14:paraId="63F8F768" w14:textId="77777777" w:rsidR="003C4E04" w:rsidRPr="00CA7C54" w:rsidRDefault="00C7348B" w:rsidP="00C7348B">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систем, обладнаних промисловими вентиляторами з електроприводами – рекомендується не більше</w:t>
      </w:r>
      <w:r w:rsidR="0000532B" w:rsidRPr="00CA7C54">
        <w:rPr>
          <w:color w:val="000000" w:themeColor="text1"/>
          <w:sz w:val="21"/>
          <w:szCs w:val="21"/>
        </w:rPr>
        <w:t xml:space="preserve"> ніж</w:t>
      </w:r>
      <w:r w:rsidR="001E748C" w:rsidRPr="00CA7C54">
        <w:rPr>
          <w:color w:val="000000" w:themeColor="text1"/>
          <w:sz w:val="21"/>
          <w:szCs w:val="21"/>
        </w:rPr>
        <w:t xml:space="preserve"> 50 м.</w:t>
      </w:r>
    </w:p>
    <w:p w14:paraId="61384CC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11.2.2.9</w:t>
      </w:r>
      <w:r w:rsidRPr="00CA7C54">
        <w:rPr>
          <w:color w:val="000000" w:themeColor="text1"/>
          <w:sz w:val="21"/>
          <w:szCs w:val="21"/>
        </w:rPr>
        <w:t xml:space="preserve"> На повiтрозаборах та витяжних пристроях ПРУ та СПП, слід передбачати установку противовибухових пристроїв. </w:t>
      </w:r>
    </w:p>
    <w:p w14:paraId="47E6AC76"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Противибухові пристрої мають передбачатися такої конструкції, що забезпечує захист систем вентиляції від надмірного тиску повітряної ударної хвилі для відповідної групи ПРУ/СПП згідно Додатк</w:t>
      </w:r>
      <w:r w:rsidR="0000532B" w:rsidRPr="00CA7C54">
        <w:rPr>
          <w:color w:val="000000" w:themeColor="text1"/>
          <w:sz w:val="21"/>
          <w:szCs w:val="21"/>
        </w:rPr>
        <w:t>а</w:t>
      </w:r>
      <w:r w:rsidRPr="00CA7C54">
        <w:rPr>
          <w:color w:val="000000" w:themeColor="text1"/>
          <w:sz w:val="21"/>
          <w:szCs w:val="21"/>
        </w:rPr>
        <w:t xml:space="preserve"> А.1</w:t>
      </w:r>
    </w:p>
    <w:p w14:paraId="777304DA"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Противибуховi пристрої слід розміщувати у межах ПРУ/СПП із забезпеченням вільного доступу до них для здійснення огляду, заміни або ремонту.</w:t>
      </w:r>
    </w:p>
    <w:p w14:paraId="128E252C"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Конструкція противибухових пристроїв повинна забезпечувати працездатність за тих кліматичних умов, в яких пристрій використовується. Можливість застосування такого пристрою при несприятливих кліматичних умовах має бути зазначена в паспорті на пристрій від заводу-виробника.</w:t>
      </w:r>
    </w:p>
    <w:p w14:paraId="7234B3C4"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Конструкція противибухових пристроїв та місця їх установки мають забезпечувати експлуатацію зазначених пристроїв в усі пори року.</w:t>
      </w:r>
    </w:p>
    <w:p w14:paraId="6AE15B8A" w14:textId="5D1E4CE9"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highlight w:val="white"/>
        </w:rPr>
        <w:t xml:space="preserve">Основні технічні характеристики типових противовибухових пристроїв наведено у </w:t>
      </w:r>
      <w:r w:rsidR="00607C5F">
        <w:rPr>
          <w:color w:val="000000" w:themeColor="text1"/>
          <w:sz w:val="21"/>
          <w:szCs w:val="21"/>
          <w:highlight w:val="white"/>
        </w:rPr>
        <w:t xml:space="preserve">     </w:t>
      </w:r>
      <w:r w:rsidRPr="00CA7C54">
        <w:rPr>
          <w:color w:val="000000" w:themeColor="text1"/>
          <w:sz w:val="21"/>
          <w:szCs w:val="21"/>
          <w:highlight w:val="white"/>
        </w:rPr>
        <w:t xml:space="preserve">таблиці </w:t>
      </w:r>
      <w:r w:rsidR="000F1A40" w:rsidRPr="00CA7C54">
        <w:rPr>
          <w:color w:val="000000" w:themeColor="text1"/>
          <w:sz w:val="21"/>
          <w:szCs w:val="21"/>
          <w:highlight w:val="white"/>
        </w:rPr>
        <w:t>Е</w:t>
      </w:r>
      <w:r w:rsidRPr="00CA7C54">
        <w:rPr>
          <w:color w:val="000000" w:themeColor="text1"/>
          <w:sz w:val="21"/>
          <w:szCs w:val="21"/>
          <w:highlight w:val="white"/>
        </w:rPr>
        <w:t>.1 Додатк</w:t>
      </w:r>
      <w:r w:rsidR="0000532B" w:rsidRPr="00CA7C54">
        <w:rPr>
          <w:color w:val="000000" w:themeColor="text1"/>
          <w:sz w:val="21"/>
          <w:szCs w:val="21"/>
          <w:highlight w:val="white"/>
        </w:rPr>
        <w:t>а</w:t>
      </w:r>
      <w:r w:rsidR="00607C5F">
        <w:rPr>
          <w:color w:val="000000" w:themeColor="text1"/>
          <w:sz w:val="21"/>
          <w:szCs w:val="21"/>
          <w:highlight w:val="white"/>
        </w:rPr>
        <w:t xml:space="preserve"> </w:t>
      </w:r>
      <w:r w:rsidR="000F1A40" w:rsidRPr="00CA7C54">
        <w:rPr>
          <w:color w:val="000000" w:themeColor="text1"/>
          <w:sz w:val="21"/>
          <w:szCs w:val="21"/>
          <w:highlight w:val="white"/>
        </w:rPr>
        <w:t>Е</w:t>
      </w:r>
      <w:r w:rsidRPr="00CA7C54">
        <w:rPr>
          <w:color w:val="000000" w:themeColor="text1"/>
          <w:sz w:val="21"/>
          <w:szCs w:val="21"/>
          <w:highlight w:val="white"/>
        </w:rPr>
        <w:t xml:space="preserve"> цих </w:t>
      </w:r>
      <w:r w:rsidR="0000532B" w:rsidRPr="00CA7C54">
        <w:rPr>
          <w:color w:val="000000" w:themeColor="text1"/>
          <w:sz w:val="21"/>
          <w:szCs w:val="21"/>
          <w:highlight w:val="white"/>
        </w:rPr>
        <w:t>н</w:t>
      </w:r>
      <w:r w:rsidRPr="00CA7C54">
        <w:rPr>
          <w:color w:val="000000" w:themeColor="text1"/>
          <w:sz w:val="21"/>
          <w:szCs w:val="21"/>
          <w:highlight w:val="white"/>
        </w:rPr>
        <w:t>орм. Допускається застосування інших противибухових пристроїв (аналогів) із забезпеченням необхідних технічних параметрів</w:t>
      </w:r>
      <w:r w:rsidR="000F1A40" w:rsidRPr="00CA7C54">
        <w:rPr>
          <w:color w:val="000000" w:themeColor="text1"/>
          <w:sz w:val="21"/>
          <w:szCs w:val="21"/>
        </w:rPr>
        <w:t>.</w:t>
      </w:r>
    </w:p>
    <w:p w14:paraId="6281A85A"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11.2.2.10</w:t>
      </w:r>
      <w:r w:rsidRPr="00CA7C54">
        <w:rPr>
          <w:color w:val="000000" w:themeColor="text1"/>
          <w:sz w:val="21"/>
          <w:szCs w:val="21"/>
        </w:rPr>
        <w:t xml:space="preserve"> Системи вентиляції ПРУ та СПП під’єднуються до джерела електропостачання з урахуванням вимог розділу 11.5 цих </w:t>
      </w:r>
      <w:r w:rsidR="0000532B" w:rsidRPr="00CA7C54">
        <w:rPr>
          <w:color w:val="000000" w:themeColor="text1"/>
          <w:sz w:val="21"/>
          <w:szCs w:val="21"/>
        </w:rPr>
        <w:t>н</w:t>
      </w:r>
      <w:r w:rsidRPr="00CA7C54">
        <w:rPr>
          <w:color w:val="000000" w:themeColor="text1"/>
          <w:sz w:val="21"/>
          <w:szCs w:val="21"/>
        </w:rPr>
        <w:t xml:space="preserve">орм. </w:t>
      </w:r>
    </w:p>
    <w:p w14:paraId="23248234" w14:textId="77777777" w:rsidR="003C4E04" w:rsidRPr="00CA7C54" w:rsidRDefault="001E748C" w:rsidP="00935A1D">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11.2.3 Системи опалення та кондиціонування сховищ, СПП із захисними властивостями сховищ, ПРУ та СПП із захисними властивостями ПРУ</w:t>
      </w:r>
    </w:p>
    <w:p w14:paraId="4AA3C1E2" w14:textId="561D379E"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11.2.3.1</w:t>
      </w:r>
      <w:r w:rsidRPr="00CA7C54">
        <w:rPr>
          <w:color w:val="000000" w:themeColor="text1"/>
          <w:sz w:val="21"/>
          <w:szCs w:val="21"/>
        </w:rPr>
        <w:t xml:space="preserve"> Системи опалення захисних споруд та СПП виконуються з урахуванням вимог</w:t>
      </w:r>
      <w:r w:rsidRPr="00CA7C54">
        <w:rPr>
          <w:color w:val="000000" w:themeColor="text1"/>
          <w:sz w:val="21"/>
          <w:szCs w:val="21"/>
        </w:rPr>
        <w:br/>
      </w:r>
      <w:hyperlink r:id="rId215" w:history="1">
        <w:r w:rsidRPr="00607C5F">
          <w:rPr>
            <w:rStyle w:val="ac"/>
            <w:rFonts w:cs="Arial"/>
            <w:sz w:val="21"/>
            <w:szCs w:val="21"/>
          </w:rPr>
          <w:t>ДБН В.2.5-67</w:t>
        </w:r>
      </w:hyperlink>
      <w:r w:rsidRPr="00CA7C54">
        <w:rPr>
          <w:color w:val="000000" w:themeColor="text1"/>
          <w:sz w:val="21"/>
          <w:szCs w:val="21"/>
        </w:rPr>
        <w:t xml:space="preserve"> та </w:t>
      </w:r>
      <w:hyperlink r:id="rId216" w:history="1">
        <w:r w:rsidRPr="00607C5F">
          <w:rPr>
            <w:rStyle w:val="ac"/>
            <w:rFonts w:cs="Arial"/>
            <w:sz w:val="21"/>
            <w:szCs w:val="21"/>
          </w:rPr>
          <w:t>ДБН В.2.5-39</w:t>
        </w:r>
      </w:hyperlink>
      <w:r w:rsidRPr="00CA7C54">
        <w:rPr>
          <w:color w:val="000000" w:themeColor="text1"/>
          <w:sz w:val="21"/>
          <w:szCs w:val="21"/>
        </w:rPr>
        <w:t>.</w:t>
      </w:r>
    </w:p>
    <w:p w14:paraId="0751CF66"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11.2.3.2</w:t>
      </w:r>
      <w:r w:rsidRPr="00CA7C54">
        <w:rPr>
          <w:color w:val="000000" w:themeColor="text1"/>
          <w:sz w:val="21"/>
          <w:szCs w:val="21"/>
        </w:rPr>
        <w:t xml:space="preserve"> Опалення захисних споруд та СПП може передбачатися:</w:t>
      </w:r>
    </w:p>
    <w:p w14:paraId="688E3CCA" w14:textId="77777777" w:rsidR="003C4E04" w:rsidRPr="00CA7C54" w:rsidRDefault="00C7348B"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загальних мереж централізованого теплопостачання населених пунктів;</w:t>
      </w:r>
    </w:p>
    <w:p w14:paraId="33BF0F30" w14:textId="77777777" w:rsidR="003C4E04" w:rsidRPr="00CA7C54" w:rsidRDefault="00C7348B"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автономних систем теплопостачання об’єктового рівня; </w:t>
      </w:r>
    </w:p>
    <w:p w14:paraId="43B67D4D" w14:textId="77777777" w:rsidR="003C4E04" w:rsidRPr="00CA7C54" w:rsidRDefault="00C7348B" w:rsidP="00C7348B">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індивідуальних джерел, призначених виключно для забезпечення потреб опалення захисних споруд та (споруд подвійного призначення). </w:t>
      </w:r>
    </w:p>
    <w:p w14:paraId="4AF1DD25"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За відповідного техніко-економічного обґрунтування опалення захисних споруд та СПП допускається забезпечувати за допомогою  електронагрівальних приладів, що відповідають вимогам санітарних та протипожежних норм і правил.</w:t>
      </w:r>
    </w:p>
    <w:p w14:paraId="3BBDBD0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11.2.3.3</w:t>
      </w:r>
      <w:r w:rsidRPr="00CA7C54">
        <w:rPr>
          <w:color w:val="000000" w:themeColor="text1"/>
          <w:sz w:val="21"/>
          <w:szCs w:val="21"/>
        </w:rPr>
        <w:t xml:space="preserve"> Передбачення систем опалення захисних споруд та СПП з встановленням всередині таких споруд нагрівальних приладів з використанням для опалення (нагріву теплоносія) відкритого вогню не допускається.</w:t>
      </w:r>
    </w:p>
    <w:p w14:paraId="790A185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Використання таких приладів для опалення захисних споруд та СПП, зокрема котлів та пічок на твердому паливі, допускається за умов їх розміщення в окремому приміщенні за межами захисної споруди, відділеному від неї протипожежною стіною 2 типу. </w:t>
      </w:r>
    </w:p>
    <w:p w14:paraId="135507DE"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Використання котлів на зрідженому та газоподібному паливі, що застосовуються в якості джерела в індивідуальних системах опалення захисних споруд та споруд подвійного призначення допускається за межами таких споруд, в окремо розташованій будівлі, з урахуванням вимог</w:t>
      </w:r>
      <w:r w:rsidRPr="00CA7C54">
        <w:rPr>
          <w:color w:val="000000" w:themeColor="text1"/>
          <w:sz w:val="21"/>
          <w:szCs w:val="21"/>
        </w:rPr>
        <w:br/>
        <w:t>ДБН В.2.5-77.</w:t>
      </w:r>
    </w:p>
    <w:p w14:paraId="401B9B1A"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pacing w:val="-6"/>
          <w:sz w:val="21"/>
          <w:szCs w:val="21"/>
        </w:rPr>
      </w:pPr>
      <w:r w:rsidRPr="00CA7C54">
        <w:rPr>
          <w:b/>
          <w:color w:val="000000" w:themeColor="text1"/>
          <w:sz w:val="21"/>
          <w:szCs w:val="21"/>
        </w:rPr>
        <w:t>11.2.3.4</w:t>
      </w:r>
      <w:r w:rsidRPr="00CA7C54">
        <w:rPr>
          <w:color w:val="000000" w:themeColor="text1"/>
          <w:spacing w:val="-6"/>
          <w:sz w:val="21"/>
          <w:szCs w:val="21"/>
        </w:rPr>
        <w:t>Систему опалення приміщень вбудованої (прибудованої) захисної споруди або СПП слід про</w:t>
      </w:r>
      <w:r w:rsidR="006214E4" w:rsidRPr="00CA7C54">
        <w:rPr>
          <w:color w:val="000000" w:themeColor="text1"/>
          <w:spacing w:val="-6"/>
          <w:sz w:val="21"/>
          <w:szCs w:val="21"/>
        </w:rPr>
        <w:t>є</w:t>
      </w:r>
      <w:r w:rsidRPr="00CA7C54">
        <w:rPr>
          <w:color w:val="000000" w:themeColor="text1"/>
          <w:spacing w:val="-6"/>
          <w:sz w:val="21"/>
          <w:szCs w:val="21"/>
        </w:rPr>
        <w:t>ктувати у вигляду самостійного відгалуження з встановленням індивідуального теплового пункту (ІТП) або через вузол регулювання, що приєднані по незалежній схемі з встановленням приладу обліку витрат тепла до загальної опалювальної мережі будівлі (споруди), до якої її вбудовано.</w:t>
      </w:r>
    </w:p>
    <w:p w14:paraId="7E1A0AE9" w14:textId="3AAB6E6C"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ІТП або вузол регулювання для потреб укриття допускається встановлювати в приміщенні ІТП</w:t>
      </w:r>
      <w:r w:rsidR="003D7792">
        <w:rPr>
          <w:color w:val="000000" w:themeColor="text1"/>
          <w:sz w:val="21"/>
          <w:szCs w:val="21"/>
        </w:rPr>
        <w:t xml:space="preserve"> </w:t>
      </w:r>
      <w:r w:rsidRPr="00CA7C54">
        <w:rPr>
          <w:color w:val="000000" w:themeColor="text1"/>
          <w:sz w:val="21"/>
          <w:szCs w:val="21"/>
        </w:rPr>
        <w:t>(ЦТП) основної будівлі, до якої вбудовано (прибудовано) захисну споруду.</w:t>
      </w:r>
    </w:p>
    <w:p w14:paraId="48217E03"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pacing w:val="-6"/>
          <w:sz w:val="21"/>
          <w:szCs w:val="21"/>
        </w:rPr>
      </w:pPr>
      <w:r w:rsidRPr="00CA7C54">
        <w:rPr>
          <w:color w:val="000000" w:themeColor="text1"/>
          <w:spacing w:val="-6"/>
          <w:sz w:val="21"/>
          <w:szCs w:val="21"/>
        </w:rPr>
        <w:t>На подавальному та зворотному трубопроводах зазначеному відгалуженні має встановлюватися запірна арматура, що герметично перекриває потік з урахуванням вимогДБН В.2.5-39. Запірну арматуру слід встановлювати у межах захисної споруди (споруди подвійного призначення).</w:t>
      </w:r>
    </w:p>
    <w:p w14:paraId="47EC0C2F"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Не допускається використовувати внутрішню систему опалення будівлі (споруди), до якої вбудовано (прибудовано) захисну споруду (споруду подвійного призначення), для підключення елементів системи опалення та інших інженерних систем таких захисних споруд (споруд подвійного призначення). </w:t>
      </w:r>
    </w:p>
    <w:p w14:paraId="459C51C6"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реконструкції або капітальному ремонті існуючих будівель допускається використання внутрішньої системи опалення будівлі для потреб опалення цієї захисної споруди.</w:t>
      </w:r>
    </w:p>
    <w:p w14:paraId="18F9E596"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11.2.3.5</w:t>
      </w:r>
      <w:r w:rsidRPr="00CA7C54">
        <w:rPr>
          <w:color w:val="000000" w:themeColor="text1"/>
          <w:sz w:val="21"/>
          <w:szCs w:val="21"/>
        </w:rPr>
        <w:t xml:space="preserve"> Систему опалення приміщень вбудованої (прибудованої) захисної споруди або СПП, а також окремо розташованої захисної споруди або СПП, рекомендується приєднувати до індивідуального джерела по незалежній схемі, з врахуванням технічних рекомендацій виробника теплогенеруючого обладнання.</w:t>
      </w:r>
    </w:p>
    <w:p w14:paraId="45E95800"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випадку розташування захисної споруди (споруди подвійного призначення) окремо від будівель підключення до зовнішніх теплових мереж слід передбачати окремим відгалуженням.</w:t>
      </w:r>
    </w:p>
    <w:p w14:paraId="23E1CDCC" w14:textId="6B37A431"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11.2.3.6</w:t>
      </w:r>
      <w:r w:rsidRPr="00CA7C54">
        <w:rPr>
          <w:color w:val="000000" w:themeColor="text1"/>
          <w:sz w:val="21"/>
          <w:szCs w:val="21"/>
        </w:rPr>
        <w:t xml:space="preserve"> В системах опалення захисних споруд та СПП при приєднанні до будь-якого джерела слід передбачати засоби безпеки відповідно до </w:t>
      </w:r>
      <w:hyperlink r:id="rId217" w:history="1">
        <w:r w:rsidRPr="00607C5F">
          <w:rPr>
            <w:rStyle w:val="ac"/>
            <w:rFonts w:cs="Arial"/>
            <w:sz w:val="21"/>
            <w:szCs w:val="21"/>
          </w:rPr>
          <w:t>ДБН В.2.5-67</w:t>
        </w:r>
      </w:hyperlink>
      <w:r w:rsidRPr="00CA7C54">
        <w:rPr>
          <w:color w:val="000000" w:themeColor="text1"/>
          <w:sz w:val="21"/>
          <w:szCs w:val="21"/>
        </w:rPr>
        <w:t>. </w:t>
      </w:r>
    </w:p>
    <w:p w14:paraId="28A0BDC3"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підвищення надійності, в ІТП захисних споруд та СПП, які приєднані до централізованого та автономного теплопостачання об’єктного рівня, а також в системах регулювання з індивідуальним джерелом, потужність якого більше</w:t>
      </w:r>
      <w:r w:rsidR="0000532B" w:rsidRPr="00CA7C54">
        <w:rPr>
          <w:color w:val="000000" w:themeColor="text1"/>
          <w:sz w:val="21"/>
          <w:szCs w:val="21"/>
        </w:rPr>
        <w:t xml:space="preserve"> ніж</w:t>
      </w:r>
      <w:r w:rsidRPr="00CA7C54">
        <w:rPr>
          <w:color w:val="000000" w:themeColor="text1"/>
          <w:sz w:val="21"/>
          <w:szCs w:val="21"/>
        </w:rPr>
        <w:t xml:space="preserve"> 50 кВт, застосовується два циркуляційних насоси, один з яких резервний.</w:t>
      </w:r>
    </w:p>
    <w:p w14:paraId="399CB396"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pacing w:val="-6"/>
          <w:sz w:val="21"/>
          <w:szCs w:val="21"/>
        </w:rPr>
      </w:pPr>
      <w:r w:rsidRPr="00CA7C54">
        <w:rPr>
          <w:b/>
          <w:color w:val="000000" w:themeColor="text1"/>
          <w:sz w:val="21"/>
          <w:szCs w:val="21"/>
        </w:rPr>
        <w:t>11.2.3.7</w:t>
      </w:r>
      <w:r w:rsidRPr="00CA7C54">
        <w:rPr>
          <w:color w:val="000000" w:themeColor="text1"/>
          <w:sz w:val="21"/>
          <w:szCs w:val="21"/>
        </w:rPr>
        <w:t xml:space="preserve"> При застосуванні терморегуляторів на опалювальних приладах у приміщеннях захисної споруди (споруди подвійного призначення) необхідно використовувати такі їх конструкції, що мають захист від несанкціонованого демонтажу, а також із заблокованим налаштуванням </w:t>
      </w:r>
      <w:r w:rsidRPr="00CA7C54">
        <w:rPr>
          <w:color w:val="000000" w:themeColor="text1"/>
          <w:spacing w:val="-6"/>
          <w:sz w:val="21"/>
          <w:szCs w:val="21"/>
        </w:rPr>
        <w:t>температури повітря на рівні нижньої температури діапазону норми температури згідно з таблицею 11.8.</w:t>
      </w:r>
    </w:p>
    <w:p w14:paraId="4BA261D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11.2.3.8</w:t>
      </w:r>
      <w:r w:rsidRPr="00CA7C54">
        <w:rPr>
          <w:color w:val="000000" w:themeColor="text1"/>
          <w:sz w:val="21"/>
          <w:szCs w:val="21"/>
        </w:rPr>
        <w:t xml:space="preserve"> Для розміщення обладнання ІТП повинні бути враховані розміри обладнання та мінімальні відстані для його обслуговування, які попередньо приймаються відповідно до</w:t>
      </w:r>
      <w:r w:rsidRPr="00CA7C54">
        <w:rPr>
          <w:color w:val="000000" w:themeColor="text1"/>
          <w:sz w:val="21"/>
          <w:szCs w:val="21"/>
        </w:rPr>
        <w:br/>
        <w:t>таблиці 11.9 та уточняюються під час проєктування, враховуючи технічні характеристики обладнання.</w:t>
      </w:r>
    </w:p>
    <w:p w14:paraId="2F90B24D" w14:textId="73DF7C62"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Освітлення в зоні розміщення обладнання повинно відповідати вимогам </w:t>
      </w:r>
      <w:hyperlink r:id="rId218" w:history="1">
        <w:r w:rsidRPr="00607C5F">
          <w:rPr>
            <w:rStyle w:val="ac"/>
            <w:rFonts w:cs="Arial"/>
            <w:sz w:val="21"/>
            <w:szCs w:val="21"/>
          </w:rPr>
          <w:t>ДБН В.2.5-28.</w:t>
        </w:r>
      </w:hyperlink>
    </w:p>
    <w:p w14:paraId="5D150019" w14:textId="5FC3B11D" w:rsidR="003D7792" w:rsidRDefault="003D7792"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Pr>
          <w:rFonts w:eastAsia="Times New Roman"/>
          <w:color w:val="000000" w:themeColor="text1"/>
          <w:sz w:val="21"/>
          <w:szCs w:val="21"/>
        </w:rPr>
        <w:br w:type="page"/>
      </w:r>
    </w:p>
    <w:p w14:paraId="09B1ADE8" w14:textId="77777777" w:rsidR="003C4E04" w:rsidRPr="00CA7C54" w:rsidRDefault="001E748C" w:rsidP="00C32317">
      <w:pPr>
        <w:pBdr>
          <w:top w:val="nil"/>
          <w:left w:val="nil"/>
          <w:bottom w:val="nil"/>
          <w:right w:val="nil"/>
          <w:between w:val="nil"/>
        </w:pBdr>
        <w:spacing w:before="0" w:line="288" w:lineRule="auto"/>
        <w:ind w:left="1985" w:right="142" w:hanging="1843"/>
        <w:contextualSpacing/>
        <w:rPr>
          <w:rFonts w:eastAsia="Times New Roman"/>
          <w:color w:val="000000" w:themeColor="text1"/>
          <w:sz w:val="21"/>
          <w:szCs w:val="21"/>
        </w:rPr>
      </w:pPr>
      <w:r w:rsidRPr="00CA7C54">
        <w:rPr>
          <w:b/>
          <w:color w:val="000000" w:themeColor="text1"/>
          <w:sz w:val="21"/>
          <w:szCs w:val="21"/>
        </w:rPr>
        <w:lastRenderedPageBreak/>
        <w:t>Таблиця 11.8</w:t>
      </w:r>
      <w:r w:rsidRPr="00CA7C54">
        <w:rPr>
          <w:color w:val="000000" w:themeColor="text1"/>
          <w:sz w:val="21"/>
          <w:szCs w:val="21"/>
        </w:rPr>
        <w:t xml:space="preserve"> – Параметри мікроклімату приміщень в опалювальний період та період охолодження</w:t>
      </w:r>
    </w:p>
    <w:tbl>
      <w:tblPr>
        <w:tblStyle w:val="afffffffffffffffffffffffffffffff7"/>
        <w:tblW w:w="9776" w:type="dxa"/>
        <w:tblLayout w:type="fixed"/>
        <w:tblLook w:val="0400" w:firstRow="0" w:lastRow="0" w:firstColumn="0" w:lastColumn="0" w:noHBand="0" w:noVBand="1"/>
      </w:tblPr>
      <w:tblGrid>
        <w:gridCol w:w="3256"/>
        <w:gridCol w:w="3260"/>
        <w:gridCol w:w="3260"/>
      </w:tblGrid>
      <w:tr w:rsidR="00CA7C54" w:rsidRPr="00CA7C54" w14:paraId="7244B912" w14:textId="77777777" w:rsidTr="009B0871">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94333"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Параметри мікроклімату,</w:t>
            </w:r>
            <w:r w:rsidRPr="00CA7C54">
              <w:rPr>
                <w:rFonts w:ascii="Arial" w:eastAsia="Arial" w:hAnsi="Arial" w:cs="Arial"/>
                <w:b/>
                <w:color w:val="000000" w:themeColor="text1"/>
                <w:sz w:val="20"/>
                <w:szCs w:val="20"/>
              </w:rPr>
              <w:br/>
              <w:t>температура, °С</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3AB8E"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Діапазон в опалювальний період  (у холодний період під час використання захисної споруди (СПП)), </w:t>
            </w:r>
            <w:r w:rsidRPr="00CA7C54">
              <w:rPr>
                <w:rFonts w:ascii="Arial" w:eastAsia="Arial" w:hAnsi="Arial" w:cs="Arial"/>
                <w:b/>
                <w:color w:val="000000" w:themeColor="text1"/>
                <w:sz w:val="20"/>
                <w:szCs w:val="20"/>
              </w:rPr>
              <w:br/>
              <w:t>приблизно 1,0 кло</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950FB"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Діапазон в період охолодження</w:t>
            </w:r>
            <w:r w:rsidRPr="00CA7C54">
              <w:rPr>
                <w:rFonts w:ascii="Arial" w:eastAsia="Arial" w:hAnsi="Arial" w:cs="Arial"/>
                <w:b/>
                <w:color w:val="000000" w:themeColor="text1"/>
                <w:sz w:val="20"/>
                <w:szCs w:val="20"/>
              </w:rPr>
              <w:br/>
              <w:t>(у теплий період під час використання захисної споруди (СПП)),</w:t>
            </w:r>
            <w:r w:rsidRPr="00CA7C54">
              <w:rPr>
                <w:rFonts w:ascii="Arial" w:eastAsia="Arial" w:hAnsi="Arial" w:cs="Arial"/>
                <w:b/>
                <w:color w:val="000000" w:themeColor="text1"/>
                <w:sz w:val="20"/>
                <w:szCs w:val="20"/>
              </w:rPr>
              <w:br/>
              <w:t>приблизно 0,5 кло</w:t>
            </w:r>
          </w:p>
        </w:tc>
      </w:tr>
      <w:tr w:rsidR="00CA7C54" w:rsidRPr="00CA7C54" w14:paraId="2D9EA92E" w14:textId="77777777" w:rsidTr="009B0871">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CEC89" w14:textId="77777777" w:rsidR="003C4E04" w:rsidRPr="00CA7C54" w:rsidRDefault="001E748C" w:rsidP="00935A1D">
            <w:pPr>
              <w:pBdr>
                <w:top w:val="nil"/>
                <w:left w:val="nil"/>
                <w:bottom w:val="nil"/>
                <w:right w:val="nil"/>
                <w:between w:val="nil"/>
              </w:pBdr>
              <w:spacing w:before="0" w:line="288" w:lineRule="auto"/>
              <w:ind w:right="141" w:firstLine="22"/>
              <w:contextualSpacing/>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Дорослі і діти старше 11 років</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B2D7E"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17,0 – 25,0</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D1FED"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21,0 – 28,0</w:t>
            </w:r>
          </w:p>
        </w:tc>
      </w:tr>
      <w:tr w:rsidR="00CA7C54" w:rsidRPr="00CA7C54" w14:paraId="20B2CD3A" w14:textId="77777777" w:rsidTr="009B0871">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D1AA2" w14:textId="77777777" w:rsidR="003C4E04" w:rsidRPr="00CA7C54" w:rsidRDefault="001E748C" w:rsidP="00935A1D">
            <w:pPr>
              <w:pBdr>
                <w:top w:val="nil"/>
                <w:left w:val="nil"/>
                <w:bottom w:val="nil"/>
                <w:right w:val="nil"/>
                <w:between w:val="nil"/>
              </w:pBdr>
              <w:spacing w:before="0" w:line="288" w:lineRule="auto"/>
              <w:ind w:right="141" w:firstLine="22"/>
              <w:contextualSpacing/>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Діти віком до 11 років, вагітних жінки, матері-годувальниці</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39948"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20,0 – 24,0</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C5697"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23,0 – 26,0</w:t>
            </w:r>
          </w:p>
        </w:tc>
      </w:tr>
      <w:tr w:rsidR="003C4E04" w:rsidRPr="00CA7C54" w14:paraId="42B1308B" w14:textId="77777777" w:rsidTr="009B0871">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7F2FB" w14:textId="77777777" w:rsidR="003C4E04" w:rsidRPr="00CA7C54" w:rsidRDefault="001E748C" w:rsidP="00935A1D">
            <w:pPr>
              <w:pBdr>
                <w:top w:val="nil"/>
                <w:left w:val="nil"/>
                <w:bottom w:val="nil"/>
                <w:right w:val="nil"/>
                <w:between w:val="nil"/>
              </w:pBdr>
              <w:spacing w:before="0" w:line="288" w:lineRule="auto"/>
              <w:ind w:left="1018" w:right="141" w:hanging="996"/>
              <w:contextualSpacing/>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Примітка. </w:t>
            </w:r>
            <w:r w:rsidRPr="00CA7C54">
              <w:rPr>
                <w:rFonts w:ascii="Arial" w:eastAsia="Arial" w:hAnsi="Arial" w:cs="Arial"/>
                <w:color w:val="000000" w:themeColor="text1"/>
                <w:sz w:val="20"/>
                <w:szCs w:val="20"/>
              </w:rPr>
              <w:t>При перебуванні у приміщеннях захисних споруд та СПП змішаного складу осіб гранично-допустимі параметри основних факторів мікроклімату приймаються за групою "діти віком до 11 років, вагітні жінки, матері-годувальниці".</w:t>
            </w:r>
          </w:p>
        </w:tc>
      </w:tr>
    </w:tbl>
    <w:p w14:paraId="22A02887" w14:textId="77777777" w:rsidR="003C4E04" w:rsidRPr="00CA7C54" w:rsidRDefault="003C4E04" w:rsidP="00935A1D">
      <w:pPr>
        <w:pBdr>
          <w:top w:val="nil"/>
          <w:left w:val="nil"/>
          <w:bottom w:val="nil"/>
          <w:right w:val="nil"/>
          <w:between w:val="nil"/>
        </w:pBdr>
        <w:spacing w:before="0" w:line="288" w:lineRule="auto"/>
        <w:ind w:right="141"/>
        <w:contextualSpacing/>
        <w:rPr>
          <w:b/>
          <w:color w:val="000000" w:themeColor="text1"/>
          <w:sz w:val="21"/>
          <w:szCs w:val="21"/>
        </w:rPr>
      </w:pPr>
    </w:p>
    <w:p w14:paraId="753F8953" w14:textId="77777777" w:rsidR="003C4E04" w:rsidRPr="00CA7C54" w:rsidRDefault="001E748C" w:rsidP="0000532B">
      <w:pPr>
        <w:pBdr>
          <w:top w:val="nil"/>
          <w:left w:val="nil"/>
          <w:bottom w:val="nil"/>
          <w:right w:val="nil"/>
          <w:between w:val="nil"/>
        </w:pBdr>
        <w:spacing w:before="0" w:line="288" w:lineRule="auto"/>
        <w:ind w:right="142" w:firstLine="284"/>
        <w:contextualSpacing/>
        <w:rPr>
          <w:rFonts w:eastAsia="Times New Roman"/>
          <w:color w:val="000000" w:themeColor="text1"/>
          <w:sz w:val="21"/>
          <w:szCs w:val="21"/>
        </w:rPr>
      </w:pPr>
      <w:r w:rsidRPr="00CA7C54">
        <w:rPr>
          <w:b/>
          <w:color w:val="000000" w:themeColor="text1"/>
          <w:sz w:val="21"/>
          <w:szCs w:val="21"/>
        </w:rPr>
        <w:t>Таблиця 11.9</w:t>
      </w:r>
      <w:r w:rsidRPr="00CA7C54">
        <w:rPr>
          <w:color w:val="000000" w:themeColor="text1"/>
          <w:sz w:val="21"/>
          <w:szCs w:val="21"/>
        </w:rPr>
        <w:t xml:space="preserve"> – Відстані для обслуговування обладнання ІТП</w:t>
      </w:r>
    </w:p>
    <w:tbl>
      <w:tblPr>
        <w:tblStyle w:val="afffffffffffffffffffffffffffffff8"/>
        <w:tblW w:w="9776" w:type="dxa"/>
        <w:tblLayout w:type="fixed"/>
        <w:tblLook w:val="0400" w:firstRow="0" w:lastRow="0" w:firstColumn="0" w:lastColumn="0" w:noHBand="0" w:noVBand="1"/>
      </w:tblPr>
      <w:tblGrid>
        <w:gridCol w:w="2263"/>
        <w:gridCol w:w="1701"/>
        <w:gridCol w:w="2552"/>
        <w:gridCol w:w="1559"/>
        <w:gridCol w:w="1701"/>
      </w:tblGrid>
      <w:tr w:rsidR="00CA7C54" w:rsidRPr="00CA7C54" w14:paraId="7263E95E" w14:textId="77777777" w:rsidTr="001D7433">
        <w:trPr>
          <w:trHeight w:val="1040"/>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41D88"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Будівельний об’єм захисної споруди та (споруди подвійного призначення), м</w:t>
            </w:r>
            <w:r w:rsidRPr="00CA7C54">
              <w:rPr>
                <w:rFonts w:ascii="Arial" w:eastAsia="Arial" w:hAnsi="Arial" w:cs="Arial"/>
                <w:b/>
                <w:color w:val="000000" w:themeColor="text1"/>
                <w:sz w:val="20"/>
                <w:szCs w:val="20"/>
                <w:vertAlign w:val="superscript"/>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D9EEE"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Орієнтовна потреба в площі для обладнання ІТП, м</w:t>
            </w:r>
            <w:r w:rsidRPr="00CA7C54">
              <w:rPr>
                <w:rFonts w:ascii="Arial" w:eastAsia="Arial" w:hAnsi="Arial" w:cs="Arial"/>
                <w:b/>
                <w:color w:val="000000" w:themeColor="text1"/>
                <w:sz w:val="20"/>
                <w:szCs w:val="20"/>
                <w:vertAlign w:val="superscript"/>
              </w:rPr>
              <w:t>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6F6F6"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Ширина проходів для обслуговування обладнання, м</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D27C9"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Мінімальна відстань від стелі, м</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C43DA"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Мінімальна відстань від підлоги, м</w:t>
            </w:r>
          </w:p>
        </w:tc>
      </w:tr>
      <w:tr w:rsidR="00CA7C54" w:rsidRPr="00CA7C54" w14:paraId="399209D9"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CBFEB" w14:textId="77777777" w:rsidR="003C4E04" w:rsidRPr="00CA7C54" w:rsidRDefault="00DC31F3"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sdt>
              <w:sdtPr>
                <w:rPr>
                  <w:color w:val="000000" w:themeColor="text1"/>
                  <w:sz w:val="20"/>
                  <w:szCs w:val="20"/>
                </w:rPr>
                <w:tag w:val="goog_rdk_5"/>
                <w:id w:val="-426661342"/>
              </w:sdtPr>
              <w:sdtEndPr/>
              <w:sdtContent>
                <w:r w:rsidR="001E748C" w:rsidRPr="00CA7C54">
                  <w:rPr>
                    <w:rFonts w:ascii="Arial" w:eastAsia="Arial Unicode MS" w:hAnsi="Arial" w:cs="Arial"/>
                    <w:color w:val="000000" w:themeColor="text1"/>
                    <w:sz w:val="20"/>
                    <w:szCs w:val="20"/>
                  </w:rPr>
                  <w:t>≤ 500 </w:t>
                </w:r>
              </w:sdtContent>
            </w:sdt>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B957A"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2 </w:t>
            </w:r>
          </w:p>
        </w:tc>
        <w:tc>
          <w:tcPr>
            <w:tcW w:w="25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253F2"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0,6</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B3099"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0,1 - 0,2</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43493" w14:textId="77777777" w:rsidR="003C4E04" w:rsidRPr="00CA7C54" w:rsidRDefault="003C4E04"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p>
          <w:p w14:paraId="0EC1C0D3" w14:textId="77777777" w:rsidR="003C4E04" w:rsidRPr="00CA7C54" w:rsidRDefault="003C4E04"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p>
          <w:p w14:paraId="3A0F14D4" w14:textId="77777777" w:rsidR="003C4E04" w:rsidRPr="00CA7C54" w:rsidRDefault="003C4E04"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p>
          <w:p w14:paraId="6F9EC900"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0,3</w:t>
            </w:r>
          </w:p>
        </w:tc>
      </w:tr>
      <w:tr w:rsidR="00CA7C54" w:rsidRPr="00CA7C54" w14:paraId="1909E092" w14:textId="77777777" w:rsidTr="001D7433">
        <w:trPr>
          <w:trHeight w:val="260"/>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0A59F"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E8BCA"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5CC13"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2F34F"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CE1A9"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r w:rsidR="00CA7C54" w:rsidRPr="00CA7C54" w14:paraId="27D2D42F"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90227"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46617"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D449D"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E2715"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0,2 – 0,4</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E279F"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r w:rsidR="00CA7C54" w:rsidRPr="00CA7C54" w14:paraId="2FE77010"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2C53F"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5E83C"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25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B4AA5"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0,8</w:t>
            </w: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B77BB"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D07F7"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r w:rsidR="00CA7C54" w:rsidRPr="00CA7C54" w14:paraId="1E57EE1A"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2EDC7"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8CE93"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9AABA"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78CCA"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0,2 – 0,5</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11ED1"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r w:rsidR="003C4E04" w:rsidRPr="00CA7C54" w14:paraId="411D9ACF"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61B6F" w14:textId="77777777" w:rsidR="003C4E04" w:rsidRPr="00CA7C54" w:rsidRDefault="00DC31F3"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sdt>
              <w:sdtPr>
                <w:rPr>
                  <w:color w:val="000000" w:themeColor="text1"/>
                  <w:sz w:val="20"/>
                  <w:szCs w:val="20"/>
                </w:rPr>
                <w:tag w:val="goog_rdk_6"/>
                <w:id w:val="1095131677"/>
              </w:sdtPr>
              <w:sdtEndPr/>
              <w:sdtContent>
                <w:r w:rsidR="001E748C" w:rsidRPr="00CA7C54">
                  <w:rPr>
                    <w:rFonts w:ascii="Arial" w:eastAsia="Arial Unicode MS" w:hAnsi="Arial" w:cs="Arial"/>
                    <w:color w:val="000000" w:themeColor="text1"/>
                    <w:sz w:val="20"/>
                    <w:szCs w:val="20"/>
                  </w:rPr>
                  <w:t>≥ 20 000</w:t>
                </w:r>
              </w:sdtContent>
            </w:sdt>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74FCF"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D93E9"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03811"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3F011"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bl>
    <w:p w14:paraId="27C8E0DA" w14:textId="77777777" w:rsidR="003C4E04" w:rsidRPr="00CA7C54" w:rsidRDefault="003C4E04" w:rsidP="00935A1D">
      <w:pPr>
        <w:spacing w:before="0" w:line="288" w:lineRule="auto"/>
        <w:contextualSpacing/>
        <w:rPr>
          <w:color w:val="000000" w:themeColor="text1"/>
          <w:sz w:val="21"/>
          <w:szCs w:val="21"/>
        </w:rPr>
      </w:pPr>
    </w:p>
    <w:p w14:paraId="6066C304"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11.2.3.9</w:t>
      </w:r>
      <w:r w:rsidRPr="00CA7C54">
        <w:rPr>
          <w:color w:val="000000" w:themeColor="text1"/>
          <w:sz w:val="21"/>
          <w:szCs w:val="21"/>
        </w:rPr>
        <w:t xml:space="preserve"> При розрахунку систем опалення температуру цих приміщень в холодну пору року слід приймати 10 </w:t>
      </w:r>
      <w:r w:rsidRPr="00CA7C54">
        <w:rPr>
          <w:color w:val="000000" w:themeColor="text1"/>
          <w:sz w:val="21"/>
          <w:szCs w:val="21"/>
          <w:vertAlign w:val="superscript"/>
        </w:rPr>
        <w:t>0</w:t>
      </w:r>
      <w:r w:rsidRPr="00CA7C54">
        <w:rPr>
          <w:color w:val="000000" w:themeColor="text1"/>
          <w:sz w:val="21"/>
          <w:szCs w:val="21"/>
        </w:rPr>
        <w:t>С, у разі, якщо за умов їх експлуатації у мирний час немає потреби у більш високій температурі.</w:t>
      </w:r>
    </w:p>
    <w:p w14:paraId="615456A7"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Вид теплоносія і тип нагрівальних приладів вибирається з умов експлуатації приміщень у мирний час. Повинні бути передбачені заходи, які захищають систему опалення від замерзання, дозволяють уникнути блокування клапана автоматичного регулятора потоку та двигунів циркуляційних насосів в умовах експлуатації в мирний час. </w:t>
      </w:r>
    </w:p>
    <w:p w14:paraId="7B8D3B93" w14:textId="712C8C9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У приміщеннях, які не опалюються за умов мирного часу, слід передбачати місце для встановлення тимчасових опалювальних приладів відповідно до паспорта на цей прилад та вимог Правил пожежної безпеки в Україні та </w:t>
      </w:r>
      <w:hyperlink r:id="rId219" w:history="1">
        <w:r w:rsidRPr="00607C5F">
          <w:rPr>
            <w:rStyle w:val="ac"/>
            <w:rFonts w:cs="Arial"/>
            <w:sz w:val="21"/>
            <w:szCs w:val="21"/>
          </w:rPr>
          <w:t>ДБН В.2.5-67.</w:t>
        </w:r>
      </w:hyperlink>
    </w:p>
    <w:p w14:paraId="743380B8" w14:textId="07A9A591"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11.2.3.10</w:t>
      </w:r>
      <w:r w:rsidRPr="00CA7C54">
        <w:rPr>
          <w:color w:val="000000" w:themeColor="text1"/>
          <w:sz w:val="21"/>
          <w:szCs w:val="21"/>
        </w:rPr>
        <w:t xml:space="preserve"> Системи гарячого водопостачання захисних споруд та СПП виконуються з урахуванням вимог </w:t>
      </w:r>
      <w:hyperlink r:id="rId220" w:history="1">
        <w:r w:rsidRPr="00607C5F">
          <w:rPr>
            <w:rStyle w:val="ac"/>
            <w:rFonts w:cs="Arial"/>
            <w:sz w:val="21"/>
            <w:szCs w:val="21"/>
          </w:rPr>
          <w:t>ДБН В.2.5-39</w:t>
        </w:r>
      </w:hyperlink>
      <w:r w:rsidRPr="00CA7C54">
        <w:rPr>
          <w:color w:val="000000" w:themeColor="text1"/>
          <w:sz w:val="21"/>
          <w:szCs w:val="21"/>
        </w:rPr>
        <w:t xml:space="preserve">, </w:t>
      </w:r>
      <w:hyperlink r:id="rId221" w:history="1">
        <w:r w:rsidRPr="00607C5F">
          <w:rPr>
            <w:rStyle w:val="ac"/>
            <w:rFonts w:cs="Arial"/>
            <w:sz w:val="21"/>
            <w:szCs w:val="21"/>
          </w:rPr>
          <w:t>ДБН В.2.5-64</w:t>
        </w:r>
      </w:hyperlink>
      <w:r w:rsidRPr="00CA7C54">
        <w:rPr>
          <w:color w:val="000000" w:themeColor="text1"/>
          <w:sz w:val="21"/>
          <w:szCs w:val="21"/>
        </w:rPr>
        <w:t xml:space="preserve"> та </w:t>
      </w:r>
      <w:hyperlink r:id="rId222" w:history="1">
        <w:r w:rsidRPr="00607C5F">
          <w:rPr>
            <w:rStyle w:val="ac"/>
            <w:rFonts w:cs="Arial"/>
            <w:sz w:val="21"/>
            <w:szCs w:val="21"/>
          </w:rPr>
          <w:t>ДБН В.2.5-67.</w:t>
        </w:r>
      </w:hyperlink>
    </w:p>
    <w:p w14:paraId="76DDF8AB" w14:textId="4859DCC6"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Для потреб гарячого водопостачання в захисних спорудах, що не експлуатується в мирний час, ре</w:t>
      </w:r>
      <w:r w:rsidRPr="00CA7C54">
        <w:rPr>
          <w:color w:val="000000" w:themeColor="text1"/>
          <w:sz w:val="21"/>
          <w:szCs w:val="21"/>
        </w:rPr>
        <w:t>комендується встановлювати проточні електричні водонагрівачі з врахуванням вимог</w:t>
      </w:r>
      <w:r w:rsidRPr="00CA7C54">
        <w:rPr>
          <w:color w:val="000000" w:themeColor="text1"/>
          <w:sz w:val="21"/>
          <w:szCs w:val="21"/>
        </w:rPr>
        <w:br/>
      </w:r>
      <w:hyperlink r:id="rId223" w:history="1">
        <w:r w:rsidRPr="00607C5F">
          <w:rPr>
            <w:rStyle w:val="ac"/>
            <w:rFonts w:cs="Arial"/>
            <w:sz w:val="21"/>
            <w:szCs w:val="21"/>
          </w:rPr>
          <w:t>ДБН В.2.5-23</w:t>
        </w:r>
      </w:hyperlink>
      <w:r w:rsidRPr="00CA7C54">
        <w:rPr>
          <w:color w:val="000000" w:themeColor="text1"/>
          <w:sz w:val="21"/>
          <w:szCs w:val="21"/>
        </w:rPr>
        <w:t>.</w:t>
      </w:r>
    </w:p>
    <w:p w14:paraId="3C99B2A1"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В захисних спорудах та СПП, де система гарячого водопостачання експлуатується в мирний час, рекомендується використовувати</w:t>
      </w:r>
      <w:r w:rsidRPr="00CA7C54">
        <w:rPr>
          <w:color w:val="000000" w:themeColor="text1"/>
          <w:sz w:val="21"/>
          <w:szCs w:val="21"/>
        </w:rPr>
        <w:t xml:space="preserve"> наявне джерело тепла або їх комбінацію. </w:t>
      </w:r>
    </w:p>
    <w:p w14:paraId="6F66A3BA"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сховищах, призначених для укриття персоналу  атомних енергетичних об’єктів, система гарячого водопостачання повинна забезпечувати можливість подавання потрібної кількості води для миття у душовій протягом 8</w:t>
      </w:r>
      <w:r w:rsidR="00F53F9C" w:rsidRPr="00CA7C54">
        <w:rPr>
          <w:color w:val="000000" w:themeColor="text1"/>
          <w:sz w:val="21"/>
          <w:szCs w:val="21"/>
        </w:rPr>
        <w:t xml:space="preserve"> хв </w:t>
      </w:r>
      <w:r w:rsidRPr="00CA7C54">
        <w:rPr>
          <w:color w:val="000000" w:themeColor="text1"/>
          <w:sz w:val="21"/>
          <w:szCs w:val="21"/>
        </w:rPr>
        <w:t>-10 хв. </w:t>
      </w:r>
    </w:p>
    <w:p w14:paraId="4FA3FD3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Застосовувати двоступеневі схеми гарячого водопостачання при приєднанні до централізованого та автономного теплопостачання об’єктного рівня не допускається</w:t>
      </w:r>
    </w:p>
    <w:p w14:paraId="613647DA" w14:textId="6264D6D3"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11.2.3.11</w:t>
      </w:r>
      <w:r w:rsidRPr="00CA7C54">
        <w:rPr>
          <w:color w:val="000000" w:themeColor="text1"/>
          <w:sz w:val="21"/>
          <w:szCs w:val="21"/>
        </w:rPr>
        <w:t xml:space="preserve"> Технічне оснащення, автоматизацію, моніторинг та управління системами опалення, вентиляції, гарячого водопостачання, кондиціонування та охолодження повітря захисних споруд та споруд подвійного призначення слід приймати не нижче мінімального рівня, зазначеного в </w:t>
      </w:r>
      <w:hyperlink r:id="rId224" w:history="1">
        <w:r w:rsidRPr="00607C5F">
          <w:rPr>
            <w:rStyle w:val="ac"/>
            <w:rFonts w:cs="Arial"/>
            <w:sz w:val="21"/>
            <w:szCs w:val="21"/>
          </w:rPr>
          <w:t>ДСТУ EN 15232</w:t>
        </w:r>
      </w:hyperlink>
      <w:r w:rsidRPr="00CA7C54">
        <w:rPr>
          <w:color w:val="000000" w:themeColor="text1"/>
          <w:sz w:val="21"/>
          <w:szCs w:val="21"/>
        </w:rPr>
        <w:t>, що відповідає класу енергетичної ефективності систем автоматизації та керування С.</w:t>
      </w:r>
    </w:p>
    <w:p w14:paraId="7A6F4F5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11.2.3.12</w:t>
      </w:r>
      <w:r w:rsidRPr="00CA7C54">
        <w:rPr>
          <w:color w:val="000000" w:themeColor="text1"/>
          <w:sz w:val="21"/>
          <w:szCs w:val="21"/>
        </w:rPr>
        <w:t xml:space="preserve"> Безпосереднє керування системами опалення, вентиляції, кондиціонування та охолодження повітря  має здійснюватися зсередини захисної споруди або СПП.</w:t>
      </w:r>
    </w:p>
    <w:p w14:paraId="1B445C1C" w14:textId="72D0E8A5"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11.2.3.13</w:t>
      </w:r>
      <w:r w:rsidRPr="00CA7C54">
        <w:rPr>
          <w:color w:val="000000" w:themeColor="text1"/>
          <w:sz w:val="21"/>
          <w:szCs w:val="21"/>
        </w:rPr>
        <w:t xml:space="preserve"> Системи кондиціонування та охолодження повітря захисних споруд та СПП виконуються з урахуванням вимог </w:t>
      </w:r>
      <w:hyperlink r:id="rId225" w:history="1">
        <w:r w:rsidRPr="00607C5F">
          <w:rPr>
            <w:rStyle w:val="ac"/>
            <w:rFonts w:cs="Arial"/>
            <w:sz w:val="21"/>
            <w:szCs w:val="21"/>
          </w:rPr>
          <w:t>ДБН В.2.5-67</w:t>
        </w:r>
      </w:hyperlink>
      <w:r w:rsidRPr="00CA7C54">
        <w:rPr>
          <w:color w:val="000000" w:themeColor="text1"/>
          <w:sz w:val="21"/>
          <w:szCs w:val="21"/>
        </w:rPr>
        <w:t>.</w:t>
      </w:r>
    </w:p>
    <w:p w14:paraId="288E5000"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Як джерело холоду для пристроїв охолодження повітря для сховищ або СПП, як правило, має передбачатися вода, яка зберігається у заглиблених резервуарах або одержується з водозабірних свердловин.</w:t>
      </w:r>
    </w:p>
    <w:p w14:paraId="769FE1D2"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Облаштування захищеного джерела водопостачання (водозабірної свердловини) за можливості має передбачатися у сховищах, що розташовано на атомних енергетичних об’єктах. </w:t>
      </w:r>
    </w:p>
    <w:p w14:paraId="6EA71C9D"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Також для охолодження повітря у сховищах або СПП можуть передбачатися промислові фреонові установки, з використанням у них дозволених видів фреонів. Рекомендується застосовувати теплові насоси в режимі активного або пасивного охолодження. </w:t>
      </w:r>
    </w:p>
    <w:p w14:paraId="1C019F75"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ПРУ допускається передбачати встановлення побутових електричних кондиціонерів повітря. </w:t>
      </w:r>
    </w:p>
    <w:p w14:paraId="054F1F0E" w14:textId="77777777" w:rsidR="003C4E04" w:rsidRPr="00CA7C54" w:rsidRDefault="001E748C" w:rsidP="005F161A">
      <w:pPr>
        <w:pBdr>
          <w:top w:val="nil"/>
          <w:left w:val="nil"/>
          <w:bottom w:val="nil"/>
          <w:right w:val="nil"/>
          <w:between w:val="nil"/>
        </w:pBdr>
        <w:spacing w:before="80" w:after="80" w:line="288" w:lineRule="auto"/>
        <w:contextualSpacing/>
        <w:rPr>
          <w:rFonts w:eastAsia="Times New Roman"/>
          <w:color w:val="000000" w:themeColor="text1"/>
          <w:sz w:val="21"/>
          <w:szCs w:val="21"/>
        </w:rPr>
      </w:pPr>
      <w:r w:rsidRPr="00CA7C54">
        <w:rPr>
          <w:color w:val="000000" w:themeColor="text1"/>
          <w:sz w:val="21"/>
          <w:szCs w:val="21"/>
        </w:rPr>
        <w:t>Діапазон температур в період охолодження слід приймати згідно з таблицею 11.8.</w:t>
      </w:r>
    </w:p>
    <w:p w14:paraId="4766FD81" w14:textId="77777777" w:rsidR="003C4E04" w:rsidRPr="00CA7C54" w:rsidRDefault="001E748C" w:rsidP="00935A1D">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11.2.4 Системи вентиляції приміщень ДЕС та інших автономних джерел енергозабезпечення (електропостачання)</w:t>
      </w:r>
    </w:p>
    <w:p w14:paraId="55181827"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11.2.4.1</w:t>
      </w:r>
      <w:r w:rsidRPr="00CA7C54">
        <w:rPr>
          <w:color w:val="000000" w:themeColor="text1"/>
          <w:sz w:val="21"/>
          <w:szCs w:val="21"/>
        </w:rPr>
        <w:t xml:space="preserve"> Системи вентиляції приміщень, в яких встановлено автономні джерела енергозабезпечення (електропостачання), а саме ДЕС, акумуляторні батареї тощо, мають забезпечувати нормальний газовий склад повітря у цих приміщеннях під час роботи відповідного обладнання, не допускати створення небезпечних пароповітряних концентрацій хімічно-, вибухо- та пожежо- небезпечних, легкозаймистих речовин та матеріалів. </w:t>
      </w:r>
    </w:p>
    <w:p w14:paraId="1863654A" w14:textId="07B86291" w:rsidR="003C4E04" w:rsidRPr="00CA7C54" w:rsidRDefault="001E748C" w:rsidP="00935A1D">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CA7C54">
        <w:rPr>
          <w:color w:val="000000" w:themeColor="text1"/>
          <w:sz w:val="21"/>
          <w:szCs w:val="21"/>
        </w:rPr>
        <w:t>Проєктування таких систем здійснюється з урахуванням</w:t>
      </w:r>
      <w:r w:rsidR="00C36993" w:rsidRPr="00CA7C54">
        <w:rPr>
          <w:color w:val="000000" w:themeColor="text1"/>
          <w:sz w:val="21"/>
          <w:szCs w:val="21"/>
        </w:rPr>
        <w:t xml:space="preserve"> вимог</w:t>
      </w:r>
      <w:r w:rsidRPr="00CA7C54">
        <w:rPr>
          <w:color w:val="000000" w:themeColor="text1"/>
          <w:sz w:val="21"/>
          <w:szCs w:val="21"/>
        </w:rPr>
        <w:t xml:space="preserve"> </w:t>
      </w:r>
      <w:hyperlink r:id="rId226" w:history="1">
        <w:r w:rsidRPr="00607C5F">
          <w:rPr>
            <w:rStyle w:val="ac"/>
            <w:rFonts w:cs="Arial"/>
            <w:sz w:val="21"/>
            <w:szCs w:val="21"/>
          </w:rPr>
          <w:t>ДБН В.2.5-67.</w:t>
        </w:r>
      </w:hyperlink>
    </w:p>
    <w:p w14:paraId="3831888C"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проєктуванні автономних джерел енергозабезпечення (електропостачання) захисних споруд у зонах можливого катастрофічного  затоплення слід передбачати інженерні рішення, що виключають попадання води у повітрозабір та вихлоп двигуна внутрішнього згорання.</w:t>
      </w:r>
    </w:p>
    <w:p w14:paraId="5F503355" w14:textId="77777777" w:rsidR="003C4E04" w:rsidRPr="00CA7C54" w:rsidRDefault="001E748C" w:rsidP="00935A1D">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CA7C54">
        <w:rPr>
          <w:color w:val="000000" w:themeColor="text1"/>
          <w:sz w:val="21"/>
          <w:szCs w:val="21"/>
        </w:rPr>
        <w:t>У зонах можливого катастрофічного затоплення від проривних хвиль при глибині води 5 м та більше слід передбачати сховища без автономні джерела енергозабезпечення (електропостачання).</w:t>
      </w:r>
    </w:p>
    <w:p w14:paraId="22CE20DE" w14:textId="77777777" w:rsidR="003C4E04" w:rsidRPr="00CA7C54" w:rsidRDefault="001E748C" w:rsidP="0062589B">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11.2.4.2</w:t>
      </w:r>
      <w:r w:rsidRPr="00CA7C54">
        <w:rPr>
          <w:color w:val="000000" w:themeColor="text1"/>
          <w:sz w:val="21"/>
          <w:szCs w:val="21"/>
        </w:rPr>
        <w:t xml:space="preserve"> У разі передбачення для автономного енергозабезпечення захисних споруд та споруд подвійного призначення ДЕС, вентиляція таких споруд має влаштовуватись разом звентиляцією ДЕС, залежно від прийнятого типу генераторної установки, способу його охолодження та інших особливостей ДЕС. </w:t>
      </w:r>
    </w:p>
    <w:p w14:paraId="58CFA815" w14:textId="77777777" w:rsidR="003C4E04" w:rsidRPr="00CA7C54" w:rsidRDefault="001E748C" w:rsidP="0062589B">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У приміщенні ДЕС слід передбачати припливно-витяжну вентиляцію для роботи при І-му та II-му режимах вентиляції, розраховану на видалення тепла та газоподібних шкідливих речовин, що виділяються у приміщення ДЕС, а також на постачання генераторної установкиповітрям для горіння палива.</w:t>
      </w:r>
    </w:p>
    <w:p w14:paraId="317019C0" w14:textId="77777777" w:rsidR="00C36993" w:rsidRPr="00CA7C54" w:rsidRDefault="001E748C" w:rsidP="0062589B">
      <w:pPr>
        <w:pBdr>
          <w:top w:val="nil"/>
          <w:left w:val="nil"/>
          <w:bottom w:val="nil"/>
          <w:right w:val="nil"/>
          <w:between w:val="nil"/>
        </w:pBdr>
        <w:spacing w:before="0"/>
        <w:contextualSpacing/>
        <w:rPr>
          <w:color w:val="000000" w:themeColor="text1"/>
          <w:sz w:val="21"/>
          <w:szCs w:val="21"/>
        </w:rPr>
      </w:pPr>
      <w:r w:rsidRPr="00CA7C54">
        <w:rPr>
          <w:color w:val="000000" w:themeColor="text1"/>
          <w:sz w:val="21"/>
          <w:szCs w:val="21"/>
        </w:rPr>
        <w:t>Видалення тепла, яке надходить у приміщення ДЕС від генераторної установки при III-му режимі, слід передбачатиповітроохолоджувальною установкою. При цьому повітря для роботиДЕС слід забирати ззовні крізь гравійний повітроохолоджувач, аобслуговуючий персонал повинен користуватися ізолюючими протигазами.</w:t>
      </w:r>
    </w:p>
    <w:p w14:paraId="3498B8B6" w14:textId="77777777" w:rsidR="003C4E04" w:rsidRPr="00CA7C54" w:rsidRDefault="001E748C" w:rsidP="0062589B">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Тепловиділення від ДЕС слід приймати за данимикаталогів або визначати розрахунком.</w:t>
      </w:r>
    </w:p>
    <w:p w14:paraId="61F2EF6A" w14:textId="77777777" w:rsidR="003C4E04" w:rsidRPr="00CA7C54" w:rsidRDefault="001E748C" w:rsidP="0062589B">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У випадку, коли тепловиділення електрообладнання у приміщенні електрощитової перевищує 0,25 кВт тепла, слід передбачати припливно-витяжну вентиляцію, з’єднану з загальною системою та розраховану на видалення тепла, яке виділяється від встановленого у ній обладнання.</w:t>
      </w:r>
    </w:p>
    <w:p w14:paraId="3FD7926B" w14:textId="77777777" w:rsidR="003C4E04" w:rsidRPr="00CA7C54" w:rsidRDefault="001E748C" w:rsidP="0062589B">
      <w:pPr>
        <w:pBdr>
          <w:top w:val="nil"/>
          <w:left w:val="nil"/>
          <w:bottom w:val="nil"/>
          <w:right w:val="nil"/>
          <w:between w:val="nil"/>
        </w:pBdr>
        <w:spacing w:before="0"/>
        <w:ind w:right="141"/>
        <w:contextualSpacing/>
        <w:rPr>
          <w:rFonts w:eastAsia="Times New Roman"/>
          <w:color w:val="000000" w:themeColor="text1"/>
          <w:sz w:val="21"/>
          <w:szCs w:val="21"/>
        </w:rPr>
      </w:pPr>
      <w:r w:rsidRPr="00CA7C54">
        <w:rPr>
          <w:color w:val="000000" w:themeColor="text1"/>
          <w:sz w:val="21"/>
          <w:szCs w:val="21"/>
        </w:rPr>
        <w:lastRenderedPageBreak/>
        <w:t xml:space="preserve">Розташування повітрозабірних та витяжних шахт системвентиляції ДЕС приймається у відповідності з  11.2.1.17 та 11.2.2.7 цих </w:t>
      </w:r>
      <w:r w:rsidR="00C36993" w:rsidRPr="00CA7C54">
        <w:rPr>
          <w:color w:val="000000" w:themeColor="text1"/>
          <w:sz w:val="21"/>
          <w:szCs w:val="21"/>
        </w:rPr>
        <w:t>н</w:t>
      </w:r>
      <w:r w:rsidRPr="00CA7C54">
        <w:rPr>
          <w:color w:val="000000" w:themeColor="text1"/>
          <w:sz w:val="21"/>
          <w:szCs w:val="21"/>
        </w:rPr>
        <w:t>орм.</w:t>
      </w:r>
    </w:p>
    <w:p w14:paraId="4C18F5B3" w14:textId="77777777" w:rsidR="003C4E04" w:rsidRPr="00CA7C54" w:rsidRDefault="001E748C" w:rsidP="0062589B">
      <w:pPr>
        <w:pBdr>
          <w:top w:val="nil"/>
          <w:left w:val="nil"/>
          <w:bottom w:val="nil"/>
          <w:right w:val="nil"/>
          <w:between w:val="nil"/>
        </w:pBdr>
        <w:spacing w:before="0"/>
        <w:ind w:right="141"/>
        <w:contextualSpacing/>
        <w:rPr>
          <w:rFonts w:eastAsia="Times New Roman"/>
          <w:color w:val="000000" w:themeColor="text1"/>
          <w:sz w:val="21"/>
          <w:szCs w:val="21"/>
        </w:rPr>
      </w:pPr>
      <w:r w:rsidRPr="00CA7C54">
        <w:rPr>
          <w:b/>
          <w:color w:val="000000" w:themeColor="text1"/>
          <w:sz w:val="21"/>
          <w:szCs w:val="21"/>
        </w:rPr>
        <w:t>11.2.4.3</w:t>
      </w:r>
      <w:r w:rsidRPr="00CA7C54">
        <w:rPr>
          <w:color w:val="000000" w:themeColor="text1"/>
          <w:sz w:val="21"/>
          <w:szCs w:val="21"/>
        </w:rPr>
        <w:t xml:space="preserve"> Продуктивність вентиляційної системи для приміщень ДЕС слід розраховувати з урахуванням технічних параметрів та рекомендацій виробника генераторної установки.</w:t>
      </w:r>
    </w:p>
    <w:p w14:paraId="7496C444" w14:textId="77777777" w:rsidR="003C4E04" w:rsidRPr="00CA7C54" w:rsidRDefault="001E748C" w:rsidP="0062589B">
      <w:pPr>
        <w:pBdr>
          <w:top w:val="nil"/>
          <w:left w:val="nil"/>
          <w:bottom w:val="nil"/>
          <w:right w:val="nil"/>
          <w:between w:val="nil"/>
        </w:pBdr>
        <w:spacing w:before="0"/>
        <w:ind w:right="141"/>
        <w:contextualSpacing/>
        <w:rPr>
          <w:rFonts w:eastAsia="Times New Roman"/>
          <w:color w:val="000000" w:themeColor="text1"/>
          <w:sz w:val="21"/>
          <w:szCs w:val="21"/>
        </w:rPr>
      </w:pPr>
      <w:r w:rsidRPr="00CA7C54">
        <w:rPr>
          <w:color w:val="000000" w:themeColor="text1"/>
          <w:sz w:val="21"/>
          <w:szCs w:val="21"/>
        </w:rPr>
        <w:t xml:space="preserve">У випадку відсутності необхідних параметрів та рекомендацій від виробника продуктивність </w:t>
      </w:r>
      <w:r w:rsidRPr="00607C5F">
        <w:rPr>
          <w:rFonts w:ascii="Times New Roman" w:hAnsi="Times New Roman" w:cs="Times New Roman"/>
          <w:i/>
          <w:color w:val="000000" w:themeColor="text1"/>
          <w:sz w:val="21"/>
          <w:szCs w:val="21"/>
        </w:rPr>
        <w:t>L</w:t>
      </w:r>
      <w:r w:rsidRPr="00607C5F">
        <w:rPr>
          <w:rFonts w:ascii="Times New Roman" w:hAnsi="Times New Roman" w:cs="Times New Roman"/>
          <w:i/>
          <w:color w:val="000000" w:themeColor="text1"/>
          <w:sz w:val="21"/>
          <w:szCs w:val="21"/>
          <w:vertAlign w:val="subscript"/>
        </w:rPr>
        <w:t>В</w:t>
      </w:r>
      <w:r w:rsidRPr="00CA7C54">
        <w:rPr>
          <w:color w:val="000000" w:themeColor="text1"/>
          <w:sz w:val="21"/>
          <w:szCs w:val="21"/>
        </w:rPr>
        <w:t xml:space="preserve"> [м³ /год], вентиляційної системи дляприміщень ДЕС слід визначати за формулою:</w:t>
      </w:r>
    </w:p>
    <w:p w14:paraId="56F468A7" w14:textId="77777777" w:rsidR="003C4E04" w:rsidRPr="00CA7C54" w:rsidRDefault="00DC31F3" w:rsidP="003D7792">
      <w:pPr>
        <w:spacing w:before="240" w:after="240" w:line="240" w:lineRule="auto"/>
        <w:ind w:firstLine="3261"/>
        <w:rPr>
          <w:color w:val="000000" w:themeColor="text1"/>
          <w:sz w:val="21"/>
          <w:szCs w:val="21"/>
        </w:rPr>
      </w:pPr>
      <m:oMath>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L</m:t>
            </m:r>
          </m:e>
          <m:sub>
            <m:r>
              <w:rPr>
                <w:rFonts w:ascii="Cambria Math" w:eastAsia="Cambria Math" w:hAnsi="Cambria Math" w:cs="Cambria Math"/>
                <w:color w:val="000000" w:themeColor="text1"/>
                <w:sz w:val="28"/>
                <w:szCs w:val="28"/>
              </w:rPr>
              <m:t>В</m:t>
            </m:r>
          </m:sub>
        </m:sSub>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 xml:space="preserve">3,6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Q</m:t>
                </m:r>
              </m:e>
              <m:sub>
                <m:r>
                  <w:rPr>
                    <w:rFonts w:ascii="Cambria Math" w:eastAsia="Cambria Math" w:hAnsi="Cambria Math" w:cs="Cambria Math"/>
                    <w:color w:val="000000" w:themeColor="text1"/>
                    <w:sz w:val="28"/>
                    <w:szCs w:val="28"/>
                  </w:rPr>
                  <m:t>Д</m:t>
                </m:r>
              </m:sub>
            </m:sSub>
          </m:num>
          <m:den>
            <m:r>
              <w:rPr>
                <w:rFonts w:ascii="Cambria Math" w:eastAsia="Cambria Math" w:hAnsi="Cambria Math" w:cs="Cambria Math"/>
                <w:color w:val="000000" w:themeColor="text1"/>
                <w:sz w:val="28"/>
                <w:szCs w:val="28"/>
              </w:rPr>
              <m:t>γ∙c∙(</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п</m:t>
                </m:r>
              </m:sub>
            </m:sSub>
            <m: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з</m:t>
                </m:r>
              </m:sub>
            </m:sSub>
            <m:r>
              <w:rPr>
                <w:rFonts w:ascii="Cambria Math" w:eastAsia="Cambria Math" w:hAnsi="Cambria Math" w:cs="Cambria Math"/>
                <w:color w:val="000000" w:themeColor="text1"/>
                <w:sz w:val="28"/>
                <w:szCs w:val="28"/>
              </w:rPr>
              <m:t>)</m:t>
            </m:r>
          </m:den>
        </m:f>
      </m:oMath>
      <w:r w:rsidR="001E748C" w:rsidRPr="00CA7C54">
        <w:rPr>
          <w:color w:val="000000" w:themeColor="text1"/>
          <w:sz w:val="28"/>
          <w:szCs w:val="28"/>
        </w:rPr>
        <w:t>,</w:t>
      </w:r>
      <w:r w:rsidR="001E748C" w:rsidRPr="00CA7C54">
        <w:rPr>
          <w:color w:val="000000" w:themeColor="text1"/>
        </w:rPr>
        <w:t xml:space="preserve">                                                             </w:t>
      </w:r>
      <w:r w:rsidR="001E748C" w:rsidRPr="00CA7C54">
        <w:rPr>
          <w:color w:val="000000" w:themeColor="text1"/>
          <w:sz w:val="21"/>
          <w:szCs w:val="21"/>
        </w:rPr>
        <w:t>(11.8)</w:t>
      </w:r>
    </w:p>
    <w:p w14:paraId="795FA38F" w14:textId="77777777" w:rsidR="003C4E04" w:rsidRPr="00CA7C54" w:rsidRDefault="001E748C">
      <w:pPr>
        <w:pBdr>
          <w:top w:val="nil"/>
          <w:left w:val="nil"/>
          <w:bottom w:val="nil"/>
          <w:right w:val="nil"/>
          <w:between w:val="nil"/>
        </w:pBdr>
        <w:spacing w:line="240" w:lineRule="auto"/>
        <w:ind w:right="141"/>
        <w:rPr>
          <w:color w:val="000000" w:themeColor="text1"/>
        </w:rPr>
      </w:pPr>
      <w:r w:rsidRPr="00CA7C54">
        <w:rPr>
          <w:color w:val="000000" w:themeColor="text1"/>
        </w:rPr>
        <w:t>де</w:t>
      </w:r>
    </w:p>
    <w:p w14:paraId="65129D6F" w14:textId="77777777" w:rsidR="003C4E04" w:rsidRPr="00CA7C54" w:rsidRDefault="00DC31F3" w:rsidP="006E03D2">
      <w:pPr>
        <w:pBdr>
          <w:top w:val="nil"/>
          <w:left w:val="nil"/>
          <w:bottom w:val="nil"/>
          <w:right w:val="nil"/>
          <w:between w:val="nil"/>
        </w:pBdr>
        <w:spacing w:before="0" w:line="288" w:lineRule="auto"/>
        <w:ind w:right="141"/>
        <w:contextualSpacing/>
        <w:rPr>
          <w:color w:val="000000" w:themeColor="text1"/>
          <w:sz w:val="21"/>
          <w:szCs w:val="21"/>
        </w:rPr>
      </w:pPr>
      <m:oMath>
        <m:sSub>
          <m:sSubPr>
            <m:ctrlPr>
              <w:rPr>
                <w:rFonts w:ascii="Cambria Math" w:eastAsia="Cambria Math" w:hAnsi="Cambria Math" w:cs="Cambria Math"/>
                <w:color w:val="000000" w:themeColor="text1"/>
              </w:rPr>
            </m:ctrlPr>
          </m:sSubPr>
          <m:e>
            <m:r>
              <w:rPr>
                <w:rFonts w:ascii="Cambria Math" w:eastAsia="Cambria Math" w:hAnsi="Cambria Math" w:cs="Cambria Math"/>
                <w:color w:val="000000" w:themeColor="text1"/>
              </w:rPr>
              <m:t>Q</m:t>
            </m:r>
          </m:e>
          <m:sub>
            <m:r>
              <w:rPr>
                <w:rFonts w:ascii="Cambria Math" w:eastAsia="Cambria Math" w:hAnsi="Cambria Math" w:cs="Cambria Math"/>
                <w:color w:val="000000" w:themeColor="text1"/>
              </w:rPr>
              <m:t>Д</m:t>
            </m:r>
          </m:sub>
        </m:sSub>
      </m:oMath>
      <w:r w:rsidR="001E748C" w:rsidRPr="00CA7C54">
        <w:rPr>
          <w:color w:val="000000" w:themeColor="text1"/>
          <w:sz w:val="21"/>
          <w:szCs w:val="21"/>
        </w:rPr>
        <w:t>– кількість тепла, яке виділяється у примі</w:t>
      </w:r>
      <w:r w:rsidR="001E748C" w:rsidRPr="00CA7C54">
        <w:rPr>
          <w:color w:val="000000" w:themeColor="text1"/>
          <w:sz w:val="21"/>
          <w:szCs w:val="21"/>
          <w:highlight w:val="white"/>
        </w:rPr>
        <w:t>щенні ДЕС, Вт, з</w:t>
      </w:r>
      <w:r w:rsidR="001E748C" w:rsidRPr="00CA7C54">
        <w:rPr>
          <w:color w:val="000000" w:themeColor="text1"/>
          <w:sz w:val="21"/>
          <w:szCs w:val="21"/>
        </w:rPr>
        <w:t>а даними виробника генераторної установки, а у випадку відсутності таких даних визначається як сума значень отриманих за формулами 11.9 та 11.10;</w:t>
      </w:r>
    </w:p>
    <w:p w14:paraId="162E882A" w14:textId="77777777" w:rsidR="003C4E04" w:rsidRPr="00CA7C54" w:rsidRDefault="001E748C" w:rsidP="006E03D2">
      <w:pPr>
        <w:pBdr>
          <w:top w:val="nil"/>
          <w:left w:val="nil"/>
          <w:bottom w:val="nil"/>
          <w:right w:val="nil"/>
          <w:between w:val="nil"/>
        </w:pBdr>
        <w:spacing w:before="0" w:line="288" w:lineRule="auto"/>
        <w:ind w:right="141"/>
        <w:contextualSpacing/>
        <w:rPr>
          <w:color w:val="000000" w:themeColor="text1"/>
          <w:sz w:val="21"/>
          <w:szCs w:val="21"/>
        </w:rPr>
      </w:pPr>
      <w:r w:rsidRPr="00CA7C54">
        <w:rPr>
          <w:i/>
          <w:color w:val="000000" w:themeColor="text1"/>
          <w:sz w:val="21"/>
          <w:szCs w:val="21"/>
        </w:rPr>
        <w:t>с</w:t>
      </w:r>
      <w:r w:rsidRPr="00CA7C54">
        <w:rPr>
          <w:color w:val="000000" w:themeColor="text1"/>
          <w:sz w:val="21"/>
          <w:szCs w:val="21"/>
        </w:rPr>
        <w:t xml:space="preserve"> – теплоємність повітря, яка приймається 1,028 кДж/кг·К;</w:t>
      </w:r>
    </w:p>
    <w:p w14:paraId="122A68C2" w14:textId="77777777" w:rsidR="003C4E04" w:rsidRPr="00CA7C54" w:rsidRDefault="006E03D2" w:rsidP="006E03D2">
      <w:pPr>
        <w:pBdr>
          <w:top w:val="nil"/>
          <w:left w:val="nil"/>
          <w:bottom w:val="nil"/>
          <w:right w:val="nil"/>
          <w:between w:val="nil"/>
        </w:pBdr>
        <w:spacing w:before="0" w:line="288" w:lineRule="auto"/>
        <w:ind w:right="141"/>
        <w:contextualSpacing/>
        <w:rPr>
          <w:color w:val="000000" w:themeColor="text1"/>
          <w:sz w:val="21"/>
          <w:szCs w:val="21"/>
        </w:rPr>
      </w:pPr>
      <w:bookmarkStart w:id="25" w:name="_Hlk144664223"/>
      <m:oMath>
        <m:r>
          <w:rPr>
            <w:rFonts w:ascii="Cambria Math" w:eastAsia="Cambria Math" w:hAnsi="Cambria Math"/>
            <w:color w:val="000000" w:themeColor="text1"/>
          </w:rPr>
          <m:t>γ</m:t>
        </m:r>
      </m:oMath>
      <w:bookmarkEnd w:id="25"/>
      <w:r w:rsidR="001E748C" w:rsidRPr="00E334C7">
        <w:rPr>
          <w:color w:val="000000" w:themeColor="text1"/>
          <w:sz w:val="21"/>
          <w:szCs w:val="21"/>
        </w:rPr>
        <w:t xml:space="preserve"> –</w:t>
      </w:r>
      <w:r w:rsidR="001E748C" w:rsidRPr="00CA7C54">
        <w:rPr>
          <w:color w:val="000000" w:themeColor="text1"/>
          <w:sz w:val="21"/>
          <w:szCs w:val="21"/>
        </w:rPr>
        <w:t xml:space="preserve"> об’ємна вага повітря, яка приймається 1,2 кг/м³;</w:t>
      </w:r>
    </w:p>
    <w:p w14:paraId="0001A87B" w14:textId="77777777" w:rsidR="003C4E04" w:rsidRPr="00CA7C54" w:rsidRDefault="001E748C" w:rsidP="006E03D2">
      <w:pPr>
        <w:pBdr>
          <w:top w:val="nil"/>
          <w:left w:val="nil"/>
          <w:bottom w:val="nil"/>
          <w:right w:val="nil"/>
          <w:between w:val="nil"/>
        </w:pBdr>
        <w:spacing w:before="0" w:line="288" w:lineRule="auto"/>
        <w:ind w:right="141"/>
        <w:contextualSpacing/>
        <w:rPr>
          <w:color w:val="000000" w:themeColor="text1"/>
          <w:sz w:val="21"/>
          <w:szCs w:val="21"/>
        </w:rPr>
      </w:pPr>
      <w:bookmarkStart w:id="26" w:name="OLE_LINK3"/>
      <w:r w:rsidRPr="00CA7C54">
        <w:rPr>
          <w:i/>
          <w:color w:val="000000" w:themeColor="text1"/>
          <w:sz w:val="21"/>
          <w:szCs w:val="21"/>
        </w:rPr>
        <w:t>t</w:t>
      </w:r>
      <w:r w:rsidRPr="00CA7C54">
        <w:rPr>
          <w:i/>
          <w:color w:val="000000" w:themeColor="text1"/>
          <w:sz w:val="21"/>
          <w:szCs w:val="21"/>
          <w:vertAlign w:val="subscript"/>
        </w:rPr>
        <w:t xml:space="preserve">п </w:t>
      </w:r>
      <w:r w:rsidRPr="00CA7C54">
        <w:rPr>
          <w:color w:val="000000" w:themeColor="text1"/>
          <w:sz w:val="21"/>
          <w:szCs w:val="21"/>
        </w:rPr>
        <w:t xml:space="preserve"> – температура повітря у приміщенні ДЕС, 40 </w:t>
      </w:r>
      <w:r w:rsidRPr="00CA7C54">
        <w:rPr>
          <w:rFonts w:ascii="Cambria Math" w:eastAsia="Cambria Math" w:hAnsi="Cambria Math" w:cs="Cambria Math"/>
          <w:color w:val="000000" w:themeColor="text1"/>
          <w:sz w:val="21"/>
          <w:szCs w:val="21"/>
        </w:rPr>
        <w:t>℃</w:t>
      </w:r>
      <w:r w:rsidRPr="00CA7C54">
        <w:rPr>
          <w:color w:val="000000" w:themeColor="text1"/>
          <w:sz w:val="21"/>
          <w:szCs w:val="21"/>
        </w:rPr>
        <w:t>;</w:t>
      </w:r>
    </w:p>
    <w:bookmarkEnd w:id="26"/>
    <w:p w14:paraId="5AA92D88"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CA7C54">
        <w:rPr>
          <w:i/>
          <w:color w:val="000000" w:themeColor="text1"/>
          <w:sz w:val="21"/>
          <w:szCs w:val="21"/>
        </w:rPr>
        <w:t>t</w:t>
      </w:r>
      <w:r w:rsidRPr="00CA7C54">
        <w:rPr>
          <w:i/>
          <w:color w:val="000000" w:themeColor="text1"/>
          <w:sz w:val="21"/>
          <w:szCs w:val="21"/>
          <w:vertAlign w:val="subscript"/>
        </w:rPr>
        <w:t>з</w:t>
      </w:r>
      <w:r w:rsidRPr="00CA7C54">
        <w:rPr>
          <w:color w:val="000000" w:themeColor="text1"/>
          <w:sz w:val="21"/>
          <w:szCs w:val="21"/>
        </w:rPr>
        <w:t xml:space="preserve"> –  розрахункова середньомісячна температура зовнішнього повітря найтеплішого місяця при вентиляції приміщення ДЕС зовнішнім повітрям або температура повітря в основних приміщеннях сховища при вентиляції перетікаючим повітрям.</w:t>
      </w:r>
    </w:p>
    <w:p w14:paraId="274492C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визначенні продуктивності вентиляційної системи для режиму фільтровентиляції у ДЕС повітрям, що перетикає зі сховища, слід враховувати тепло, яке вбирається огороджувальними конструкціями. При вентиляції приміщень ДЕС зовнішнім повітрям та при використанні повітроохолоджувальних установок вбирання тепла огороджувальними конструкціями не враховуються.</w:t>
      </w:r>
    </w:p>
    <w:p w14:paraId="0CBE9703"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11.2.4.4</w:t>
      </w:r>
      <w:r w:rsidRPr="00CA7C54">
        <w:rPr>
          <w:color w:val="000000" w:themeColor="text1"/>
          <w:sz w:val="21"/>
          <w:szCs w:val="21"/>
        </w:rPr>
        <w:t xml:space="preserve"> Кількість тепла, яке надходить у приміщення ДЕС від генераторної установки </w:t>
      </w:r>
      <w:r w:rsidRPr="00CA7C54">
        <w:rPr>
          <w:i/>
          <w:color w:val="000000" w:themeColor="text1"/>
          <w:sz w:val="21"/>
          <w:szCs w:val="21"/>
        </w:rPr>
        <w:t>Q</w:t>
      </w:r>
      <w:r w:rsidRPr="00CA7C54">
        <w:rPr>
          <w:i/>
          <w:color w:val="000000" w:themeColor="text1"/>
          <w:sz w:val="21"/>
          <w:szCs w:val="21"/>
          <w:vertAlign w:val="subscript"/>
        </w:rPr>
        <w:t>ДЗ</w:t>
      </w:r>
      <w:r w:rsidRPr="00CA7C54">
        <w:rPr>
          <w:color w:val="000000" w:themeColor="text1"/>
          <w:sz w:val="21"/>
          <w:szCs w:val="21"/>
        </w:rPr>
        <w:t xml:space="preserve"> , [Вт], слід визначати за формулою:</w:t>
      </w:r>
    </w:p>
    <w:p w14:paraId="06B3F79B" w14:textId="77777777" w:rsidR="003C4E04" w:rsidRPr="00CA7C54" w:rsidRDefault="001E748C" w:rsidP="006E03D2">
      <w:pPr>
        <w:pBdr>
          <w:top w:val="nil"/>
          <w:left w:val="nil"/>
          <w:bottom w:val="nil"/>
          <w:right w:val="nil"/>
          <w:between w:val="nil"/>
        </w:pBdr>
        <w:spacing w:before="0" w:line="288" w:lineRule="auto"/>
        <w:ind w:left="1701" w:right="142" w:firstLine="1985"/>
        <w:contextualSpacing/>
        <w:jc w:val="left"/>
        <w:rPr>
          <w:rFonts w:eastAsia="Times New Roman"/>
          <w:color w:val="000000" w:themeColor="text1"/>
          <w:sz w:val="21"/>
          <w:szCs w:val="21"/>
        </w:rPr>
      </w:pPr>
      <w:r w:rsidRPr="00EC337B">
        <w:rPr>
          <w:rFonts w:ascii="Times New Roman" w:hAnsi="Times New Roman" w:cs="Times New Roman"/>
          <w:i/>
          <w:color w:val="000000" w:themeColor="text1"/>
          <w:sz w:val="21"/>
          <w:szCs w:val="21"/>
        </w:rPr>
        <w:t>Q</w:t>
      </w:r>
      <w:r w:rsidRPr="00EC337B">
        <w:rPr>
          <w:rFonts w:ascii="Times New Roman" w:hAnsi="Times New Roman" w:cs="Times New Roman"/>
          <w:i/>
          <w:color w:val="000000" w:themeColor="text1"/>
          <w:sz w:val="21"/>
          <w:szCs w:val="21"/>
          <w:vertAlign w:val="subscript"/>
        </w:rPr>
        <w:t>ДЗ</w:t>
      </w:r>
      <w:r w:rsidRPr="00EC337B">
        <w:rPr>
          <w:rFonts w:ascii="Times New Roman" w:hAnsi="Times New Roman" w:cs="Times New Roman"/>
          <w:i/>
          <w:color w:val="000000" w:themeColor="text1"/>
          <w:sz w:val="21"/>
          <w:szCs w:val="21"/>
        </w:rPr>
        <w:t>=К</w:t>
      </w:r>
      <w:r w:rsidRPr="00EC337B">
        <w:rPr>
          <w:rFonts w:ascii="Times New Roman" w:hAnsi="Times New Roman" w:cs="Times New Roman"/>
          <w:i/>
          <w:color w:val="000000" w:themeColor="text1"/>
          <w:sz w:val="21"/>
          <w:szCs w:val="21"/>
          <w:vertAlign w:val="subscript"/>
        </w:rPr>
        <w:t>Т</w:t>
      </w:r>
      <w:r w:rsidRPr="00EC337B">
        <w:rPr>
          <w:rFonts w:ascii="Times New Roman" w:hAnsi="Times New Roman" w:cs="Times New Roman"/>
          <w:i/>
          <w:color w:val="000000" w:themeColor="text1"/>
          <w:sz w:val="21"/>
          <w:szCs w:val="21"/>
        </w:rPr>
        <w:t>·P</w:t>
      </w:r>
      <w:r w:rsidRPr="00EC337B">
        <w:rPr>
          <w:rFonts w:ascii="Times New Roman" w:hAnsi="Times New Roman" w:cs="Times New Roman"/>
          <w:i/>
          <w:color w:val="000000" w:themeColor="text1"/>
          <w:sz w:val="21"/>
          <w:szCs w:val="21"/>
          <w:vertAlign w:val="subscript"/>
        </w:rPr>
        <w:t>e</w:t>
      </w:r>
      <w:r w:rsidRPr="00EC337B">
        <w:rPr>
          <w:rFonts w:ascii="Times New Roman" w:hAnsi="Times New Roman" w:cs="Times New Roman"/>
          <w:i/>
          <w:color w:val="000000" w:themeColor="text1"/>
          <w:sz w:val="21"/>
          <w:szCs w:val="21"/>
        </w:rPr>
        <w:t>·B·q</w:t>
      </w:r>
      <w:r w:rsidRPr="00EC337B">
        <w:rPr>
          <w:rFonts w:ascii="Times New Roman" w:hAnsi="Times New Roman" w:cs="Times New Roman"/>
          <w:i/>
          <w:color w:val="000000" w:themeColor="text1"/>
          <w:sz w:val="21"/>
          <w:szCs w:val="21"/>
          <w:vertAlign w:val="subscript"/>
        </w:rPr>
        <w:t xml:space="preserve">п </w:t>
      </w:r>
      <w:r w:rsidRPr="00EC337B">
        <w:rPr>
          <w:rFonts w:ascii="Times New Roman" w:hAnsi="Times New Roman" w:cs="Times New Roman"/>
          <w:i/>
          <w:color w:val="000000" w:themeColor="text1"/>
          <w:sz w:val="21"/>
          <w:szCs w:val="21"/>
        </w:rPr>
        <w:t>/3,6</w:t>
      </w:r>
      <w:r w:rsidRPr="00EC337B">
        <w:rPr>
          <w:rFonts w:ascii="Times New Roman" w:hAnsi="Times New Roman" w:cs="Times New Roman"/>
          <w:color w:val="000000" w:themeColor="text1"/>
          <w:sz w:val="21"/>
          <w:szCs w:val="21"/>
        </w:rPr>
        <w:t>,</w:t>
      </w:r>
      <w:r w:rsidRPr="00CA7C54">
        <w:rPr>
          <w:color w:val="000000" w:themeColor="text1"/>
          <w:sz w:val="21"/>
          <w:szCs w:val="21"/>
        </w:rPr>
        <w:t>                                                   (11.9)</w:t>
      </w:r>
    </w:p>
    <w:p w14:paraId="412E9A8C" w14:textId="77777777" w:rsidR="003C4E04" w:rsidRPr="00CA7C54" w:rsidRDefault="001E748C" w:rsidP="006E03D2">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33EBD144"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К</w:t>
      </w:r>
      <w:r w:rsidRPr="00EC337B">
        <w:rPr>
          <w:rFonts w:ascii="Times New Roman" w:hAnsi="Times New Roman" w:cs="Times New Roman"/>
          <w:i/>
          <w:color w:val="000000" w:themeColor="text1"/>
          <w:sz w:val="21"/>
          <w:szCs w:val="21"/>
          <w:vertAlign w:val="subscript"/>
        </w:rPr>
        <w:t>Т</w:t>
      </w:r>
      <w:r w:rsidRPr="00EC337B">
        <w:rPr>
          <w:rFonts w:ascii="Times New Roman" w:hAnsi="Times New Roman" w:cs="Times New Roman"/>
          <w:color w:val="000000" w:themeColor="text1"/>
          <w:sz w:val="21"/>
          <w:szCs w:val="21"/>
        </w:rPr>
        <w:t xml:space="preserve"> </w:t>
      </w:r>
      <w:r w:rsidRPr="00CA7C54">
        <w:rPr>
          <w:color w:val="000000" w:themeColor="text1"/>
          <w:sz w:val="21"/>
          <w:szCs w:val="21"/>
        </w:rPr>
        <w:t>– коефіцієнт, який враховує кількість тепла, що виділяється ДЕС, i приймається при водоповітряний (радіаторній) системі охолодження 0,35, при водо-водянiй –  0,08;</w:t>
      </w:r>
    </w:p>
    <w:p w14:paraId="78C7E076"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P</w:t>
      </w:r>
      <w:r w:rsidRPr="00EC337B">
        <w:rPr>
          <w:rFonts w:ascii="Times New Roman" w:hAnsi="Times New Roman" w:cs="Times New Roman"/>
          <w:i/>
          <w:color w:val="000000" w:themeColor="text1"/>
          <w:sz w:val="21"/>
          <w:szCs w:val="21"/>
          <w:vertAlign w:val="subscript"/>
        </w:rPr>
        <w:t>e</w:t>
      </w:r>
      <w:r w:rsidRPr="00CA7C54">
        <w:rPr>
          <w:color w:val="000000" w:themeColor="text1"/>
          <w:sz w:val="21"/>
          <w:szCs w:val="21"/>
        </w:rPr>
        <w:t xml:space="preserve"> – ефективна потужність ДЕС, [кВт];</w:t>
      </w:r>
    </w:p>
    <w:p w14:paraId="26FB0901"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В</w:t>
      </w:r>
      <w:r w:rsidRPr="00CA7C54">
        <w:rPr>
          <w:color w:val="000000" w:themeColor="text1"/>
          <w:sz w:val="21"/>
          <w:szCs w:val="21"/>
        </w:rPr>
        <w:t xml:space="preserve"> –теплотворна спроможність палива, [кДж/кг];</w:t>
      </w:r>
    </w:p>
    <w:p w14:paraId="079521D7"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bookmarkStart w:id="27" w:name="_Hlk144893873"/>
      <w:r w:rsidRPr="00EC337B">
        <w:rPr>
          <w:rFonts w:ascii="Times New Roman" w:hAnsi="Times New Roman" w:cs="Times New Roman"/>
          <w:i/>
          <w:color w:val="000000" w:themeColor="text1"/>
          <w:sz w:val="21"/>
          <w:szCs w:val="21"/>
        </w:rPr>
        <w:t>q</w:t>
      </w:r>
      <w:r w:rsidRPr="00EC337B">
        <w:rPr>
          <w:rFonts w:ascii="Times New Roman" w:hAnsi="Times New Roman" w:cs="Times New Roman"/>
          <w:i/>
          <w:color w:val="000000" w:themeColor="text1"/>
          <w:sz w:val="21"/>
          <w:szCs w:val="21"/>
          <w:vertAlign w:val="subscript"/>
        </w:rPr>
        <w:t>п</w:t>
      </w:r>
      <w:bookmarkEnd w:id="27"/>
      <w:r w:rsidRPr="00EC337B">
        <w:rPr>
          <w:rFonts w:ascii="Times New Roman" w:hAnsi="Times New Roman" w:cs="Times New Roman"/>
          <w:color w:val="000000" w:themeColor="text1"/>
          <w:sz w:val="21"/>
          <w:szCs w:val="21"/>
        </w:rPr>
        <w:t xml:space="preserve"> </w:t>
      </w:r>
      <w:r w:rsidRPr="00CA7C54">
        <w:rPr>
          <w:color w:val="000000" w:themeColor="text1"/>
          <w:sz w:val="21"/>
          <w:szCs w:val="21"/>
        </w:rPr>
        <w:t>– питома витрата палива, [кг/(кВт·год)].</w:t>
      </w:r>
    </w:p>
    <w:p w14:paraId="7F3FEA9A" w14:textId="77777777" w:rsidR="0062589B" w:rsidRDefault="001E748C" w:rsidP="006E03D2">
      <w:pPr>
        <w:pBdr>
          <w:top w:val="nil"/>
          <w:left w:val="nil"/>
          <w:bottom w:val="nil"/>
          <w:right w:val="nil"/>
          <w:between w:val="nil"/>
        </w:pBdr>
        <w:spacing w:before="0" w:line="288" w:lineRule="auto"/>
        <w:ind w:right="141" w:firstLine="566"/>
        <w:contextualSpacing/>
        <w:rPr>
          <w:i/>
          <w:color w:val="000000" w:themeColor="text1"/>
          <w:spacing w:val="-10"/>
          <w:sz w:val="20"/>
          <w:szCs w:val="20"/>
        </w:rPr>
      </w:pPr>
      <w:r w:rsidRPr="00CA7C54">
        <w:rPr>
          <w:b/>
          <w:color w:val="000000" w:themeColor="text1"/>
          <w:sz w:val="20"/>
          <w:szCs w:val="20"/>
        </w:rPr>
        <w:t>Примітка.</w:t>
      </w:r>
      <w:r w:rsidRPr="00CA7C54">
        <w:rPr>
          <w:color w:val="000000" w:themeColor="text1"/>
          <w:spacing w:val="-10"/>
          <w:sz w:val="20"/>
          <w:szCs w:val="20"/>
        </w:rPr>
        <w:t xml:space="preserve">При відсутності точних даних допускається приймати </w:t>
      </w:r>
      <w:r w:rsidRPr="00EC337B">
        <w:rPr>
          <w:rFonts w:ascii="Times New Roman" w:hAnsi="Times New Roman" w:cs="Times New Roman"/>
          <w:i/>
          <w:color w:val="000000" w:themeColor="text1"/>
          <w:spacing w:val="-10"/>
          <w:sz w:val="20"/>
          <w:szCs w:val="20"/>
        </w:rPr>
        <w:t>В = 42 740 кДж/кг</w:t>
      </w:r>
      <w:r w:rsidRPr="00EC337B">
        <w:rPr>
          <w:rFonts w:ascii="Times New Roman" w:hAnsi="Times New Roman" w:cs="Times New Roman"/>
          <w:color w:val="000000" w:themeColor="text1"/>
          <w:spacing w:val="-10"/>
          <w:sz w:val="20"/>
          <w:szCs w:val="20"/>
        </w:rPr>
        <w:t>, </w:t>
      </w:r>
      <w:r w:rsidR="00C82D69" w:rsidRPr="00EC337B">
        <w:rPr>
          <w:rFonts w:ascii="Times New Roman" w:hAnsi="Times New Roman" w:cs="Times New Roman"/>
          <w:i/>
          <w:color w:val="000000" w:themeColor="text1"/>
          <w:sz w:val="21"/>
          <w:szCs w:val="21"/>
        </w:rPr>
        <w:t>q</w:t>
      </w:r>
      <w:r w:rsidR="00C82D69" w:rsidRPr="00EC337B">
        <w:rPr>
          <w:rFonts w:ascii="Times New Roman" w:hAnsi="Times New Roman" w:cs="Times New Roman"/>
          <w:i/>
          <w:color w:val="000000" w:themeColor="text1"/>
          <w:sz w:val="21"/>
          <w:szCs w:val="21"/>
          <w:vertAlign w:val="subscript"/>
        </w:rPr>
        <w:t>п</w:t>
      </w:r>
      <w:r w:rsidRPr="00CA7C54">
        <w:rPr>
          <w:i/>
          <w:color w:val="000000" w:themeColor="text1"/>
          <w:spacing w:val="-10"/>
          <w:sz w:val="20"/>
          <w:szCs w:val="20"/>
        </w:rPr>
        <w:t xml:space="preserve"> = 0,26 кг/(кВт·год).</w:t>
      </w:r>
    </w:p>
    <w:p w14:paraId="7F5055FB" w14:textId="77777777" w:rsidR="003C4E04" w:rsidRPr="00CA7C54" w:rsidRDefault="001E748C" w:rsidP="006E03D2">
      <w:pPr>
        <w:pBdr>
          <w:top w:val="nil"/>
          <w:left w:val="nil"/>
          <w:bottom w:val="nil"/>
          <w:right w:val="nil"/>
          <w:between w:val="nil"/>
        </w:pBdr>
        <w:spacing w:before="0" w:line="288" w:lineRule="auto"/>
        <w:ind w:right="142"/>
        <w:contextualSpacing/>
        <w:rPr>
          <w:color w:val="000000" w:themeColor="text1"/>
          <w:sz w:val="21"/>
          <w:szCs w:val="21"/>
        </w:rPr>
      </w:pPr>
      <w:r w:rsidRPr="00CA7C54">
        <w:rPr>
          <w:b/>
          <w:color w:val="000000" w:themeColor="text1"/>
          <w:sz w:val="21"/>
          <w:szCs w:val="21"/>
        </w:rPr>
        <w:t>11.2.4.5</w:t>
      </w:r>
      <w:r w:rsidRPr="00CA7C54">
        <w:rPr>
          <w:color w:val="000000" w:themeColor="text1"/>
          <w:sz w:val="21"/>
          <w:szCs w:val="21"/>
        </w:rPr>
        <w:t xml:space="preserve"> Тепловиділення </w:t>
      </w:r>
      <w:r w:rsidRPr="00EC337B">
        <w:rPr>
          <w:rFonts w:ascii="Times New Roman" w:hAnsi="Times New Roman" w:cs="Times New Roman"/>
          <w:i/>
          <w:color w:val="000000" w:themeColor="text1"/>
          <w:sz w:val="21"/>
          <w:szCs w:val="21"/>
        </w:rPr>
        <w:t>Q</w:t>
      </w:r>
      <w:r w:rsidRPr="00EC337B">
        <w:rPr>
          <w:rFonts w:ascii="Times New Roman" w:hAnsi="Times New Roman" w:cs="Times New Roman"/>
          <w:i/>
          <w:color w:val="000000" w:themeColor="text1"/>
          <w:sz w:val="21"/>
          <w:szCs w:val="21"/>
          <w:vertAlign w:val="subscript"/>
        </w:rPr>
        <w:t>З</w:t>
      </w:r>
      <w:r w:rsidRPr="00EC337B">
        <w:rPr>
          <w:rFonts w:ascii="Times New Roman" w:hAnsi="Times New Roman" w:cs="Times New Roman"/>
          <w:color w:val="000000" w:themeColor="text1"/>
          <w:sz w:val="21"/>
          <w:szCs w:val="21"/>
        </w:rPr>
        <w:t>,</w:t>
      </w:r>
      <w:r w:rsidRPr="00CA7C54">
        <w:rPr>
          <w:color w:val="000000" w:themeColor="text1"/>
          <w:sz w:val="21"/>
          <w:szCs w:val="21"/>
        </w:rPr>
        <w:t xml:space="preserve"> Вт, яке поступає у приміщенні ДЕС від генератора електроенергії та електродвигунів, визначається за формулою:</w:t>
      </w:r>
    </w:p>
    <w:p w14:paraId="47FF83DB" w14:textId="77777777" w:rsidR="009E6C26" w:rsidRPr="00CA7C54" w:rsidRDefault="009E6C26" w:rsidP="006E03D2">
      <w:pPr>
        <w:pBdr>
          <w:top w:val="nil"/>
          <w:left w:val="nil"/>
          <w:bottom w:val="nil"/>
          <w:right w:val="nil"/>
          <w:between w:val="nil"/>
        </w:pBdr>
        <w:spacing w:before="0" w:line="288" w:lineRule="auto"/>
        <w:ind w:right="142"/>
        <w:contextualSpacing/>
        <w:rPr>
          <w:rFonts w:eastAsia="Times New Roman"/>
          <w:color w:val="000000" w:themeColor="text1"/>
          <w:sz w:val="21"/>
          <w:szCs w:val="21"/>
        </w:rPr>
      </w:pPr>
    </w:p>
    <w:p w14:paraId="30724432" w14:textId="77777777" w:rsidR="003C4E04" w:rsidRPr="00CA7C54" w:rsidRDefault="00DC31F3" w:rsidP="006E03D2">
      <w:pPr>
        <w:pBdr>
          <w:top w:val="nil"/>
          <w:left w:val="nil"/>
          <w:bottom w:val="nil"/>
          <w:right w:val="nil"/>
          <w:between w:val="nil"/>
        </w:pBdr>
        <w:spacing w:before="0" w:line="288" w:lineRule="auto"/>
        <w:ind w:left="3119" w:firstLine="708"/>
        <w:contextualSpacing/>
        <w:jc w:val="left"/>
        <w:rPr>
          <w:color w:val="000000" w:themeColor="text1"/>
          <w:sz w:val="21"/>
          <w:szCs w:val="21"/>
        </w:rPr>
      </w:pPr>
      <m:oMath>
        <m:sSub>
          <m:sSubPr>
            <m:ctrlPr>
              <w:rPr>
                <w:rFonts w:ascii="Cambria Math" w:eastAsia="Cambria Math" w:hAnsi="Cambria Math"/>
                <w:color w:val="000000" w:themeColor="text1"/>
                <w:sz w:val="21"/>
                <w:szCs w:val="21"/>
              </w:rPr>
            </m:ctrlPr>
          </m:sSubPr>
          <m:e>
            <m:r>
              <w:rPr>
                <w:rFonts w:ascii="Cambria Math" w:eastAsia="Cambria Math" w:hAnsi="Cambria Math"/>
                <w:color w:val="000000" w:themeColor="text1"/>
                <w:sz w:val="21"/>
                <w:szCs w:val="21"/>
              </w:rPr>
              <m:t>Q</m:t>
            </m:r>
          </m:e>
          <m:sub>
            <m:r>
              <w:rPr>
                <w:rFonts w:ascii="Cambria Math" w:eastAsia="Cambria Math" w:hAnsi="Cambria Math"/>
                <w:color w:val="000000" w:themeColor="text1"/>
                <w:sz w:val="21"/>
                <w:szCs w:val="21"/>
              </w:rPr>
              <m:t>З</m:t>
            </m:r>
          </m:sub>
        </m:sSub>
        <m:r>
          <w:rPr>
            <w:rFonts w:ascii="Cambria Math" w:eastAsia="Cambria Math" w:hAnsi="Cambria Math"/>
            <w:color w:val="000000" w:themeColor="text1"/>
            <w:sz w:val="21"/>
            <w:szCs w:val="21"/>
          </w:rPr>
          <m:t>=1,16∙860∙</m:t>
        </m:r>
        <m:sSub>
          <m:sSubPr>
            <m:ctrlPr>
              <w:rPr>
                <w:rFonts w:ascii="Cambria Math" w:eastAsia="Cambria Math" w:hAnsi="Cambria Math"/>
                <w:color w:val="000000" w:themeColor="text1"/>
                <w:sz w:val="21"/>
                <w:szCs w:val="21"/>
              </w:rPr>
            </m:ctrlPr>
          </m:sSubPr>
          <m:e>
            <m:r>
              <w:rPr>
                <w:rFonts w:ascii="Cambria Math" w:eastAsia="Cambria Math" w:hAnsi="Cambria Math"/>
                <w:color w:val="000000" w:themeColor="text1"/>
                <w:sz w:val="21"/>
                <w:szCs w:val="21"/>
              </w:rPr>
              <m:t>N</m:t>
            </m:r>
          </m:e>
          <m:sub>
            <m:r>
              <w:rPr>
                <w:rFonts w:ascii="Cambria Math" w:eastAsia="Cambria Math" w:hAnsi="Cambria Math"/>
                <w:color w:val="000000" w:themeColor="text1"/>
                <w:sz w:val="21"/>
                <w:szCs w:val="21"/>
              </w:rPr>
              <m:t>y</m:t>
            </m:r>
          </m:sub>
        </m:sSub>
        <m:r>
          <w:rPr>
            <w:rFonts w:ascii="Cambria Math" w:eastAsia="Cambria Math" w:hAnsi="Cambria Math"/>
            <w:color w:val="000000" w:themeColor="text1"/>
            <w:sz w:val="21"/>
            <w:szCs w:val="21"/>
          </w:rPr>
          <m:t>∙</m:t>
        </m:r>
        <m:f>
          <m:fPr>
            <m:ctrlPr>
              <w:rPr>
                <w:rFonts w:ascii="Cambria Math" w:eastAsia="Cambria Math" w:hAnsi="Cambria Math"/>
                <w:color w:val="000000" w:themeColor="text1"/>
                <w:sz w:val="21"/>
                <w:szCs w:val="21"/>
              </w:rPr>
            </m:ctrlPr>
          </m:fPr>
          <m:num>
            <m:r>
              <w:rPr>
                <w:rFonts w:ascii="Cambria Math" w:eastAsia="Cambria Math" w:hAnsi="Cambria Math"/>
                <w:color w:val="000000" w:themeColor="text1"/>
                <w:sz w:val="21"/>
                <w:szCs w:val="21"/>
              </w:rPr>
              <m:t>1-η</m:t>
            </m:r>
          </m:num>
          <m:den>
            <m:r>
              <w:rPr>
                <w:rFonts w:ascii="Cambria Math" w:eastAsia="Cambria Math" w:hAnsi="Cambria Math"/>
                <w:color w:val="000000" w:themeColor="text1"/>
                <w:sz w:val="21"/>
                <w:szCs w:val="21"/>
              </w:rPr>
              <m:t>η</m:t>
            </m:r>
          </m:den>
        </m:f>
      </m:oMath>
      <w:r w:rsidR="001E748C" w:rsidRPr="00CA7C54">
        <w:rPr>
          <w:color w:val="000000" w:themeColor="text1"/>
          <w:sz w:val="21"/>
          <w:szCs w:val="21"/>
        </w:rPr>
        <w:t>,                                           (11.10)</w:t>
      </w:r>
    </w:p>
    <w:p w14:paraId="2AAF11A0" w14:textId="77777777" w:rsidR="003C4E04" w:rsidRPr="00CA7C54" w:rsidRDefault="001E748C" w:rsidP="006E03D2">
      <w:pPr>
        <w:pBdr>
          <w:top w:val="nil"/>
          <w:left w:val="nil"/>
          <w:bottom w:val="nil"/>
          <w:right w:val="nil"/>
          <w:between w:val="nil"/>
        </w:pBdr>
        <w:spacing w:before="0" w:line="288" w:lineRule="auto"/>
        <w:ind w:right="142"/>
        <w:contextualSpacing/>
        <w:rPr>
          <w:color w:val="000000" w:themeColor="text1"/>
          <w:sz w:val="21"/>
          <w:szCs w:val="21"/>
        </w:rPr>
      </w:pPr>
      <w:r w:rsidRPr="00CA7C54">
        <w:rPr>
          <w:color w:val="000000" w:themeColor="text1"/>
          <w:sz w:val="21"/>
          <w:szCs w:val="21"/>
        </w:rPr>
        <w:t xml:space="preserve">де </w:t>
      </w:r>
    </w:p>
    <w:p w14:paraId="1943EA57" w14:textId="77777777" w:rsidR="003C4E04" w:rsidRPr="00CA7C54" w:rsidRDefault="001E748C" w:rsidP="006E03D2">
      <w:pPr>
        <w:pBdr>
          <w:top w:val="nil"/>
          <w:left w:val="nil"/>
          <w:bottom w:val="nil"/>
          <w:right w:val="nil"/>
          <w:between w:val="nil"/>
        </w:pBdr>
        <w:spacing w:before="0" w:line="288" w:lineRule="auto"/>
        <w:ind w:right="142"/>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N</w:t>
      </w:r>
      <m:oMath>
        <m:r>
          <w:rPr>
            <w:rFonts w:ascii="Cambria Math" w:eastAsia="Cambria Math" w:hAnsi="Cambria Math" w:cs="Times New Roman"/>
            <w:color w:val="000000" w:themeColor="text1"/>
            <w:sz w:val="18"/>
            <w:szCs w:val="18"/>
          </w:rPr>
          <m:t>y</m:t>
        </m:r>
      </m:oMath>
      <w:r w:rsidRPr="00CA7C54">
        <w:rPr>
          <w:color w:val="000000" w:themeColor="text1"/>
          <w:sz w:val="21"/>
          <w:szCs w:val="21"/>
        </w:rPr>
        <w:t xml:space="preserve"> – установлена потужність генератора, електродвигуна, [кВт];</w:t>
      </w:r>
    </w:p>
    <w:p w14:paraId="5D81BC75" w14:textId="77777777" w:rsidR="003C4E04" w:rsidRPr="00CA7C54" w:rsidRDefault="001E748C" w:rsidP="006E03D2">
      <w:pPr>
        <w:pBdr>
          <w:top w:val="nil"/>
          <w:left w:val="nil"/>
          <w:bottom w:val="nil"/>
          <w:right w:val="nil"/>
          <w:between w:val="nil"/>
        </w:pBdr>
        <w:spacing w:before="0" w:line="288" w:lineRule="auto"/>
        <w:ind w:right="142"/>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η</w:t>
      </w:r>
      <w:r w:rsidRPr="00EC337B">
        <w:rPr>
          <w:rFonts w:ascii="Times New Roman" w:hAnsi="Times New Roman" w:cs="Times New Roman"/>
          <w:color w:val="000000" w:themeColor="text1"/>
          <w:sz w:val="21"/>
          <w:szCs w:val="21"/>
        </w:rPr>
        <w:t> </w:t>
      </w:r>
      <w:r w:rsidRPr="00CA7C54">
        <w:rPr>
          <w:color w:val="000000" w:themeColor="text1"/>
          <w:sz w:val="21"/>
          <w:szCs w:val="21"/>
        </w:rPr>
        <w:t>– коефіцієнт корисної дії генератора, електродвигуна при номінальному навантаженні.</w:t>
      </w:r>
    </w:p>
    <w:p w14:paraId="5527BED4"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11.2.4.6</w:t>
      </w:r>
      <w:r w:rsidRPr="00CA7C54">
        <w:rPr>
          <w:color w:val="000000" w:themeColor="text1"/>
          <w:sz w:val="21"/>
          <w:szCs w:val="21"/>
        </w:rPr>
        <w:t xml:space="preserve"> Вентиляцію приміщень ДЕС, які обладнана агрегатами з радіаторним (водоповітряним) охолодженням з невинесеним вузлом охолодження, у яких передбачена можливість переводу на двоконтактне (водо-водяне) охолодження, слід про</w:t>
      </w:r>
      <w:r w:rsidR="00EF265A" w:rsidRPr="00CA7C54">
        <w:rPr>
          <w:color w:val="000000" w:themeColor="text1"/>
          <w:sz w:val="21"/>
          <w:szCs w:val="21"/>
        </w:rPr>
        <w:t>є</w:t>
      </w:r>
      <w:r w:rsidRPr="00CA7C54">
        <w:rPr>
          <w:color w:val="000000" w:themeColor="text1"/>
          <w:sz w:val="21"/>
          <w:szCs w:val="21"/>
        </w:rPr>
        <w:t>ктувати:</w:t>
      </w:r>
    </w:p>
    <w:p w14:paraId="70D09B3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І-го и II-го режимів – повітрям, що перетікає з основних приміщень захисної споруди/СПП, або при його нестачі – зовнішнім повітрям, очищеним від пилу; в останньому випадку при II-му режимі обслуговуючий персонал повинен працювати у протигазах;</w:t>
      </w:r>
    </w:p>
    <w:p w14:paraId="0DDE67EB"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III-го режиму – видалення  тепловиділень, які надходять у приміщення ДЕС від генераторної установки та електродвигуна, за допомогою повітроохолоджувальної установки.</w:t>
      </w:r>
    </w:p>
    <w:p w14:paraId="28455001"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При II-му та III-му режимах допускається передбачати переведення агрегату на водяну систему охолодження з відведенням основних тепловиділень за допомогою оборотної води, яка зберігається у резервуарах, приміщенні ДЕС.</w:t>
      </w:r>
    </w:p>
    <w:p w14:paraId="061B0198"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При проєктуванні ДЕС з використанням електричних станцій, обладнаних виносним (змонтованим на окремій рамі) вузлом охолодження, останній доцільно розміщувати в ізольованому приміщенні з герметичними стінами, які відділяють його від ДЕС та інших приміщень. Вхід з цього приміщення у ДЕС обладнується двома герметичними дверима.У цьому </w:t>
      </w:r>
      <w:r w:rsidRPr="00CA7C54">
        <w:rPr>
          <w:color w:val="000000" w:themeColor="text1"/>
          <w:sz w:val="21"/>
          <w:szCs w:val="21"/>
          <w:highlight w:val="white"/>
        </w:rPr>
        <w:t>випадку при І-му і II-му режимах вентиляції видалення тепла з приміщення вузла охолодження передбачається зовнішнім повітрям, а вентиляція приміщення машинного залу – повітрям, яке перетікає з приміщення для осіб</w:t>
      </w:r>
      <w:r w:rsidRPr="00CA7C54">
        <w:rPr>
          <w:color w:val="000000" w:themeColor="text1"/>
          <w:sz w:val="21"/>
          <w:szCs w:val="21"/>
        </w:rPr>
        <w:t>, які підлягають укриттю. У III-му режимі вентиляції агрегати охолодження переключаються на водяну, а тепло з машинного залу видаляється повітроохолоджувальною установкою.</w:t>
      </w:r>
    </w:p>
    <w:p w14:paraId="5518E5C8"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11.2.4.7</w:t>
      </w:r>
      <w:r w:rsidRPr="00CA7C54">
        <w:rPr>
          <w:color w:val="000000" w:themeColor="text1"/>
          <w:sz w:val="21"/>
          <w:szCs w:val="21"/>
        </w:rPr>
        <w:t xml:space="preserve"> У тамбурі між захисною спорудою/СПП та ДЕС слід передбачати вентиляцію:</w:t>
      </w:r>
    </w:p>
    <w:p w14:paraId="37340106" w14:textId="77777777" w:rsidR="003C4E04" w:rsidRPr="00CA7C54" w:rsidRDefault="00C7348B"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при вентиляції приміщення ДЕС зовнішнім повітрям – керуючись принципом, який вказаний у 11.2.1.26 цих </w:t>
      </w:r>
      <w:r w:rsidR="00EF265A" w:rsidRPr="00CA7C54">
        <w:rPr>
          <w:color w:val="000000" w:themeColor="text1"/>
          <w:sz w:val="21"/>
          <w:szCs w:val="21"/>
        </w:rPr>
        <w:t>н</w:t>
      </w:r>
      <w:r w:rsidR="001E748C" w:rsidRPr="00CA7C54">
        <w:rPr>
          <w:color w:val="000000" w:themeColor="text1"/>
          <w:sz w:val="21"/>
          <w:szCs w:val="21"/>
        </w:rPr>
        <w:t>орм;</w:t>
      </w:r>
    </w:p>
    <w:p w14:paraId="61181513" w14:textId="77777777" w:rsidR="003C4E04" w:rsidRPr="00CA7C54" w:rsidRDefault="00C7348B" w:rsidP="00C7348B">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вентиляції приміщення ДЕС повітрям, яке надходить з приміщення для осіб, які підлягають укриттю, – крізь клапани надмірного тиску діаметром 150 мм, що встановлюються по одному на внутрішній та зовнішній стінах тамбуру.</w:t>
      </w:r>
    </w:p>
    <w:p w14:paraId="73ED6832"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11.2.4.8</w:t>
      </w:r>
      <w:r w:rsidRPr="00CA7C54">
        <w:rPr>
          <w:color w:val="000000" w:themeColor="text1"/>
          <w:sz w:val="21"/>
          <w:szCs w:val="21"/>
        </w:rPr>
        <w:t xml:space="preserve"> Для вентиляції приміщення ДЕС слід передбачати встановлення припливного та витяжного або тільки витяжного вентиляторів, як для приміщень категорії В.</w:t>
      </w:r>
    </w:p>
    <w:p w14:paraId="75C32E63"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цьому припливна система повинна забезпечувати подавання у приміщення ДЕС повітря за рахунок розрідження, яке утворюється витяжним вентилятором. В залежності від прийнятої системи вентиляції у приміщенні ДЕС слід підтримувати такі рівні тиску (розрідження):</w:t>
      </w:r>
    </w:p>
    <w:p w14:paraId="5BD77F47"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а) при вентиляції машинного залу ДЕС зовнішнім повітрям для режимів чистої вентиляції та фільтровентиляції сховищ при встановленні:</w:t>
      </w:r>
    </w:p>
    <w:p w14:paraId="753AB59C"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ab/>
        <w:t>- припливного та витяжного вентиляторів – тиск не вище атмосферного;</w:t>
      </w:r>
    </w:p>
    <w:p w14:paraId="6856144F"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ab/>
        <w:t xml:space="preserve">- лише витяжного вентилятора — розрідження, величина якого дорівнює опору тракту припливної системи, але не більше </w:t>
      </w:r>
      <w:r w:rsidR="00EF265A" w:rsidRPr="00CA7C54">
        <w:rPr>
          <w:color w:val="000000" w:themeColor="text1"/>
          <w:sz w:val="21"/>
          <w:szCs w:val="21"/>
        </w:rPr>
        <w:t xml:space="preserve">ніж </w:t>
      </w:r>
      <w:r w:rsidRPr="00CA7C54">
        <w:rPr>
          <w:color w:val="000000" w:themeColor="text1"/>
          <w:sz w:val="21"/>
          <w:szCs w:val="21"/>
        </w:rPr>
        <w:t>300 Н/м (30 кгс/м²);</w:t>
      </w:r>
    </w:p>
    <w:p w14:paraId="4956179B"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б) при вентиляції машинного залу повітрям, яке надходить з приміщення для осіб, які підлягають укриттю, для режимів;</w:t>
      </w:r>
    </w:p>
    <w:p w14:paraId="06D46749"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ab/>
        <w:t>- чистої вентиляції – тиск, що дорівнює атмосферному;</w:t>
      </w:r>
    </w:p>
    <w:p w14:paraId="1D8B040F" w14:textId="77777777" w:rsidR="003C4E04" w:rsidRPr="00CA7C54" w:rsidRDefault="001E748C" w:rsidP="00F53F9C">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ab/>
        <w:t xml:space="preserve">- </w:t>
      </w:r>
      <w:r w:rsidRPr="00CA7C54">
        <w:rPr>
          <w:color w:val="000000" w:themeColor="text1"/>
          <w:spacing w:val="-8"/>
          <w:sz w:val="21"/>
          <w:szCs w:val="21"/>
        </w:rPr>
        <w:t>фільтровентиляції – розрідження, величина якого дорівнює 20</w:t>
      </w:r>
      <w:r w:rsidR="00F53F9C" w:rsidRPr="00CA7C54">
        <w:rPr>
          <w:color w:val="000000" w:themeColor="text1"/>
          <w:spacing w:val="-8"/>
          <w:sz w:val="21"/>
          <w:szCs w:val="21"/>
        </w:rPr>
        <w:t xml:space="preserve"> Н/м (2 кгс/м²) </w:t>
      </w:r>
      <w:r w:rsidRPr="00CA7C54">
        <w:rPr>
          <w:color w:val="000000" w:themeColor="text1"/>
          <w:spacing w:val="-8"/>
          <w:sz w:val="21"/>
          <w:szCs w:val="21"/>
        </w:rPr>
        <w:t>–30 Н/м (3 кгс/м²), по відношенню до приміщень для розміщення осіб, що підлягають укриттю</w:t>
      </w:r>
      <w:r w:rsidRPr="00CA7C54">
        <w:rPr>
          <w:color w:val="000000" w:themeColor="text1"/>
          <w:sz w:val="21"/>
          <w:szCs w:val="21"/>
        </w:rPr>
        <w:t>.</w:t>
      </w:r>
    </w:p>
    <w:p w14:paraId="7927713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У приміщенні виносного вузла охолодження при І-му і II-му режимах слід передбачати розрідження у межах 2 </w:t>
      </w:r>
      <w:r w:rsidR="00F53F9C" w:rsidRPr="00CA7C54">
        <w:rPr>
          <w:color w:val="000000" w:themeColor="text1"/>
          <w:sz w:val="21"/>
          <w:szCs w:val="21"/>
        </w:rPr>
        <w:t>Н/м (0,2  кгс/м²)</w:t>
      </w:r>
      <w:r w:rsidRPr="00CA7C54">
        <w:rPr>
          <w:color w:val="000000" w:themeColor="text1"/>
          <w:sz w:val="21"/>
          <w:szCs w:val="21"/>
        </w:rPr>
        <w:t>– 300 Н/м ( 30 кгс/м²).</w:t>
      </w:r>
    </w:p>
    <w:p w14:paraId="792E320C"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11.2.4.9</w:t>
      </w:r>
      <w:r w:rsidRPr="00CA7C54">
        <w:rPr>
          <w:color w:val="000000" w:themeColor="text1"/>
          <w:sz w:val="21"/>
          <w:szCs w:val="21"/>
        </w:rPr>
        <w:t xml:space="preserve"> У машинному залі ДЕС на вентиляційних системах встановлюються герметичні клапани:</w:t>
      </w:r>
    </w:p>
    <w:p w14:paraId="7C43010C" w14:textId="77777777" w:rsidR="003C4E04" w:rsidRPr="00CA7C54" w:rsidRDefault="00C7348B" w:rsidP="00C7348B">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вентиляції машинного залу повітрям, що надходить з приміщення для осіб, які підлягають укриттю;</w:t>
      </w:r>
    </w:p>
    <w:p w14:paraId="318C31F4" w14:textId="77777777" w:rsidR="003C4E04" w:rsidRPr="00CA7C54" w:rsidRDefault="00C7348B"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наявності режиму регенерації;</w:t>
      </w:r>
    </w:p>
    <w:p w14:paraId="6A653C93" w14:textId="77777777" w:rsidR="003C4E04" w:rsidRPr="00CA7C54" w:rsidRDefault="00C7348B"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заборі або викиді повітря на лінії зовнішньої межі герметизації.</w:t>
      </w:r>
    </w:p>
    <w:p w14:paraId="48D1B29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11.2.4.10</w:t>
      </w:r>
      <w:r w:rsidRPr="00CA7C54">
        <w:rPr>
          <w:color w:val="000000" w:themeColor="text1"/>
          <w:sz w:val="21"/>
          <w:szCs w:val="21"/>
        </w:rPr>
        <w:t xml:space="preserve"> Подачу повітря до ДЕС для горіння при режимі регенерації слід здійснювати ззовні, передбачаючи у разі необхідності встановлення на повітрозаборах охолоджувачів, зокрема гравійних, або калориферних установок, при інших режимах – з приміщень машинного залу. </w:t>
      </w:r>
    </w:p>
    <w:p w14:paraId="2FBC0C04"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11.2.4.11</w:t>
      </w:r>
      <w:r w:rsidRPr="00CA7C54">
        <w:rPr>
          <w:color w:val="000000" w:themeColor="text1"/>
          <w:sz w:val="21"/>
          <w:szCs w:val="21"/>
        </w:rPr>
        <w:t xml:space="preserve"> Гравійні охолоджувачі для охолодження зовнішнього повітря, яке забирається на горіння палива у  генераторній установці при IIІ-му режимі вентиляції, та для охолодження повітря, яке виходить зі спеціальних фільтрів та регенеративних установок, можливо передбачати у вигляді залізобетонних коробів, які заповнені гравієм або гранітним щебнем крупністю 30</w:t>
      </w:r>
      <w:r w:rsidR="009E6C26" w:rsidRPr="00CA7C54">
        <w:rPr>
          <w:color w:val="000000" w:themeColor="text1"/>
          <w:sz w:val="21"/>
          <w:szCs w:val="21"/>
        </w:rPr>
        <w:t xml:space="preserve"> мм</w:t>
      </w:r>
      <w:r w:rsidRPr="00CA7C54">
        <w:rPr>
          <w:color w:val="000000" w:themeColor="text1"/>
          <w:sz w:val="21"/>
          <w:szCs w:val="21"/>
        </w:rPr>
        <w:t xml:space="preserve"> – 40 мм, які укладаються на грати з отворами не більше</w:t>
      </w:r>
      <w:r w:rsidR="003546E3" w:rsidRPr="00CA7C54">
        <w:rPr>
          <w:color w:val="000000" w:themeColor="text1"/>
          <w:sz w:val="21"/>
          <w:szCs w:val="21"/>
        </w:rPr>
        <w:t xml:space="preserve"> ніж</w:t>
      </w:r>
      <w:r w:rsidRPr="00CA7C54">
        <w:rPr>
          <w:color w:val="000000" w:themeColor="text1"/>
          <w:sz w:val="21"/>
          <w:szCs w:val="21"/>
        </w:rPr>
        <w:t xml:space="preserve"> 25</w:t>
      </w:r>
      <w:r w:rsidR="003546E3" w:rsidRPr="00CA7C54">
        <w:rPr>
          <w:color w:val="000000" w:themeColor="text1"/>
          <w:sz w:val="21"/>
          <w:szCs w:val="21"/>
        </w:rPr>
        <w:t xml:space="preserve"> мм</w:t>
      </w:r>
      <w:r w:rsidRPr="00CA7C54">
        <w:rPr>
          <w:color w:val="000000" w:themeColor="text1"/>
          <w:sz w:val="21"/>
          <w:szCs w:val="21"/>
        </w:rPr>
        <w:t xml:space="preserve"> х 25 мм.</w:t>
      </w:r>
    </w:p>
    <w:p w14:paraId="5C25B6CA"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Висота шару гравію (щебню) у охолоджувачі </w:t>
      </w:r>
      <w:r w:rsidRPr="00CA7C54">
        <w:rPr>
          <w:i/>
          <w:color w:val="000000" w:themeColor="text1"/>
          <w:sz w:val="21"/>
          <w:szCs w:val="21"/>
        </w:rPr>
        <w:t>Н</w:t>
      </w:r>
      <w:r w:rsidRPr="00CA7C54">
        <w:rPr>
          <w:i/>
          <w:color w:val="000000" w:themeColor="text1"/>
          <w:sz w:val="21"/>
          <w:szCs w:val="21"/>
          <w:vertAlign w:val="subscript"/>
        </w:rPr>
        <w:t>Г</w:t>
      </w:r>
      <w:r w:rsidRPr="00CA7C54">
        <w:rPr>
          <w:color w:val="000000" w:themeColor="text1"/>
          <w:sz w:val="21"/>
          <w:szCs w:val="21"/>
        </w:rPr>
        <w:t>, м, визначається за формулами:</w:t>
      </w:r>
    </w:p>
    <w:p w14:paraId="2DE24C35"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для повітроохолоджувачів, що охолоджують повітря від 150</w:t>
      </w:r>
      <w:r w:rsidR="00F53F9C" w:rsidRPr="00CA7C54">
        <w:rPr>
          <w:color w:val="000000" w:themeColor="text1"/>
          <w:sz w:val="21"/>
          <w:szCs w:val="21"/>
          <w:vertAlign w:val="superscript"/>
        </w:rPr>
        <w:t>0</w:t>
      </w:r>
      <w:r w:rsidR="00F53F9C" w:rsidRPr="00CA7C54">
        <w:rPr>
          <w:color w:val="000000" w:themeColor="text1"/>
          <w:sz w:val="21"/>
          <w:szCs w:val="21"/>
        </w:rPr>
        <w:t>С</w:t>
      </w:r>
      <w:r w:rsidRPr="00CA7C54">
        <w:rPr>
          <w:color w:val="000000" w:themeColor="text1"/>
          <w:sz w:val="21"/>
          <w:szCs w:val="21"/>
        </w:rPr>
        <w:t xml:space="preserve"> до 30 </w:t>
      </w:r>
      <w:r w:rsidRPr="00CA7C54">
        <w:rPr>
          <w:color w:val="000000" w:themeColor="text1"/>
          <w:sz w:val="21"/>
          <w:szCs w:val="21"/>
          <w:vertAlign w:val="superscript"/>
        </w:rPr>
        <w:t>0</w:t>
      </w:r>
      <w:r w:rsidRPr="00CA7C54">
        <w:rPr>
          <w:color w:val="000000" w:themeColor="text1"/>
          <w:sz w:val="21"/>
          <w:szCs w:val="21"/>
        </w:rPr>
        <w:t>С (зовнішнє повітря на горіння палива у ДЕС i повітря після регенеративних установок):</w:t>
      </w:r>
    </w:p>
    <w:p w14:paraId="5D926B83" w14:textId="77777777" w:rsidR="003C4E04" w:rsidRPr="00CA7C54" w:rsidRDefault="001E748C" w:rsidP="006E03D2">
      <w:pPr>
        <w:pBdr>
          <w:top w:val="nil"/>
          <w:left w:val="nil"/>
          <w:bottom w:val="nil"/>
          <w:right w:val="nil"/>
          <w:between w:val="nil"/>
        </w:pBdr>
        <w:spacing w:before="0" w:line="288" w:lineRule="auto"/>
        <w:ind w:firstLine="3827"/>
        <w:contextualSpacing/>
        <w:rPr>
          <w:color w:val="000000" w:themeColor="text1"/>
          <w:sz w:val="21"/>
          <w:szCs w:val="21"/>
        </w:rPr>
      </w:pPr>
      <w:r w:rsidRPr="00EC337B">
        <w:rPr>
          <w:rFonts w:ascii="Times New Roman" w:hAnsi="Times New Roman" w:cs="Times New Roman"/>
          <w:i/>
          <w:color w:val="000000" w:themeColor="text1"/>
          <w:sz w:val="21"/>
          <w:szCs w:val="21"/>
        </w:rPr>
        <w:t>H</w:t>
      </w:r>
      <w:r w:rsidRPr="00EC337B">
        <w:rPr>
          <w:rFonts w:ascii="Times New Roman" w:hAnsi="Times New Roman" w:cs="Times New Roman"/>
          <w:i/>
          <w:color w:val="000000" w:themeColor="text1"/>
          <w:sz w:val="21"/>
          <w:szCs w:val="21"/>
          <w:vertAlign w:val="subscript"/>
        </w:rPr>
        <w:t xml:space="preserve">Г </w:t>
      </w:r>
      <w:r w:rsidRPr="00EC337B">
        <w:rPr>
          <w:rFonts w:ascii="Times New Roman" w:hAnsi="Times New Roman" w:cs="Times New Roman"/>
          <w:i/>
          <w:color w:val="000000" w:themeColor="text1"/>
          <w:sz w:val="21"/>
          <w:szCs w:val="21"/>
        </w:rPr>
        <w:t>= 0,25+0,005(L/F)</w:t>
      </w:r>
      <w:r w:rsidRPr="00EC337B">
        <w:rPr>
          <w:rFonts w:ascii="Times New Roman" w:hAnsi="Times New Roman" w:cs="Times New Roman"/>
          <w:color w:val="000000" w:themeColor="text1"/>
          <w:sz w:val="21"/>
          <w:szCs w:val="21"/>
        </w:rPr>
        <w:t>,</w:t>
      </w:r>
      <w:r w:rsidRPr="00CA7C54">
        <w:rPr>
          <w:color w:val="000000" w:themeColor="text1"/>
          <w:sz w:val="21"/>
          <w:szCs w:val="21"/>
        </w:rPr>
        <w:t>                                               (10.11)</w:t>
      </w:r>
    </w:p>
    <w:p w14:paraId="55336DC2"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повітроохолоджувачів. що охолоджують повітря від 300</w:t>
      </w:r>
      <w:r w:rsidR="00F53F9C" w:rsidRPr="00CA7C54">
        <w:rPr>
          <w:color w:val="000000" w:themeColor="text1"/>
          <w:sz w:val="21"/>
          <w:szCs w:val="21"/>
          <w:vertAlign w:val="superscript"/>
        </w:rPr>
        <w:t>0</w:t>
      </w:r>
      <w:r w:rsidR="00F53F9C" w:rsidRPr="00CA7C54">
        <w:rPr>
          <w:color w:val="000000" w:themeColor="text1"/>
          <w:sz w:val="21"/>
          <w:szCs w:val="21"/>
        </w:rPr>
        <w:t>С</w:t>
      </w:r>
      <w:r w:rsidRPr="00CA7C54">
        <w:rPr>
          <w:color w:val="000000" w:themeColor="text1"/>
          <w:sz w:val="21"/>
          <w:szCs w:val="21"/>
        </w:rPr>
        <w:t xml:space="preserve"> до 30 </w:t>
      </w:r>
      <w:r w:rsidRPr="00CA7C54">
        <w:rPr>
          <w:color w:val="000000" w:themeColor="text1"/>
          <w:sz w:val="21"/>
          <w:szCs w:val="21"/>
          <w:vertAlign w:val="superscript"/>
        </w:rPr>
        <w:t>0</w:t>
      </w:r>
      <w:r w:rsidRPr="00CA7C54">
        <w:rPr>
          <w:color w:val="000000" w:themeColor="text1"/>
          <w:sz w:val="21"/>
          <w:szCs w:val="21"/>
        </w:rPr>
        <w:t>С (повітря спеціальних (гопколітових) фільтрів):</w:t>
      </w:r>
    </w:p>
    <w:p w14:paraId="31069E45" w14:textId="77777777" w:rsidR="003C4E04" w:rsidRPr="00CA7C54" w:rsidRDefault="001E748C" w:rsidP="006E03D2">
      <w:pPr>
        <w:pBdr>
          <w:top w:val="nil"/>
          <w:left w:val="nil"/>
          <w:bottom w:val="nil"/>
          <w:right w:val="nil"/>
          <w:between w:val="nil"/>
        </w:pBdr>
        <w:spacing w:before="0" w:line="288" w:lineRule="auto"/>
        <w:ind w:firstLine="3827"/>
        <w:contextualSpacing/>
        <w:rPr>
          <w:color w:val="000000" w:themeColor="text1"/>
          <w:sz w:val="21"/>
          <w:szCs w:val="21"/>
        </w:rPr>
      </w:pPr>
      <w:r w:rsidRPr="00EC337B">
        <w:rPr>
          <w:rFonts w:ascii="Times New Roman" w:hAnsi="Times New Roman" w:cs="Times New Roman"/>
          <w:i/>
          <w:color w:val="000000" w:themeColor="text1"/>
          <w:sz w:val="21"/>
          <w:szCs w:val="21"/>
        </w:rPr>
        <w:t>H</w:t>
      </w:r>
      <w:r w:rsidRPr="00EC337B">
        <w:rPr>
          <w:rFonts w:ascii="Times New Roman" w:hAnsi="Times New Roman" w:cs="Times New Roman"/>
          <w:i/>
          <w:color w:val="000000" w:themeColor="text1"/>
          <w:sz w:val="21"/>
          <w:szCs w:val="21"/>
          <w:vertAlign w:val="subscript"/>
        </w:rPr>
        <w:t xml:space="preserve">Г </w:t>
      </w:r>
      <w:r w:rsidRPr="00EC337B">
        <w:rPr>
          <w:rFonts w:ascii="Times New Roman" w:hAnsi="Times New Roman" w:cs="Times New Roman"/>
          <w:i/>
          <w:color w:val="000000" w:themeColor="text1"/>
          <w:sz w:val="21"/>
          <w:szCs w:val="21"/>
        </w:rPr>
        <w:t>= 0,25+0,0075(L/F</w:t>
      </w:r>
      <w:r w:rsidRPr="00CA7C54">
        <w:rPr>
          <w:i/>
          <w:color w:val="000000" w:themeColor="text1"/>
          <w:sz w:val="21"/>
          <w:szCs w:val="21"/>
        </w:rPr>
        <w:t>)</w:t>
      </w:r>
      <w:r w:rsidRPr="00CA7C54">
        <w:rPr>
          <w:color w:val="000000" w:themeColor="text1"/>
          <w:sz w:val="21"/>
          <w:szCs w:val="21"/>
        </w:rPr>
        <w:t>,                                               (10.12)</w:t>
      </w:r>
    </w:p>
    <w:p w14:paraId="65F27B08" w14:textId="77777777" w:rsidR="003C4E04" w:rsidRPr="00CA7C54" w:rsidRDefault="001E748C" w:rsidP="006E03D2">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де</w:t>
      </w:r>
    </w:p>
    <w:p w14:paraId="2266C41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bookmarkStart w:id="28" w:name="_heading=h.1fob9te" w:colFirst="0" w:colLast="0"/>
      <w:bookmarkEnd w:id="28"/>
      <w:r w:rsidRPr="00EC337B">
        <w:rPr>
          <w:rFonts w:ascii="Times New Roman" w:hAnsi="Times New Roman" w:cs="Times New Roman"/>
          <w:i/>
          <w:color w:val="000000" w:themeColor="text1"/>
          <w:sz w:val="21"/>
          <w:szCs w:val="21"/>
        </w:rPr>
        <w:t>L</w:t>
      </w:r>
      <w:r w:rsidRPr="00CA7C54">
        <w:rPr>
          <w:color w:val="000000" w:themeColor="text1"/>
          <w:sz w:val="21"/>
          <w:szCs w:val="21"/>
        </w:rPr>
        <w:t xml:space="preserve"> – розрахункова кількість охолоджуваного повітря, [м³ /год];</w:t>
      </w:r>
    </w:p>
    <w:p w14:paraId="5B7C71B4"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F</w:t>
      </w:r>
      <w:r w:rsidRPr="00CA7C54">
        <w:rPr>
          <w:color w:val="000000" w:themeColor="text1"/>
          <w:sz w:val="21"/>
          <w:szCs w:val="21"/>
        </w:rPr>
        <w:t xml:space="preserve"> – площа перерізу у просвiтi короба охолоджувача (перпендикулярно до напрямку руху повітря), [м²].</w:t>
      </w:r>
    </w:p>
    <w:p w14:paraId="5022E2B4" w14:textId="77777777" w:rsidR="003C4E04" w:rsidRPr="00CA7C54" w:rsidRDefault="00DC31F3" w:rsidP="006E03D2">
      <w:pPr>
        <w:pBdr>
          <w:top w:val="nil"/>
          <w:left w:val="nil"/>
          <w:bottom w:val="nil"/>
          <w:right w:val="nil"/>
          <w:between w:val="nil"/>
        </w:pBdr>
        <w:spacing w:before="0" w:line="288" w:lineRule="auto"/>
        <w:contextualSpacing/>
        <w:rPr>
          <w:rFonts w:eastAsia="Times New Roman"/>
          <w:color w:val="000000" w:themeColor="text1"/>
          <w:sz w:val="21"/>
          <w:szCs w:val="21"/>
        </w:rPr>
      </w:pPr>
      <w:sdt>
        <w:sdtPr>
          <w:rPr>
            <w:color w:val="000000" w:themeColor="text1"/>
            <w:sz w:val="21"/>
            <w:szCs w:val="21"/>
          </w:rPr>
          <w:tag w:val="goog_rdk_7"/>
          <w:id w:val="1654950532"/>
        </w:sdtPr>
        <w:sdtEndPr/>
        <w:sdtContent>
          <w:r w:rsidR="001E748C" w:rsidRPr="00CA7C54">
            <w:rPr>
              <w:rFonts w:eastAsia="Arial Unicode MS"/>
              <w:color w:val="000000" w:themeColor="text1"/>
              <w:sz w:val="21"/>
              <w:szCs w:val="21"/>
            </w:rPr>
            <w:t>При цьому повинні дотримуватись такі умови: у повітроохолоджувачах для ДЕС та регенеративних установок  L/F ≤ 400 м/год, а для спеціальних, зокрема гопколітових, фільтрів</w:t>
          </w:r>
          <w:r w:rsidR="001E748C" w:rsidRPr="00CA7C54">
            <w:rPr>
              <w:rFonts w:eastAsia="Arial Unicode MS"/>
              <w:color w:val="000000" w:themeColor="text1"/>
              <w:sz w:val="21"/>
              <w:szCs w:val="21"/>
            </w:rPr>
            <w:br/>
          </w:r>
        </w:sdtContent>
      </w:sdt>
      <w:r w:rsidR="001E748C" w:rsidRPr="00EC337B">
        <w:rPr>
          <w:rFonts w:ascii="Times New Roman" w:hAnsi="Times New Roman" w:cs="Times New Roman"/>
          <w:i/>
          <w:color w:val="000000" w:themeColor="text1"/>
          <w:sz w:val="21"/>
          <w:szCs w:val="21"/>
        </w:rPr>
        <w:t>L/F</w:t>
      </w:r>
      <w:sdt>
        <w:sdtPr>
          <w:rPr>
            <w:rFonts w:ascii="Times New Roman" w:hAnsi="Times New Roman" w:cs="Times New Roman"/>
            <w:color w:val="000000" w:themeColor="text1"/>
            <w:sz w:val="21"/>
            <w:szCs w:val="21"/>
          </w:rPr>
          <w:tag w:val="goog_rdk_8"/>
          <w:id w:val="1413506497"/>
        </w:sdtPr>
        <w:sdtEndPr/>
        <w:sdtContent>
          <w:r w:rsidR="001E748C" w:rsidRPr="00EC337B">
            <w:rPr>
              <w:rFonts w:ascii="Times New Roman" w:eastAsia="Arial Unicode MS" w:hAnsi="Times New Roman" w:cs="Times New Roman"/>
              <w:color w:val="000000" w:themeColor="text1"/>
              <w:sz w:val="21"/>
              <w:szCs w:val="21"/>
            </w:rPr>
            <w:t xml:space="preserve"> ≤ 200 м/год.</w:t>
          </w:r>
        </w:sdtContent>
      </w:sdt>
    </w:p>
    <w:p w14:paraId="655FE4D6" w14:textId="77777777" w:rsidR="003C4E04" w:rsidRPr="00CA7C54" w:rsidRDefault="001E748C" w:rsidP="003546E3">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Аеродинамічний опір охолоджувачів за цих умов та висоті засипки не більше </w:t>
      </w:r>
      <w:r w:rsidR="003546E3" w:rsidRPr="00CA7C54">
        <w:rPr>
          <w:color w:val="000000" w:themeColor="text1"/>
          <w:sz w:val="21"/>
          <w:szCs w:val="21"/>
        </w:rPr>
        <w:t xml:space="preserve">ніж </w:t>
      </w:r>
      <w:r w:rsidRPr="00CA7C54">
        <w:rPr>
          <w:color w:val="000000" w:themeColor="text1"/>
          <w:sz w:val="21"/>
          <w:szCs w:val="21"/>
        </w:rPr>
        <w:t>2 м складе</w:t>
      </w:r>
      <w:r w:rsidRPr="00CA7C54">
        <w:rPr>
          <w:color w:val="000000" w:themeColor="text1"/>
          <w:sz w:val="21"/>
          <w:szCs w:val="21"/>
        </w:rPr>
        <w:br/>
        <w:t>50</w:t>
      </w:r>
      <w:r w:rsidR="00F53F9C" w:rsidRPr="00CA7C54">
        <w:rPr>
          <w:color w:val="000000" w:themeColor="text1"/>
          <w:sz w:val="21"/>
          <w:szCs w:val="21"/>
        </w:rPr>
        <w:t xml:space="preserve"> Н/м (5  кгс/м²)</w:t>
      </w:r>
      <w:r w:rsidRPr="00CA7C54">
        <w:rPr>
          <w:color w:val="000000" w:themeColor="text1"/>
          <w:sz w:val="21"/>
          <w:szCs w:val="21"/>
        </w:rPr>
        <w:t xml:space="preserve"> – 70 Н/м (7 кгс/м²).</w:t>
      </w:r>
    </w:p>
    <w:p w14:paraId="2ADAD097" w14:textId="77777777" w:rsidR="003C4E04" w:rsidRPr="00CA7C54" w:rsidRDefault="001E748C" w:rsidP="003546E3">
      <w:pPr>
        <w:pStyle w:val="3"/>
        <w:spacing w:before="0" w:after="0" w:line="288" w:lineRule="auto"/>
        <w:contextualSpacing/>
        <w:rPr>
          <w:color w:val="000000" w:themeColor="text1"/>
          <w:sz w:val="21"/>
          <w:szCs w:val="21"/>
        </w:rPr>
      </w:pPr>
      <w:r w:rsidRPr="00CA7C54">
        <w:rPr>
          <w:color w:val="000000" w:themeColor="text1"/>
          <w:sz w:val="21"/>
          <w:szCs w:val="21"/>
        </w:rPr>
        <w:t>11.3 Водопостачання</w:t>
      </w:r>
    </w:p>
    <w:p w14:paraId="27810B72" w14:textId="650BA466"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11.3.1</w:t>
      </w:r>
      <w:r w:rsidRPr="00CA7C54">
        <w:rPr>
          <w:color w:val="000000" w:themeColor="text1"/>
          <w:sz w:val="21"/>
          <w:szCs w:val="21"/>
        </w:rPr>
        <w:t> Водопостачання захисних споруд цивільного захисту та СПП,  слід передбачати від зовнішньої або внутрішньої водопровідної мережі, яка про</w:t>
      </w:r>
      <w:r w:rsidR="00D96D53" w:rsidRPr="00CA7C54">
        <w:rPr>
          <w:color w:val="000000" w:themeColor="text1"/>
          <w:sz w:val="21"/>
          <w:szCs w:val="21"/>
        </w:rPr>
        <w:t>є</w:t>
      </w:r>
      <w:r w:rsidRPr="00CA7C54">
        <w:rPr>
          <w:color w:val="000000" w:themeColor="text1"/>
          <w:sz w:val="21"/>
          <w:szCs w:val="21"/>
        </w:rPr>
        <w:t xml:space="preserve">ктується за умови експлуатації будівель </w:t>
      </w:r>
      <w:r w:rsidR="003546E3" w:rsidRPr="00CA7C54">
        <w:rPr>
          <w:color w:val="000000" w:themeColor="text1"/>
          <w:sz w:val="21"/>
          <w:szCs w:val="21"/>
        </w:rPr>
        <w:t>і</w:t>
      </w:r>
      <w:r w:rsidRPr="00CA7C54">
        <w:rPr>
          <w:color w:val="000000" w:themeColor="text1"/>
          <w:sz w:val="21"/>
          <w:szCs w:val="21"/>
        </w:rPr>
        <w:t xml:space="preserve"> споруд, приміщень у мирний час з урахуванням вимог </w:t>
      </w:r>
      <w:hyperlink r:id="rId227" w:history="1">
        <w:r w:rsidRPr="00707AFC">
          <w:rPr>
            <w:rStyle w:val="ac"/>
            <w:rFonts w:cs="Arial"/>
            <w:sz w:val="21"/>
            <w:szCs w:val="21"/>
          </w:rPr>
          <w:t>ДБН В.2.5-64</w:t>
        </w:r>
      </w:hyperlink>
      <w:r w:rsidRPr="00CA7C54">
        <w:rPr>
          <w:color w:val="000000" w:themeColor="text1"/>
          <w:sz w:val="21"/>
          <w:szCs w:val="21"/>
        </w:rPr>
        <w:t xml:space="preserve">, </w:t>
      </w:r>
      <w:hyperlink r:id="rId228" w:history="1">
        <w:r w:rsidRPr="00707AFC">
          <w:rPr>
            <w:rStyle w:val="ac"/>
            <w:rFonts w:cs="Arial"/>
            <w:sz w:val="21"/>
            <w:szCs w:val="21"/>
          </w:rPr>
          <w:t>ДБН В.2.5-74</w:t>
        </w:r>
      </w:hyperlink>
      <w:r w:rsidRPr="00CA7C54">
        <w:rPr>
          <w:color w:val="000000" w:themeColor="text1"/>
          <w:sz w:val="21"/>
          <w:szCs w:val="21"/>
        </w:rPr>
        <w:t>, а також від окремих, зокрема захищених, водозабірних свердловин.</w:t>
      </w:r>
    </w:p>
    <w:p w14:paraId="1CA0DF0C"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На вводах систем водопостачання у сховищах та ДЕС має передбачатися встановлення запірної арматури та зворотних клапанів, управління якими має здійснюватися зсередини захисної споруди (споруди подвійного призначення).</w:t>
      </w:r>
    </w:p>
    <w:p w14:paraId="62997F89"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Додатково до систем водопостачання захисних споруд та СПП, що живляться від зовнішніх та внутрішніх водопровідних мереж (за винятком споруд, водопостачання яких здійснюється від окремих захищених водозабірних свердловин, вищезазначені споруди місткістю більше 20 осіб мають забезпечуватися автономними (аварійними) системами водопостачання з використанням проточних ємностей.</w:t>
      </w:r>
    </w:p>
    <w:p w14:paraId="35BEA31B"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забезпечення аварійного запасу води у захисних спорудах та СПП місткістю 20 осіб і менше допускається використання окремих непроточних ємностей (баків).</w:t>
      </w:r>
    </w:p>
    <w:p w14:paraId="6D8411B5"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Дозволяється передбачати для створення аварійних запасів питної та технічної води  окремих ємностей, зокрема проточних.</w:t>
      </w:r>
    </w:p>
    <w:p w14:paraId="7EA830DB" w14:textId="6E4619B3"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11.3.2</w:t>
      </w:r>
      <w:r w:rsidRPr="00CA7C54">
        <w:rPr>
          <w:color w:val="000000" w:themeColor="text1"/>
          <w:sz w:val="21"/>
          <w:szCs w:val="21"/>
        </w:rPr>
        <w:t xml:space="preserve">  Норми водоспоживання та водовiдведення при дiючiй зовнiшнiй водопровiднiй мережi мають відповідати вимогам </w:t>
      </w:r>
      <w:hyperlink r:id="rId229" w:history="1">
        <w:r w:rsidRPr="00707AFC">
          <w:rPr>
            <w:rStyle w:val="ac"/>
            <w:rFonts w:cs="Arial"/>
            <w:sz w:val="21"/>
            <w:szCs w:val="21"/>
          </w:rPr>
          <w:t>ДБН В.2.5-64</w:t>
        </w:r>
      </w:hyperlink>
      <w:r w:rsidRPr="00CA7C54">
        <w:rPr>
          <w:color w:val="000000" w:themeColor="text1"/>
          <w:sz w:val="21"/>
          <w:szCs w:val="21"/>
        </w:rPr>
        <w:t xml:space="preserve">, </w:t>
      </w:r>
      <w:hyperlink r:id="rId230" w:history="1">
        <w:r w:rsidRPr="00707AFC">
          <w:rPr>
            <w:rStyle w:val="ac"/>
            <w:rFonts w:cs="Arial"/>
            <w:sz w:val="21"/>
            <w:szCs w:val="21"/>
          </w:rPr>
          <w:t>ДБН В.2.5-74</w:t>
        </w:r>
      </w:hyperlink>
      <w:r w:rsidRPr="00CA7C54">
        <w:rPr>
          <w:color w:val="000000" w:themeColor="text1"/>
          <w:sz w:val="21"/>
          <w:szCs w:val="21"/>
        </w:rPr>
        <w:t xml:space="preserve"> приймаючи при цьому годинну витрату води 2 л/год та добову 25 л/доб на одну особу, яка підлягає укриттю, та </w:t>
      </w:r>
      <w:r w:rsidRPr="00CA7C54">
        <w:rPr>
          <w:i/>
          <w:iCs/>
          <w:color w:val="000000" w:themeColor="text1"/>
          <w:sz w:val="21"/>
          <w:szCs w:val="21"/>
        </w:rPr>
        <w:t>qo</w:t>
      </w:r>
      <w:r w:rsidRPr="00CA7C54">
        <w:rPr>
          <w:color w:val="000000" w:themeColor="text1"/>
          <w:sz w:val="21"/>
          <w:szCs w:val="21"/>
        </w:rPr>
        <w:t>, що дорiвнює 0,1 л/с для водоспоживання i 0,85 л/с для водовiдведення.</w:t>
      </w:r>
    </w:p>
    <w:p w14:paraId="1567352D"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відсутності у захисній споруді або СПП місткістю 20 осіб і менше водопроводу, необхiдно передбачати мiсця для розташування переносних ємностей (баків, резервуарів) для питної води з розрахунку</w:t>
      </w:r>
      <w:r w:rsidRPr="00CA7C54">
        <w:rPr>
          <w:color w:val="000000" w:themeColor="text1"/>
          <w:sz w:val="21"/>
          <w:szCs w:val="21"/>
          <w:highlight w:val="white"/>
        </w:rPr>
        <w:t xml:space="preserve"> 2 л/доб </w:t>
      </w:r>
      <w:r w:rsidRPr="00CA7C54">
        <w:rPr>
          <w:color w:val="000000" w:themeColor="text1"/>
          <w:sz w:val="21"/>
          <w:szCs w:val="21"/>
        </w:rPr>
        <w:t>на одну особу, яка підлягає укриттю. </w:t>
      </w:r>
    </w:p>
    <w:p w14:paraId="336FBD50"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Аварійний запас питної води у ємкостях захисних споруд та СПП місткістю більше</w:t>
      </w:r>
      <w:r w:rsidR="00F53F9C" w:rsidRPr="00CA7C54">
        <w:rPr>
          <w:color w:val="000000" w:themeColor="text1"/>
          <w:sz w:val="21"/>
          <w:szCs w:val="21"/>
        </w:rPr>
        <w:t xml:space="preserve"> ніж</w:t>
      </w:r>
      <w:r w:rsidRPr="00CA7C54">
        <w:rPr>
          <w:color w:val="000000" w:themeColor="text1"/>
          <w:sz w:val="21"/>
          <w:szCs w:val="21"/>
        </w:rPr>
        <w:t xml:space="preserve"> 20 осіб слiд передбачати з розрахунку 3 л/доб на одну особу, яка підлягає укриттю. </w:t>
      </w:r>
    </w:p>
    <w:p w14:paraId="60BE8838" w14:textId="01CDBA90"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Якість води на господарсько-питнi потреби повинна задовольняти нормам </w:t>
      </w:r>
      <w:hyperlink r:id="rId231" w:history="1">
        <w:r w:rsidRPr="00707AFC">
          <w:rPr>
            <w:rStyle w:val="ac"/>
            <w:rFonts w:cs="Arial"/>
            <w:sz w:val="21"/>
            <w:szCs w:val="21"/>
          </w:rPr>
          <w:t>ДСТУ 7525</w:t>
        </w:r>
      </w:hyperlink>
      <w:r w:rsidRPr="00CA7C54">
        <w:rPr>
          <w:color w:val="000000" w:themeColor="text1"/>
          <w:sz w:val="21"/>
          <w:szCs w:val="21"/>
        </w:rPr>
        <w:t>.</w:t>
      </w:r>
    </w:p>
    <w:p w14:paraId="087CA43D"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Технічні характеристики проточних систем водопостачання та встановлених на них акумулюючих ємностей питної води мають забезпечувати повний обмін води у таких ємностях впродовж не більше</w:t>
      </w:r>
      <w:r w:rsidR="006064B3" w:rsidRPr="00CA7C54">
        <w:rPr>
          <w:color w:val="000000" w:themeColor="text1"/>
          <w:sz w:val="21"/>
          <w:szCs w:val="21"/>
        </w:rPr>
        <w:t xml:space="preserve"> ніж</w:t>
      </w:r>
      <w:r w:rsidRPr="00CA7C54">
        <w:rPr>
          <w:color w:val="000000" w:themeColor="text1"/>
          <w:sz w:val="21"/>
          <w:szCs w:val="21"/>
        </w:rPr>
        <w:t xml:space="preserve"> 48 годин. </w:t>
      </w:r>
    </w:p>
    <w:p w14:paraId="30B56E1C"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захисних спорудах та СПП, в яких не передбачаються витрати води у мирний час, а також місткістю менше 100 осіб допускається застосування для запасу питної води сухих ємностей, які заповнюються під час приведення таких споруд у готовність до використання за призначенням.</w:t>
      </w:r>
    </w:p>
    <w:p w14:paraId="3B4DF99F" w14:textId="49927D1F" w:rsidR="003C4E04" w:rsidRPr="00CA7C54" w:rsidRDefault="001E748C" w:rsidP="00443B5E">
      <w:pPr>
        <w:pBdr>
          <w:top w:val="nil"/>
          <w:left w:val="nil"/>
          <w:bottom w:val="nil"/>
          <w:right w:val="nil"/>
          <w:between w:val="nil"/>
        </w:pBdr>
        <w:spacing w:before="0" w:line="288" w:lineRule="auto"/>
        <w:contextualSpacing/>
        <w:rPr>
          <w:color w:val="000000" w:themeColor="text1"/>
          <w:spacing w:val="8"/>
          <w:sz w:val="21"/>
          <w:szCs w:val="21"/>
          <w:highlight w:val="white"/>
        </w:rPr>
      </w:pPr>
      <w:r w:rsidRPr="00CA7C54">
        <w:rPr>
          <w:b/>
          <w:color w:val="000000" w:themeColor="text1"/>
          <w:sz w:val="21"/>
          <w:szCs w:val="21"/>
          <w:highlight w:val="white"/>
        </w:rPr>
        <w:t>11.3.3</w:t>
      </w:r>
      <w:r w:rsidRPr="00CA7C54">
        <w:rPr>
          <w:color w:val="000000" w:themeColor="text1"/>
          <w:sz w:val="21"/>
          <w:szCs w:val="21"/>
          <w:highlight w:val="white"/>
        </w:rPr>
        <w:t xml:space="preserve"> Ємності запасу питної води, а також технічні засоби, включаючи мережі, споруди, </w:t>
      </w:r>
      <w:r w:rsidRPr="00CA7C54">
        <w:rPr>
          <w:color w:val="000000" w:themeColor="text1"/>
          <w:spacing w:val="8"/>
          <w:sz w:val="21"/>
          <w:szCs w:val="21"/>
          <w:highlight w:val="white"/>
        </w:rPr>
        <w:t xml:space="preserve">устаткування (пристрої) для централізованого та нецентралізованого питного </w:t>
      </w:r>
      <w:r w:rsidRPr="00CA7C54">
        <w:rPr>
          <w:color w:val="000000" w:themeColor="text1"/>
          <w:spacing w:val="8"/>
          <w:sz w:val="21"/>
          <w:szCs w:val="21"/>
          <w:highlight w:val="white"/>
        </w:rPr>
        <w:lastRenderedPageBreak/>
        <w:t>водопостачання мають виконуватися з матеріалів, що забезпечують нормативну якість води згідно з</w:t>
      </w:r>
      <w:r w:rsidR="00707AFC">
        <w:rPr>
          <w:color w:val="000000" w:themeColor="text1"/>
          <w:spacing w:val="8"/>
          <w:sz w:val="21"/>
          <w:szCs w:val="21"/>
          <w:highlight w:val="white"/>
        </w:rPr>
        <w:t xml:space="preserve"> </w:t>
      </w:r>
      <w:r w:rsidRPr="00CA7C54">
        <w:rPr>
          <w:color w:val="000000" w:themeColor="text1"/>
          <w:w w:val="105"/>
          <w:sz w:val="21"/>
          <w:szCs w:val="21"/>
          <w:highlight w:val="white"/>
        </w:rPr>
        <w:t>ДСанПіН 2.2.4-171-10.</w:t>
      </w:r>
    </w:p>
    <w:p w14:paraId="396E0D3F"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Вищезазначені ємності мають обладнуватися водопокажчиками та люками для можливості обслуговування (очищення,  фарбування тощо) внутрiшньої поверхнi. </w:t>
      </w:r>
    </w:p>
    <w:p w14:paraId="4DFF0479"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примiщеннях, де встановлено ємкості, слід передбачати встановлення водорозбiрних кранiв з розрахунку один кран на 100 осіб, а у захисних спорудах та СПП мiсткiстю бiльше</w:t>
      </w:r>
      <w:r w:rsidR="006064B3" w:rsidRPr="00CA7C54">
        <w:rPr>
          <w:color w:val="000000" w:themeColor="text1"/>
          <w:sz w:val="21"/>
          <w:szCs w:val="21"/>
        </w:rPr>
        <w:t xml:space="preserve"> ніж</w:t>
      </w:r>
      <w:r w:rsidRPr="00CA7C54">
        <w:rPr>
          <w:color w:val="000000" w:themeColor="text1"/>
          <w:sz w:val="21"/>
          <w:szCs w:val="21"/>
        </w:rPr>
        <w:t xml:space="preserve"> 600 осіб та у закладах охорони здоров’я з наявністю нетранспортабельних хворих – розводити  труби до місця водорозбору з розрахунку один кран на 100 здорових осіб, які підлягають укриттю, або 25 нетранспортабельних хворих.</w:t>
      </w:r>
    </w:p>
    <w:p w14:paraId="4B5B86F3"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 відновлення зовнішнього водопостачання під час експлуатації захисної споруди або СПП в автономному режимі подача води до санітарно-технічних приладів має передбачатися в обмежених обсягах з аварійних ємностей з питною або технічною водою. </w:t>
      </w:r>
    </w:p>
    <w:p w14:paraId="1154EED3"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11.3.4</w:t>
      </w:r>
      <w:r w:rsidRPr="00CA7C54">
        <w:rPr>
          <w:color w:val="000000" w:themeColor="text1"/>
          <w:sz w:val="21"/>
          <w:szCs w:val="21"/>
        </w:rPr>
        <w:t> У захисних спорудах та СПП закладів охорони здоров’я запас питної води у проточних та аварійних ємностях  приймається з розрахунку:</w:t>
      </w:r>
    </w:p>
    <w:p w14:paraId="025AC044" w14:textId="77777777" w:rsidR="003C4E04" w:rsidRPr="00CA7C54" w:rsidRDefault="00C7348B"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нетранспортабельних хворих – 20 л/доб на особу;</w:t>
      </w:r>
    </w:p>
    <w:p w14:paraId="6E8E993D" w14:textId="77777777" w:rsidR="003C4E04" w:rsidRPr="00CA7C54" w:rsidRDefault="00C7348B"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медичного та обслуговуючого персоналу - 3 л/доб на особу</w:t>
      </w:r>
    </w:p>
    <w:p w14:paraId="6F999D44"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Запас води для технічних потреб, який зберігається у резервуарах, визначається розрахунком.</w:t>
      </w:r>
    </w:p>
    <w:p w14:paraId="73331E08"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забезпечення водою систем каналізації з встановленими на них унітазами та наземними чашами необхiдно передбачати в аварійних ємкостях запас  питної або технічної води з розрахунку 5 л/доб на особу, яка підлягає укриттю.</w:t>
      </w:r>
    </w:p>
    <w:p w14:paraId="0B13FB24"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Приміщення медпунктів слiд обладнувати умивальниками, якi працюють вiд водопровідної мережі. На випадок припинення подавання води слід передбачати переносний рукомийник iз запасом води до нього з розрахунку 10 л/доб.</w:t>
      </w:r>
    </w:p>
    <w:p w14:paraId="18964CA7"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Медичні приміщення (операцiйнi, пологовi та iн.) у сховищах закладiв охорони здоров'я слiд обладнувати санітарно-технічним обладнанням вiдповiдно до технiчних вимог для лiкувальних закладiв.</w:t>
      </w:r>
    </w:p>
    <w:p w14:paraId="59075B76"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сховищах на АЕС слiд передбачати для санпропускникiв запас води з розрахунку 45 л на одне миття 20% місткості сховища.</w:t>
      </w:r>
    </w:p>
    <w:p w14:paraId="0A4CB1EF"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11.3.5</w:t>
      </w:r>
      <w:r w:rsidRPr="00CA7C54">
        <w:rPr>
          <w:color w:val="000000" w:themeColor="text1"/>
          <w:sz w:val="21"/>
          <w:szCs w:val="21"/>
        </w:rPr>
        <w:t> Проточні ємності та та труби, по яких циркулює вода, повиннi мати тепло – та паро – ізоляцію. </w:t>
      </w:r>
    </w:p>
    <w:p w14:paraId="3B52DF2A"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11.3.6</w:t>
      </w:r>
      <w:r w:rsidRPr="00CA7C54">
        <w:rPr>
          <w:color w:val="000000" w:themeColor="text1"/>
          <w:sz w:val="21"/>
          <w:szCs w:val="21"/>
        </w:rPr>
        <w:t> В якості резервного (аварійного) джерела водопостачання заглиблених, напівзаглиблених захисних споруд та СПП місткістю більше</w:t>
      </w:r>
      <w:r w:rsidR="00443B5E" w:rsidRPr="00CA7C54">
        <w:rPr>
          <w:color w:val="000000" w:themeColor="text1"/>
          <w:sz w:val="21"/>
          <w:szCs w:val="21"/>
        </w:rPr>
        <w:t xml:space="preserve"> ніж</w:t>
      </w:r>
      <w:r w:rsidRPr="00CA7C54">
        <w:rPr>
          <w:color w:val="000000" w:themeColor="text1"/>
          <w:sz w:val="21"/>
          <w:szCs w:val="21"/>
        </w:rPr>
        <w:t xml:space="preserve"> 20 осіб можливо передбачати захищені водозабірні свердловини, від яких також можливо передбачати подавання води для господарсько-питні потреби та пожежогасіння без встановлення додаткових резервуарiв (ємкостей) запасу води.</w:t>
      </w:r>
    </w:p>
    <w:p w14:paraId="754810B7" w14:textId="79B6DFB6"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Водозабiрнi свердловини можливо про</w:t>
      </w:r>
      <w:r w:rsidR="00443B5E" w:rsidRPr="00CA7C54">
        <w:rPr>
          <w:color w:val="000000" w:themeColor="text1"/>
          <w:sz w:val="21"/>
          <w:szCs w:val="21"/>
        </w:rPr>
        <w:t>є</w:t>
      </w:r>
      <w:r w:rsidRPr="00CA7C54">
        <w:rPr>
          <w:color w:val="000000" w:themeColor="text1"/>
          <w:sz w:val="21"/>
          <w:szCs w:val="21"/>
        </w:rPr>
        <w:t xml:space="preserve">ктувати на групу захисних споруд  або СПП, пiдключаючи до них у мирний час найближчих споживачiв, з можливістю відключення цих споживачів під час використання вищезазначених споруд за призначенням з урахуванням вимог </w:t>
      </w:r>
      <w:hyperlink r:id="rId232" w:history="1">
        <w:r w:rsidRPr="00707AFC">
          <w:rPr>
            <w:rStyle w:val="ac"/>
            <w:rFonts w:cs="Arial"/>
            <w:sz w:val="21"/>
            <w:szCs w:val="21"/>
          </w:rPr>
          <w:t>ДБН В.2.5-74</w:t>
        </w:r>
      </w:hyperlink>
      <w:r w:rsidRPr="00CA7C54">
        <w:rPr>
          <w:color w:val="000000" w:themeColor="text1"/>
          <w:sz w:val="21"/>
          <w:szCs w:val="21"/>
        </w:rPr>
        <w:t>.</w:t>
      </w:r>
    </w:p>
    <w:p w14:paraId="68B6411A"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У разі неможливості передбачити захищену водозабірну свердловину, а також у разі її недостатньої продуктивності, для забезпечення працездатності систем внутрішнього протипожежного водопроводу, в умовах виникнення аварії на зовнішніх мережах водопостачання захисних споруд чи СПП, в тому числі вбудованих,зберігання протипожежного запасу води допускається здійснювати мінімум в одній аварійній ємності (резервуарі).</w:t>
      </w:r>
    </w:p>
    <w:p w14:paraId="32EC6FC4"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pacing w:val="-4"/>
          <w:sz w:val="21"/>
          <w:szCs w:val="21"/>
          <w:highlight w:val="white"/>
        </w:rPr>
      </w:pPr>
      <w:r w:rsidRPr="00CA7C54">
        <w:rPr>
          <w:b/>
          <w:color w:val="000000" w:themeColor="text1"/>
          <w:sz w:val="21"/>
          <w:szCs w:val="21"/>
          <w:highlight w:val="white"/>
        </w:rPr>
        <w:t>11.3.7</w:t>
      </w:r>
      <w:r w:rsidRPr="00CA7C54">
        <w:rPr>
          <w:color w:val="000000" w:themeColor="text1"/>
          <w:sz w:val="21"/>
          <w:szCs w:val="21"/>
          <w:highlight w:val="white"/>
        </w:rPr>
        <w:t xml:space="preserve"> Робота пожежного кран-комплекту (тривалість протипожежного водопостачання) з </w:t>
      </w:r>
      <w:r w:rsidRPr="00CA7C54">
        <w:rPr>
          <w:color w:val="000000" w:themeColor="text1"/>
          <w:spacing w:val="-4"/>
          <w:sz w:val="21"/>
          <w:szCs w:val="21"/>
          <w:highlight w:val="white"/>
        </w:rPr>
        <w:t>аварійної ємності, з урахуванням розрахункової продуктивності, має прийматись не менше ніж30 хв.</w:t>
      </w:r>
    </w:p>
    <w:p w14:paraId="33888C91"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Корисний протипожежний запас води у аварійному резервуарі, вираховується з тривалості водопостачання та об’ємів трубопроводів системи внутрішнього протипожежного водопостачання.</w:t>
      </w:r>
    </w:p>
    <w:p w14:paraId="188572C4"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lastRenderedPageBreak/>
        <w:t>Резервуар має передбачатись стійким до корозії, з терміном експлуатації, що відповідає терміну експлуатації споруди (будівлі).</w:t>
      </w:r>
    </w:p>
    <w:p w14:paraId="529085BF"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В умовах мирного часу, об’єм води в резервуарів має автоматично поповнюватись.</w:t>
      </w:r>
    </w:p>
    <w:p w14:paraId="0D67C13D"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Створення надлишкового тиску у водопровідній мережі, після аварійного резервуару, має забезпечуватись мінімум одним насосом з електроприводом.</w:t>
      </w:r>
    </w:p>
    <w:p w14:paraId="606CF442"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pacing w:val="-6"/>
          <w:sz w:val="21"/>
          <w:szCs w:val="21"/>
          <w:highlight w:val="white"/>
        </w:rPr>
      </w:pPr>
      <w:r w:rsidRPr="00CA7C54">
        <w:rPr>
          <w:color w:val="000000" w:themeColor="text1"/>
          <w:sz w:val="21"/>
          <w:szCs w:val="21"/>
          <w:highlight w:val="white"/>
        </w:rPr>
        <w:t xml:space="preserve">Використання аварійного запасу води та робота насосу, для цілей пожежогасіння, не </w:t>
      </w:r>
      <w:r w:rsidRPr="00CA7C54">
        <w:rPr>
          <w:color w:val="000000" w:themeColor="text1"/>
          <w:spacing w:val="-6"/>
          <w:sz w:val="21"/>
          <w:szCs w:val="21"/>
          <w:highlight w:val="white"/>
        </w:rPr>
        <w:t>передбачається в умовах працездатності систем зовнішнього водопостачання захисних споруд чи СПП.</w:t>
      </w:r>
    </w:p>
    <w:p w14:paraId="4EE38388"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Пуск насосу передбачається місцевий та дистанційний (з кнопок розташованих в шафах пожежних кран-комплектів).</w:t>
      </w:r>
    </w:p>
    <w:p w14:paraId="0939E668" w14:textId="5EF3DA5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 xml:space="preserve">Контроль та індикація передбачається згідно положень </w:t>
      </w:r>
      <w:hyperlink r:id="rId233" w:history="1">
        <w:r w:rsidRPr="00707AFC">
          <w:rPr>
            <w:rStyle w:val="ac"/>
            <w:rFonts w:cs="Arial"/>
            <w:sz w:val="21"/>
            <w:szCs w:val="21"/>
            <w:highlight w:val="white"/>
          </w:rPr>
          <w:t>ДБН В.2.5-56</w:t>
        </w:r>
      </w:hyperlink>
      <w:r w:rsidRPr="00CA7C54">
        <w:rPr>
          <w:color w:val="000000" w:themeColor="text1"/>
          <w:sz w:val="21"/>
          <w:szCs w:val="21"/>
          <w:highlight w:val="white"/>
        </w:rPr>
        <w:t xml:space="preserve"> (при цьому, контроль рівня води здійснюється лише на відмітці корисного об’єму). Вивід відповідних світлозвукових сигналів передбачається в приміщення чи зону пожежного поста. Якщо захисна споруди чи СПП вбудована або прибудована, дублюванням світлозвукових сигналів передбачається в приміщенні пожежного поста основної будівлі.</w:t>
      </w:r>
    </w:p>
    <w:p w14:paraId="0D48C9C6"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Встановлення насосу, в тому числі шафи керування, розміщення аварійного резервуару (ємності), передбачається в захищеному просторі захисної споруди чи СПП, у окремому приміщенні, що відокремлюється від суміжних протипожежною перегородкою 1-го типу з відповідним заповненням прорізів. Це приміщення може бути об’єднано з іншим технічним приміщенням захисної споруди чи СПП, але його категорія за пожежною небезпекою має бути не вище категорії Д (окрім балонної)</w:t>
      </w:r>
      <w:r w:rsidRPr="00CA7C54">
        <w:rPr>
          <w:rFonts w:eastAsia="Times New Roman"/>
          <w:color w:val="000000" w:themeColor="text1"/>
          <w:sz w:val="21"/>
          <w:szCs w:val="21"/>
          <w:highlight w:val="white"/>
        </w:rPr>
        <w:t>.</w:t>
      </w:r>
    </w:p>
    <w:p w14:paraId="3C7167ED" w14:textId="77777777" w:rsidR="003C4E04" w:rsidRPr="00CA7C54" w:rsidRDefault="001E748C" w:rsidP="00D92D49">
      <w:pPr>
        <w:pStyle w:val="3"/>
        <w:spacing w:before="0" w:after="0" w:line="288" w:lineRule="auto"/>
        <w:contextualSpacing/>
        <w:rPr>
          <w:color w:val="000000" w:themeColor="text1"/>
          <w:sz w:val="21"/>
          <w:szCs w:val="21"/>
        </w:rPr>
      </w:pPr>
      <w:r w:rsidRPr="00CA7C54">
        <w:rPr>
          <w:color w:val="000000" w:themeColor="text1"/>
          <w:sz w:val="21"/>
          <w:szCs w:val="21"/>
        </w:rPr>
        <w:t>11.4 Каналізація</w:t>
      </w:r>
    </w:p>
    <w:p w14:paraId="65ACD55F" w14:textId="24F0D301"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11.4.1</w:t>
      </w:r>
      <w:r w:rsidRPr="00CA7C54">
        <w:rPr>
          <w:color w:val="000000" w:themeColor="text1"/>
          <w:sz w:val="21"/>
          <w:szCs w:val="21"/>
        </w:rPr>
        <w:t>  Каналізацію захисних споруд та СПП слід про</w:t>
      </w:r>
      <w:r w:rsidR="00D92D49" w:rsidRPr="00CA7C54">
        <w:rPr>
          <w:color w:val="000000" w:themeColor="text1"/>
          <w:sz w:val="21"/>
          <w:szCs w:val="21"/>
        </w:rPr>
        <w:t>є</w:t>
      </w:r>
      <w:r w:rsidRPr="00CA7C54">
        <w:rPr>
          <w:color w:val="000000" w:themeColor="text1"/>
          <w:sz w:val="21"/>
          <w:szCs w:val="21"/>
        </w:rPr>
        <w:t xml:space="preserve">ктувати прямоточною з виводом до об’єктової та/або міської системи каналізації з урахуванням вимог </w:t>
      </w:r>
      <w:hyperlink r:id="rId234" w:history="1">
        <w:r w:rsidRPr="00707AFC">
          <w:rPr>
            <w:rStyle w:val="ac"/>
            <w:rFonts w:cs="Arial"/>
            <w:sz w:val="21"/>
            <w:szCs w:val="21"/>
          </w:rPr>
          <w:t>ДБН В.2.5-75</w:t>
        </w:r>
      </w:hyperlink>
      <w:r w:rsidRPr="00CA7C54">
        <w:rPr>
          <w:color w:val="000000" w:themeColor="text1"/>
          <w:sz w:val="21"/>
          <w:szCs w:val="21"/>
        </w:rPr>
        <w:t xml:space="preserve"> та </w:t>
      </w:r>
      <w:hyperlink r:id="rId235" w:history="1">
        <w:r w:rsidRPr="00707AFC">
          <w:rPr>
            <w:rStyle w:val="ac"/>
            <w:rFonts w:cs="Arial"/>
            <w:sz w:val="21"/>
            <w:szCs w:val="21"/>
          </w:rPr>
          <w:t>ДБН В.2.5-64</w:t>
        </w:r>
      </w:hyperlink>
      <w:r w:rsidRPr="00CA7C54">
        <w:rPr>
          <w:color w:val="000000" w:themeColor="text1"/>
          <w:sz w:val="21"/>
          <w:szCs w:val="21"/>
        </w:rPr>
        <w:t>.</w:t>
      </w:r>
    </w:p>
    <w:p w14:paraId="32829B64"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За неможливості виконати прямоточну каналізацію вищезазначених споруд мають передбачатися локальні насосні станції водовідведення.</w:t>
      </w:r>
    </w:p>
    <w:p w14:paraId="57902B2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11.4.2</w:t>
      </w:r>
      <w:r w:rsidRPr="00CA7C54">
        <w:rPr>
          <w:color w:val="000000" w:themeColor="text1"/>
          <w:sz w:val="21"/>
          <w:szCs w:val="21"/>
        </w:rPr>
        <w:t>  У захисних спорудах та СПП місткістю більше</w:t>
      </w:r>
      <w:r w:rsidR="00D92D49" w:rsidRPr="00CA7C54">
        <w:rPr>
          <w:color w:val="000000" w:themeColor="text1"/>
          <w:sz w:val="21"/>
          <w:szCs w:val="21"/>
        </w:rPr>
        <w:t xml:space="preserve"> ніж</w:t>
      </w:r>
      <w:r w:rsidRPr="00CA7C54">
        <w:rPr>
          <w:color w:val="000000" w:themeColor="text1"/>
          <w:sz w:val="21"/>
          <w:szCs w:val="21"/>
        </w:rPr>
        <w:t xml:space="preserve"> 20 осіб слід передбачати влаштування систем каналізації з встановленням промивних санітарно-технічних приладів (унітазів, наземних чаш тощо) та відводом стичних вод у зовнішню каналізаційну мережу.</w:t>
      </w:r>
    </w:p>
    <w:p w14:paraId="50D4A9F2"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Допускається відмітку підлоги біля санітарно-технічних приладів піднімати вище відмітки пiдлоги примiщення. При цьому біля приладів висота вiд пiдлоги до стелi повинна бути не менше </w:t>
      </w:r>
      <w:r w:rsidR="00D92D49" w:rsidRPr="00CA7C54">
        <w:rPr>
          <w:color w:val="000000" w:themeColor="text1"/>
          <w:sz w:val="21"/>
          <w:szCs w:val="21"/>
        </w:rPr>
        <w:t xml:space="preserve">ніж </w:t>
      </w:r>
      <w:r w:rsidRPr="00CA7C54">
        <w:rPr>
          <w:color w:val="000000" w:themeColor="text1"/>
          <w:sz w:val="21"/>
          <w:szCs w:val="21"/>
        </w:rPr>
        <w:t>1,7 м.</w:t>
      </w:r>
    </w:p>
    <w:p w14:paraId="098891E4"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11.4.3</w:t>
      </w:r>
      <w:r w:rsidRPr="00CA7C54">
        <w:rPr>
          <w:color w:val="000000" w:themeColor="text1"/>
          <w:sz w:val="21"/>
          <w:szCs w:val="21"/>
        </w:rPr>
        <w:t>  В спорудах  подвійного  призначення із захисними властивостями протирадіаційних укриттів місткістю 20 осіб і менше, для збору нечистот допускається використання переносних хімічних та біотуалетів, а також виносної тари, що щільно закривається. </w:t>
      </w:r>
    </w:p>
    <w:p w14:paraId="57519DA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11.4.4</w:t>
      </w:r>
      <w:r w:rsidRPr="00CA7C54">
        <w:rPr>
          <w:color w:val="000000" w:themeColor="text1"/>
          <w:sz w:val="21"/>
          <w:szCs w:val="21"/>
        </w:rPr>
        <w:t>  При розташуванні захисних споруд та СПП місткістю більше</w:t>
      </w:r>
      <w:r w:rsidR="00D92D49" w:rsidRPr="00CA7C54">
        <w:rPr>
          <w:color w:val="000000" w:themeColor="text1"/>
          <w:sz w:val="21"/>
          <w:szCs w:val="21"/>
        </w:rPr>
        <w:t xml:space="preserve"> ніж</w:t>
      </w:r>
      <w:r w:rsidRPr="00CA7C54">
        <w:rPr>
          <w:color w:val="000000" w:themeColor="text1"/>
          <w:sz w:val="21"/>
          <w:szCs w:val="21"/>
        </w:rPr>
        <w:t xml:space="preserve"> 20 осіб у приміщеннях підвальних та цокольних поверхів, що не мають сполучення із зовнішньою каналiзацiйною системою, або у разі, якщо неможливо вiдвести стiк вiд санiтарних приладiв у зовнiшню каналiзацiю самопливом, необхідно передбачити насосну станцiю перекачки з встановленням засувки всерединi споруди.</w:t>
      </w:r>
    </w:p>
    <w:p w14:paraId="711A4152"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11.4.5</w:t>
      </w:r>
      <w:r w:rsidRPr="00CA7C54">
        <w:rPr>
          <w:color w:val="000000" w:themeColor="text1"/>
          <w:sz w:val="21"/>
          <w:szCs w:val="21"/>
        </w:rPr>
        <w:t> При відводi стiчних вод самопливом з приміщень захисних споруд та СПП, розташованих у підземних, підвальних та цокольних поверхах, слiд передбачати засоби, що виключають затоплення приміщень цих поверхів стiчними водами при пiдпорi у зовнiшнiй каналiзацiйнiй мережi.</w:t>
      </w:r>
    </w:p>
    <w:p w14:paraId="1748DA55"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використаннi санiтарних</w:t>
      </w:r>
      <w:r w:rsidRPr="00CA7C54">
        <w:rPr>
          <w:color w:val="000000" w:themeColor="text1"/>
          <w:sz w:val="21"/>
          <w:szCs w:val="21"/>
          <w:highlight w:val="white"/>
        </w:rPr>
        <w:t xml:space="preserve"> вузлiв тiльки у перiод перебування осіб, які підлягають укриттю, як правило, сполучають аварiйний та приймальний резервуари для збирання стокiв i розмащують сумiщений резервуар, а локальну насосну станцію ро</w:t>
      </w:r>
      <w:r w:rsidRPr="00CA7C54">
        <w:rPr>
          <w:color w:val="000000" w:themeColor="text1"/>
          <w:sz w:val="21"/>
          <w:szCs w:val="21"/>
        </w:rPr>
        <w:t>зташовують у межах захисної споруди (споруди подвійного призначення). У цьому випадку насоси у станцiї перекачування допускається встановлювати без резерву.</w:t>
      </w:r>
    </w:p>
    <w:p w14:paraId="60ECA5F3"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У захисних спорудах та спорудах подвійного призначення з санпропускником для нетранспортабельних хворих локальна насосна станція має передбачатися в обов'язковому </w:t>
      </w:r>
      <w:r w:rsidRPr="00CA7C54">
        <w:rPr>
          <w:color w:val="000000" w:themeColor="text1"/>
          <w:sz w:val="21"/>
          <w:szCs w:val="21"/>
        </w:rPr>
        <w:lastRenderedPageBreak/>
        <w:t>порядку з можливiстю подавання стокiв у побутову каналiзацiю та аварійного скиду на поверхню землi.</w:t>
      </w:r>
    </w:p>
    <w:p w14:paraId="71A74885"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11.4.6</w:t>
      </w:r>
      <w:r w:rsidRPr="00CA7C54">
        <w:rPr>
          <w:color w:val="000000" w:themeColor="text1"/>
          <w:sz w:val="21"/>
          <w:szCs w:val="21"/>
        </w:rPr>
        <w:t> При облаштуванні у захисній споруді або СПП локальної насосної станції водовідведення, воду вiд охолоджувальних установок, дизельної електростанція (далі – ДЕС) та внутрiшнi дренажнi води допускається скидати у резервуар локальної насосної станції водовідведення з влаштуванням гідравлічного затвору або інших пристоїв, що запобігають витоку з приймального резервуару шкідливих газів (сірко-водню тощо).</w:t>
      </w:r>
    </w:p>
    <w:p w14:paraId="39961013"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На трубах, що проходять через огороджувальнi конструкцiї станцiї, слiд встановлювати запiрну арматуру зсередини захисної споруди та СПП.</w:t>
      </w:r>
    </w:p>
    <w:p w14:paraId="4CF3892F"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w:t>
      </w:r>
      <w:r w:rsidR="00D92D49" w:rsidRPr="00CA7C54">
        <w:rPr>
          <w:color w:val="000000" w:themeColor="text1"/>
          <w:sz w:val="21"/>
          <w:szCs w:val="21"/>
        </w:rPr>
        <w:t>є</w:t>
      </w:r>
      <w:r w:rsidRPr="00CA7C54">
        <w:rPr>
          <w:color w:val="000000" w:themeColor="text1"/>
          <w:sz w:val="21"/>
          <w:szCs w:val="21"/>
        </w:rPr>
        <w:t>ктуваннi санiтарних приладiв, борти яких розташованi нижче рiвня люку найближчого оглядового колодязя, слiд передбачати заходи, наведенi у нормах на про</w:t>
      </w:r>
      <w:r w:rsidR="00D92D49" w:rsidRPr="00CA7C54">
        <w:rPr>
          <w:color w:val="000000" w:themeColor="text1"/>
          <w:sz w:val="21"/>
          <w:szCs w:val="21"/>
        </w:rPr>
        <w:t>є</w:t>
      </w:r>
      <w:r w:rsidRPr="00CA7C54">
        <w:rPr>
          <w:color w:val="000000" w:themeColor="text1"/>
          <w:sz w:val="21"/>
          <w:szCs w:val="21"/>
        </w:rPr>
        <w:t>ктування внутрiшнього водопроводу та каналiзацiї, якi б виключали затоплення захисних споруд (споруд подвійного призначення) стiчними водами.</w:t>
      </w:r>
    </w:p>
    <w:p w14:paraId="35E2B993"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Вентиляцiя каналiзацiйної мережi захисних споруд та споруд подвійного призначення не передбачається.</w:t>
      </w:r>
    </w:p>
    <w:p w14:paraId="55F60CA6" w14:textId="3D03481A"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Пропускна спроможність стояка системи каналізації не повинна перевищувати норм, наведених у </w:t>
      </w:r>
      <w:hyperlink r:id="rId236" w:history="1">
        <w:r w:rsidRPr="00707AFC">
          <w:rPr>
            <w:rStyle w:val="ac"/>
            <w:rFonts w:cs="Arial"/>
            <w:sz w:val="21"/>
            <w:szCs w:val="21"/>
          </w:rPr>
          <w:t>ДБН В.2.5-64</w:t>
        </w:r>
      </w:hyperlink>
      <w:r w:rsidRPr="00CA7C54">
        <w:rPr>
          <w:color w:val="000000" w:themeColor="text1"/>
          <w:sz w:val="21"/>
          <w:szCs w:val="21"/>
        </w:rPr>
        <w:t>.</w:t>
      </w:r>
    </w:p>
    <w:p w14:paraId="5B502ABF" w14:textId="115527C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11.4.7</w:t>
      </w:r>
      <w:r w:rsidRPr="00CA7C54">
        <w:rPr>
          <w:color w:val="000000" w:themeColor="text1"/>
          <w:sz w:val="21"/>
          <w:szCs w:val="21"/>
        </w:rPr>
        <w:t xml:space="preserve"> В окремих випадках допускається розмiщувати насоси у незахищених приміщеннях підземних, підвальних та цокольних поверхів, сумiжних із захисною спорудою (спорудою подвійного призначення), з врахуванням вимог </w:t>
      </w:r>
      <w:hyperlink r:id="rId237" w:history="1">
        <w:r w:rsidRPr="00707AFC">
          <w:rPr>
            <w:rStyle w:val="ac"/>
            <w:rFonts w:cs="Arial"/>
            <w:sz w:val="21"/>
            <w:szCs w:val="21"/>
          </w:rPr>
          <w:t>ДБН В.2.5-64</w:t>
        </w:r>
      </w:hyperlink>
      <w:r w:rsidRPr="00CA7C54">
        <w:rPr>
          <w:color w:val="000000" w:themeColor="text1"/>
          <w:sz w:val="21"/>
          <w:szCs w:val="21"/>
        </w:rPr>
        <w:t>.</w:t>
      </w:r>
    </w:p>
    <w:p w14:paraId="2D84D78D"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11.4.8</w:t>
      </w:r>
      <w:r w:rsidRPr="00CA7C54">
        <w:rPr>
          <w:color w:val="000000" w:themeColor="text1"/>
          <w:sz w:val="21"/>
          <w:szCs w:val="21"/>
        </w:rPr>
        <w:t> У приміщенні санiтарного вузла необхiдно передбачати аварiйний резервуар для скиду стоків та його очищення. У перекриттi резервуара слiд влаштовувати отвори, які можуть використовуються замість унітазів і закриваються кришками. Об'єм резервуара слiд визначати з розрахунку 2 л/доб на кожну особу, яка підлягає укриттю.</w:t>
      </w:r>
    </w:p>
    <w:p w14:paraId="5C4E00DB"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захисних спорудах та СПП, що мають санпропускники, об'єм резервуарiв для стiчних вод пiсля миття повинен бути на 5 % більше запасу води для санпропускника.</w:t>
      </w:r>
    </w:p>
    <w:p w14:paraId="3783BA16"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захисних спорудах та спорудах подвійного призначення закладів охорони здоров’я для нетранспортабельних хворих об'єм резервуара слiд визначати з розрахунку 2 л на кожну особу медичного та обслуговуючого персоналу та 18 л на кожного хворого на добу.</w:t>
      </w:r>
    </w:p>
    <w:p w14:paraId="5386A061" w14:textId="77777777" w:rsidR="003C4E04" w:rsidRPr="00CA7C54" w:rsidRDefault="001E748C" w:rsidP="00D92D49">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11.4.9</w:t>
      </w:r>
      <w:r w:rsidRPr="00CA7C54">
        <w:rPr>
          <w:color w:val="000000" w:themeColor="text1"/>
          <w:sz w:val="21"/>
          <w:szCs w:val="21"/>
        </w:rPr>
        <w:t> Для збирання сухих відходів слід передбачати мiсця для розмiщення мішків з паперу або пакетiв з розрахунку 1 л/доб на одну особу, яка підлягає укриттю.</w:t>
      </w:r>
    </w:p>
    <w:p w14:paraId="6EC38087" w14:textId="77777777" w:rsidR="003C4E04" w:rsidRPr="00CA7C54" w:rsidRDefault="001E748C" w:rsidP="00D92D49">
      <w:pPr>
        <w:pStyle w:val="3"/>
        <w:spacing w:before="0" w:after="0" w:line="288" w:lineRule="auto"/>
        <w:contextualSpacing/>
        <w:rPr>
          <w:color w:val="000000" w:themeColor="text1"/>
          <w:sz w:val="21"/>
          <w:szCs w:val="21"/>
        </w:rPr>
      </w:pPr>
      <w:r w:rsidRPr="00CA7C54">
        <w:rPr>
          <w:color w:val="000000" w:themeColor="text1"/>
          <w:sz w:val="21"/>
          <w:szCs w:val="21"/>
        </w:rPr>
        <w:t>11.5 Електротехнічні системи </w:t>
      </w:r>
    </w:p>
    <w:p w14:paraId="5D26AC55" w14:textId="77777777" w:rsidR="003C4E04" w:rsidRPr="00CA7C54" w:rsidRDefault="001E748C" w:rsidP="00D92D49">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Загальні вимоги</w:t>
      </w:r>
    </w:p>
    <w:p w14:paraId="2FAE2B4C" w14:textId="48E9571D"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w:t>
      </w:r>
      <w:r w:rsidRPr="00CA7C54">
        <w:rPr>
          <w:color w:val="000000" w:themeColor="text1"/>
          <w:sz w:val="21"/>
          <w:szCs w:val="21"/>
        </w:rPr>
        <w:t xml:space="preserve"> Електропостачання та електрообладнання захисних споруд цивільного захисту та споруд подвійного призначення (СПП) слід проєктувати згідно з ПУЕ, </w:t>
      </w:r>
      <w:hyperlink r:id="rId238" w:history="1">
        <w:r w:rsidRPr="004B2D50">
          <w:rPr>
            <w:rStyle w:val="ac"/>
            <w:rFonts w:cs="Arial"/>
            <w:sz w:val="21"/>
            <w:szCs w:val="21"/>
          </w:rPr>
          <w:t>ДБН В.2.5-23</w:t>
        </w:r>
      </w:hyperlink>
      <w:r w:rsidRPr="00CA7C54">
        <w:rPr>
          <w:color w:val="000000" w:themeColor="text1"/>
          <w:sz w:val="21"/>
          <w:szCs w:val="21"/>
        </w:rPr>
        <w:t xml:space="preserve">, </w:t>
      </w:r>
      <w:hyperlink r:id="rId239" w:history="1">
        <w:r w:rsidRPr="00707AFC">
          <w:rPr>
            <w:rStyle w:val="ac"/>
            <w:rFonts w:cs="Arial"/>
            <w:sz w:val="21"/>
            <w:szCs w:val="21"/>
          </w:rPr>
          <w:t>ДБН В.2.5-28</w:t>
        </w:r>
      </w:hyperlink>
      <w:r w:rsidRPr="00CA7C54">
        <w:rPr>
          <w:color w:val="000000" w:themeColor="text1"/>
          <w:sz w:val="21"/>
          <w:szCs w:val="21"/>
        </w:rPr>
        <w:t xml:space="preserve">, </w:t>
      </w:r>
      <w:hyperlink r:id="rId240" w:history="1">
        <w:r w:rsidRPr="004B2D50">
          <w:rPr>
            <w:rStyle w:val="ac"/>
            <w:rFonts w:cs="Arial"/>
            <w:sz w:val="21"/>
            <w:szCs w:val="21"/>
          </w:rPr>
          <w:t>ДСТУ Б В.2.5-82</w:t>
        </w:r>
      </w:hyperlink>
      <w:r w:rsidRPr="00CA7C54">
        <w:rPr>
          <w:color w:val="000000" w:themeColor="text1"/>
          <w:sz w:val="21"/>
          <w:szCs w:val="21"/>
        </w:rPr>
        <w:t xml:space="preserve"> і з урахуванням додаткових вимог цього розділу.</w:t>
      </w:r>
    </w:p>
    <w:p w14:paraId="47BFC41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11.5.2</w:t>
      </w:r>
      <w:r w:rsidRPr="00CA7C54">
        <w:rPr>
          <w:color w:val="000000" w:themeColor="text1"/>
          <w:sz w:val="21"/>
          <w:szCs w:val="21"/>
        </w:rPr>
        <w:t> Живлення електроприймачів захисних споруд та СПП належить здійснювати від мережі з номінальною напругою за ДСТУ ІEC 60038 значенням 230/400 В із системою заземлення TN–S або TN–C–S.</w:t>
      </w:r>
    </w:p>
    <w:p w14:paraId="22D2C37B" w14:textId="1DF2A311"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11.5.3</w:t>
      </w:r>
      <w:r w:rsidRPr="00CA7C54">
        <w:rPr>
          <w:color w:val="000000" w:themeColor="text1"/>
          <w:sz w:val="21"/>
          <w:szCs w:val="21"/>
        </w:rPr>
        <w:t xml:space="preserve"> Заземлення електроустановок та виконання захисних заходів від ураження електричним струмом для захисних споруд цивільного захисту та СПП виконується у відповідності до ПУЕ та </w:t>
      </w:r>
      <w:hyperlink r:id="rId241" w:history="1">
        <w:r w:rsidRPr="004B2D50">
          <w:rPr>
            <w:rStyle w:val="ac"/>
            <w:rFonts w:cs="Arial"/>
            <w:sz w:val="21"/>
            <w:szCs w:val="21"/>
          </w:rPr>
          <w:t>ДСТУ Б В.2.5-82.</w:t>
        </w:r>
      </w:hyperlink>
    </w:p>
    <w:p w14:paraId="0AA21BB4" w14:textId="77777777" w:rsidR="003C4E04" w:rsidRPr="00CA7C54" w:rsidRDefault="001E748C" w:rsidP="00D92D49">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Електропостачання та електрообладнання</w:t>
      </w:r>
    </w:p>
    <w:p w14:paraId="080D8FF3"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11.5.4</w:t>
      </w:r>
      <w:r w:rsidRPr="00CA7C54">
        <w:rPr>
          <w:color w:val="000000" w:themeColor="text1"/>
          <w:sz w:val="21"/>
          <w:szCs w:val="21"/>
        </w:rPr>
        <w:t> Надійність електропостачання електроприймачів СПП, які використовуються в мирний час, визначають за відповідними нормами для такого виду споруди.</w:t>
      </w:r>
    </w:p>
    <w:p w14:paraId="0B5822AA"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11.5.5</w:t>
      </w:r>
      <w:r w:rsidRPr="00CA7C54">
        <w:rPr>
          <w:color w:val="000000" w:themeColor="text1"/>
          <w:sz w:val="21"/>
          <w:szCs w:val="21"/>
        </w:rPr>
        <w:t> За ступенем надійності електропостачання</w:t>
      </w:r>
      <w:r w:rsidRPr="00CA7C54">
        <w:rPr>
          <w:color w:val="000000" w:themeColor="text1"/>
          <w:sz w:val="21"/>
          <w:szCs w:val="21"/>
          <w:highlight w:val="white"/>
        </w:rPr>
        <w:t xml:space="preserve"> електроприймачі захисних споруд цивільного захисту та СПП в особливий період належать до категорій, вказаних в таблиці 11.10</w:t>
      </w:r>
    </w:p>
    <w:p w14:paraId="4F368EE0"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highlight w:val="white"/>
        </w:rPr>
        <w:t>11.5.6</w:t>
      </w:r>
      <w:r w:rsidRPr="00CA7C54">
        <w:rPr>
          <w:color w:val="000000" w:themeColor="text1"/>
          <w:sz w:val="21"/>
          <w:szCs w:val="21"/>
          <w:highlight w:val="white"/>
        </w:rPr>
        <w:t> Для електроприймачів особливої групи І категорії надійності електропостачання необхідно передбачати додаткове живлення від незалежного джерела живлення, що забезпечує електропостачання впродовж не менше</w:t>
      </w:r>
      <w:r w:rsidR="009A6D78" w:rsidRPr="00CA7C54">
        <w:rPr>
          <w:color w:val="000000" w:themeColor="text1"/>
          <w:sz w:val="21"/>
          <w:szCs w:val="21"/>
          <w:highlight w:val="white"/>
        </w:rPr>
        <w:t xml:space="preserve"> ніж</w:t>
      </w:r>
      <w:r w:rsidRPr="00CA7C54">
        <w:rPr>
          <w:color w:val="000000" w:themeColor="text1"/>
          <w:sz w:val="21"/>
          <w:szCs w:val="21"/>
          <w:highlight w:val="white"/>
        </w:rPr>
        <w:t xml:space="preserve"> 48 годин поспіль. Таким джерелом живлення можуть </w:t>
      </w:r>
      <w:r w:rsidRPr="00CA7C54">
        <w:rPr>
          <w:color w:val="000000" w:themeColor="text1"/>
          <w:sz w:val="21"/>
          <w:szCs w:val="21"/>
          <w:highlight w:val="white"/>
        </w:rPr>
        <w:lastRenderedPageBreak/>
        <w:t>бути генераторна установка (зокрема, ДЕС), акумулятори безперебійного живлення (АБЖ), акумуляторні батареї тощо.</w:t>
      </w:r>
    </w:p>
    <w:p w14:paraId="7B140D46" w14:textId="7B170A83" w:rsidR="003C4E04" w:rsidRPr="00CA7C54" w:rsidRDefault="001E748C" w:rsidP="00D92D49">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highlight w:val="white"/>
        </w:rPr>
        <w:t>11.5.7</w:t>
      </w:r>
      <w:r w:rsidRPr="00CA7C54">
        <w:rPr>
          <w:color w:val="000000" w:themeColor="text1"/>
          <w:sz w:val="21"/>
          <w:szCs w:val="21"/>
          <w:highlight w:val="white"/>
        </w:rPr>
        <w:t> На ввідно-розподільчому щиті захисних споруд та СПП слід передбачати захист від перенапруг з використанням пристроїв захисту від імпульсних перенапруг відповідно до</w:t>
      </w:r>
      <w:r w:rsidRPr="00CA7C54">
        <w:rPr>
          <w:color w:val="000000" w:themeColor="text1"/>
          <w:sz w:val="21"/>
          <w:szCs w:val="21"/>
          <w:highlight w:val="white"/>
        </w:rPr>
        <w:br/>
      </w:r>
      <w:hyperlink r:id="rId242" w:history="1">
        <w:r w:rsidRPr="004B2D50">
          <w:rPr>
            <w:rStyle w:val="ac"/>
            <w:rFonts w:cs="Arial"/>
            <w:sz w:val="21"/>
            <w:szCs w:val="21"/>
            <w:highlight w:val="white"/>
          </w:rPr>
          <w:t>ДСТУ EN 62305-4</w:t>
        </w:r>
      </w:hyperlink>
      <w:r w:rsidRPr="00CA7C54">
        <w:rPr>
          <w:color w:val="000000" w:themeColor="text1"/>
          <w:sz w:val="21"/>
          <w:szCs w:val="21"/>
          <w:highlight w:val="white"/>
        </w:rPr>
        <w:t xml:space="preserve">, </w:t>
      </w:r>
      <w:hyperlink r:id="rId243" w:history="1">
        <w:r w:rsidRPr="004B2D50">
          <w:rPr>
            <w:rStyle w:val="ac"/>
            <w:rFonts w:cs="Arial"/>
            <w:sz w:val="21"/>
            <w:szCs w:val="21"/>
            <w:highlight w:val="white"/>
          </w:rPr>
          <w:t>ДСТУ EN 61643-11</w:t>
        </w:r>
      </w:hyperlink>
      <w:r w:rsidRPr="00CA7C54">
        <w:rPr>
          <w:color w:val="000000" w:themeColor="text1"/>
          <w:sz w:val="21"/>
          <w:szCs w:val="21"/>
          <w:highlight w:val="white"/>
        </w:rPr>
        <w:t xml:space="preserve">, </w:t>
      </w:r>
      <w:hyperlink r:id="rId244" w:history="1">
        <w:r w:rsidRPr="004B2D50">
          <w:rPr>
            <w:rStyle w:val="ac"/>
            <w:rFonts w:cs="Arial"/>
            <w:sz w:val="21"/>
            <w:szCs w:val="21"/>
            <w:highlight w:val="white"/>
          </w:rPr>
          <w:t>ДСТУ CLC/TS 61643-12</w:t>
        </w:r>
      </w:hyperlink>
      <w:r w:rsidRPr="00CA7C54">
        <w:rPr>
          <w:color w:val="000000" w:themeColor="text1"/>
          <w:sz w:val="21"/>
          <w:szCs w:val="21"/>
          <w:highlight w:val="white"/>
        </w:rPr>
        <w:t>.</w:t>
      </w:r>
    </w:p>
    <w:p w14:paraId="4B4E37D5" w14:textId="77777777" w:rsidR="00B44B30" w:rsidRDefault="00B44B30" w:rsidP="001D7433">
      <w:pPr>
        <w:pBdr>
          <w:top w:val="nil"/>
          <w:left w:val="nil"/>
          <w:bottom w:val="nil"/>
          <w:right w:val="nil"/>
          <w:between w:val="nil"/>
        </w:pBdr>
        <w:spacing w:before="0" w:line="288" w:lineRule="auto"/>
        <w:ind w:left="2268" w:hanging="1701"/>
        <w:contextualSpacing/>
        <w:jc w:val="left"/>
        <w:rPr>
          <w:b/>
          <w:color w:val="000000" w:themeColor="text1"/>
          <w:sz w:val="21"/>
          <w:szCs w:val="21"/>
          <w:highlight w:val="white"/>
        </w:rPr>
      </w:pPr>
    </w:p>
    <w:p w14:paraId="12C0B488" w14:textId="77777777" w:rsidR="003C4E04" w:rsidRPr="00CA7C54" w:rsidRDefault="001E748C" w:rsidP="001D7433">
      <w:pPr>
        <w:pBdr>
          <w:top w:val="nil"/>
          <w:left w:val="nil"/>
          <w:bottom w:val="nil"/>
          <w:right w:val="nil"/>
          <w:between w:val="nil"/>
        </w:pBdr>
        <w:spacing w:before="0" w:line="288" w:lineRule="auto"/>
        <w:ind w:left="2268" w:hanging="1701"/>
        <w:contextualSpacing/>
        <w:jc w:val="left"/>
        <w:rPr>
          <w:rFonts w:eastAsia="Times New Roman"/>
          <w:color w:val="000000" w:themeColor="text1"/>
          <w:sz w:val="21"/>
          <w:szCs w:val="21"/>
          <w:highlight w:val="white"/>
        </w:rPr>
      </w:pPr>
      <w:r w:rsidRPr="00CA7C54">
        <w:rPr>
          <w:b/>
          <w:color w:val="000000" w:themeColor="text1"/>
          <w:sz w:val="21"/>
          <w:szCs w:val="21"/>
          <w:highlight w:val="white"/>
        </w:rPr>
        <w:t>Таблиця 11.10</w:t>
      </w:r>
      <w:r w:rsidRPr="00CA7C54">
        <w:rPr>
          <w:color w:val="000000" w:themeColor="text1"/>
          <w:sz w:val="21"/>
          <w:szCs w:val="21"/>
          <w:highlight w:val="white"/>
        </w:rPr>
        <w:t xml:space="preserve"> – Категорія надійності електропостачання електроприймачів захисних споруд цивільного захисту та СПП в особливий період</w:t>
      </w:r>
    </w:p>
    <w:tbl>
      <w:tblPr>
        <w:tblStyle w:val="afffffffffffffffffffffffffffffff9"/>
        <w:tblW w:w="9634" w:type="dxa"/>
        <w:tblLayout w:type="fixed"/>
        <w:tblLook w:val="0400" w:firstRow="0" w:lastRow="0" w:firstColumn="0" w:lastColumn="0" w:noHBand="0" w:noVBand="1"/>
      </w:tblPr>
      <w:tblGrid>
        <w:gridCol w:w="6889"/>
        <w:gridCol w:w="2745"/>
      </w:tblGrid>
      <w:tr w:rsidR="00CA7C54" w:rsidRPr="00CA7C54" w14:paraId="55C3DD10" w14:textId="77777777" w:rsidTr="001D7433">
        <w:trPr>
          <w:trHeight w:val="367"/>
        </w:trPr>
        <w:tc>
          <w:tcPr>
            <w:tcW w:w="688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05DA8A32"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Назва електроприймачів</w:t>
            </w:r>
          </w:p>
        </w:tc>
        <w:tc>
          <w:tcPr>
            <w:tcW w:w="274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2BF449E7"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Категорія надійності електропостачання</w:t>
            </w:r>
          </w:p>
        </w:tc>
      </w:tr>
      <w:tr w:rsidR="00CA7C54" w:rsidRPr="00CA7C54" w14:paraId="4A1D0CD9" w14:textId="77777777" w:rsidTr="001D7433">
        <w:trPr>
          <w:trHeight w:val="1271"/>
        </w:trPr>
        <w:tc>
          <w:tcPr>
            <w:tcW w:w="688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560486DA"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медичні приміщення (операційні, пологові та ін.) у сховищах закладів охорони здоров'я та спорудах подвійного призначення;</w:t>
            </w:r>
          </w:p>
          <w:p w14:paraId="06B64373"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приміщення медпункту;</w:t>
            </w:r>
          </w:p>
          <w:p w14:paraId="1946359F"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аварійне освітлення;</w:t>
            </w:r>
          </w:p>
          <w:p w14:paraId="3583D9FF"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зв’язку та оповіщення</w:t>
            </w:r>
          </w:p>
        </w:tc>
        <w:tc>
          <w:tcPr>
            <w:tcW w:w="274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1E4EDF2F"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особлива група</w:t>
            </w:r>
          </w:p>
          <w:p w14:paraId="52D4D5DB"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І категорії </w:t>
            </w:r>
          </w:p>
        </w:tc>
      </w:tr>
      <w:tr w:rsidR="00CA7C54" w:rsidRPr="00CA7C54" w14:paraId="1E369F23" w14:textId="77777777" w:rsidTr="001D7433">
        <w:trPr>
          <w:trHeight w:val="1181"/>
        </w:trPr>
        <w:tc>
          <w:tcPr>
            <w:tcW w:w="688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5782B5F3"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вентиляції (з електровентиляторами без наявності ручних вентиляторів); </w:t>
            </w:r>
          </w:p>
          <w:p w14:paraId="4C8B124E"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водопостачання та каналізації;  </w:t>
            </w:r>
          </w:p>
          <w:p w14:paraId="0E4A0AD0"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протипожежного захисту;</w:t>
            </w:r>
          </w:p>
          <w:p w14:paraId="498D842F"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загальне електроосвітлення</w:t>
            </w:r>
          </w:p>
        </w:tc>
        <w:tc>
          <w:tcPr>
            <w:tcW w:w="274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5514E8DF"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І категорія</w:t>
            </w:r>
          </w:p>
        </w:tc>
      </w:tr>
    </w:tbl>
    <w:p w14:paraId="3083B950" w14:textId="55304D64"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11.5.8</w:t>
      </w:r>
      <w:r w:rsidRPr="00CA7C54">
        <w:rPr>
          <w:color w:val="000000" w:themeColor="text1"/>
          <w:sz w:val="21"/>
          <w:szCs w:val="21"/>
        </w:rPr>
        <w:t xml:space="preserve"> Захист внутрішніх електричних мереж та вибір перерізу провідників, виконання кабельних лінії і систем електропроводки (включаючи системи кабельних лотків, драбин, коробів і кабелепроводів) виконуються у відповідно до </w:t>
      </w:r>
      <w:hyperlink r:id="rId245" w:history="1">
        <w:r w:rsidRPr="004B2D50">
          <w:rPr>
            <w:rStyle w:val="ac"/>
            <w:rFonts w:cs="Arial"/>
            <w:sz w:val="21"/>
            <w:szCs w:val="21"/>
          </w:rPr>
          <w:t>ДБН В.2.5-23.</w:t>
        </w:r>
      </w:hyperlink>
    </w:p>
    <w:p w14:paraId="4869035C" w14:textId="43AA6FEC" w:rsidR="003C4E04" w:rsidRPr="00CA7C54" w:rsidRDefault="001E748C" w:rsidP="00D92D49">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11.5.9</w:t>
      </w:r>
      <w:r w:rsidRPr="00CA7C54">
        <w:rPr>
          <w:color w:val="000000" w:themeColor="text1"/>
          <w:sz w:val="21"/>
          <w:szCs w:val="21"/>
        </w:rPr>
        <w:t xml:space="preserve"> Елементи системи електропроводки внутрішніх електричних мереж захисних споруд цивільного захисту та СПП (незалежно від періоду використання) повинні відповідати вимогам пожежної безпеки </w:t>
      </w:r>
      <w:hyperlink r:id="rId246" w:history="1">
        <w:r w:rsidRPr="004B2D50">
          <w:rPr>
            <w:rStyle w:val="ac"/>
            <w:rFonts w:cs="Arial"/>
            <w:sz w:val="21"/>
            <w:szCs w:val="21"/>
          </w:rPr>
          <w:t>ДБН В.2.5-23</w:t>
        </w:r>
      </w:hyperlink>
      <w:r w:rsidRPr="00CA7C54">
        <w:rPr>
          <w:color w:val="000000" w:themeColor="text1"/>
          <w:sz w:val="21"/>
          <w:szCs w:val="21"/>
        </w:rPr>
        <w:t xml:space="preserve"> з урахуванням вимог пункту 4.15 </w:t>
      </w:r>
      <w:hyperlink r:id="rId247" w:history="1">
        <w:r w:rsidRPr="004B2D50">
          <w:rPr>
            <w:rStyle w:val="ac"/>
            <w:rFonts w:cs="Arial"/>
            <w:sz w:val="21"/>
            <w:szCs w:val="21"/>
          </w:rPr>
          <w:t>ДСТУ 8855</w:t>
        </w:r>
      </w:hyperlink>
      <w:r w:rsidRPr="00CA7C54">
        <w:rPr>
          <w:color w:val="000000" w:themeColor="text1"/>
          <w:sz w:val="21"/>
          <w:szCs w:val="21"/>
        </w:rPr>
        <w:t>.</w:t>
      </w:r>
    </w:p>
    <w:p w14:paraId="7FB2BD54" w14:textId="233E40C6"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11.5.10</w:t>
      </w:r>
      <w:r w:rsidRPr="00CA7C54">
        <w:rPr>
          <w:color w:val="000000" w:themeColor="text1"/>
          <w:sz w:val="21"/>
          <w:szCs w:val="21"/>
        </w:rPr>
        <w:t xml:space="preserve"> Для захисту групових ліній, що живлять штепсельні розетки, повинні передбачатися ПЗВ, які відповідають вимогам </w:t>
      </w:r>
      <w:hyperlink r:id="rId248" w:history="1">
        <w:r w:rsidRPr="004B2D50">
          <w:rPr>
            <w:rStyle w:val="ac"/>
            <w:rFonts w:cs="Arial"/>
            <w:sz w:val="21"/>
            <w:szCs w:val="21"/>
          </w:rPr>
          <w:t>ДСТУ HD 62640</w:t>
        </w:r>
      </w:hyperlink>
      <w:r w:rsidRPr="00CA7C54">
        <w:rPr>
          <w:color w:val="000000" w:themeColor="text1"/>
          <w:sz w:val="21"/>
          <w:szCs w:val="21"/>
        </w:rPr>
        <w:t>, з номінальним відключаючим диференціальним струмом спрацювання не більше 30 мА. </w:t>
      </w:r>
    </w:p>
    <w:p w14:paraId="071648B7" w14:textId="77777777" w:rsidR="003C4E04" w:rsidRPr="00CA7C54" w:rsidRDefault="001E748C" w:rsidP="00D92D49">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Електроосвітлення</w:t>
      </w:r>
    </w:p>
    <w:p w14:paraId="7CF03811" w14:textId="28D49772"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11.5.11</w:t>
      </w:r>
      <w:r w:rsidRPr="00CA7C54">
        <w:rPr>
          <w:color w:val="000000" w:themeColor="text1"/>
          <w:sz w:val="21"/>
          <w:szCs w:val="21"/>
        </w:rPr>
        <w:t xml:space="preserve"> Штучне освітлення приміщень захисних споруд цивільного захисту та СПП виконується згідно з </w:t>
      </w:r>
      <w:hyperlink r:id="rId249" w:history="1">
        <w:r w:rsidRPr="003872B7">
          <w:rPr>
            <w:rStyle w:val="ac"/>
            <w:rFonts w:cs="Arial"/>
            <w:sz w:val="21"/>
            <w:szCs w:val="21"/>
          </w:rPr>
          <w:t>ДБН В.2.5-28</w:t>
        </w:r>
      </w:hyperlink>
      <w:r w:rsidRPr="00CA7C54">
        <w:rPr>
          <w:color w:val="000000" w:themeColor="text1"/>
          <w:sz w:val="21"/>
          <w:szCs w:val="21"/>
        </w:rPr>
        <w:t xml:space="preserve">, </w:t>
      </w:r>
      <w:hyperlink r:id="rId250" w:history="1">
        <w:r w:rsidRPr="003872B7">
          <w:rPr>
            <w:rStyle w:val="ac"/>
            <w:rFonts w:cs="Arial"/>
            <w:sz w:val="21"/>
            <w:szCs w:val="21"/>
          </w:rPr>
          <w:t>ДСТУ EN 12464-1</w:t>
        </w:r>
      </w:hyperlink>
      <w:r w:rsidRPr="00CA7C54">
        <w:rPr>
          <w:color w:val="000000" w:themeColor="text1"/>
          <w:sz w:val="21"/>
          <w:szCs w:val="21"/>
        </w:rPr>
        <w:t>.</w:t>
      </w:r>
    </w:p>
    <w:p w14:paraId="26A3EF18" w14:textId="5AF2F273"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Для приміщень загальних місць перебування людей рекомендується застосувати світлотехнічні вимоги згідно з  </w:t>
      </w:r>
      <w:hyperlink r:id="rId251" w:history="1">
        <w:r w:rsidRPr="003872B7">
          <w:rPr>
            <w:rStyle w:val="ac"/>
            <w:rFonts w:cs="Arial"/>
            <w:sz w:val="21"/>
            <w:szCs w:val="21"/>
          </w:rPr>
          <w:t>ДСТУ EN 12464-1</w:t>
        </w:r>
      </w:hyperlink>
      <w:r w:rsidRPr="00CA7C54">
        <w:rPr>
          <w:color w:val="000000" w:themeColor="text1"/>
          <w:sz w:val="21"/>
          <w:szCs w:val="21"/>
        </w:rPr>
        <w:t xml:space="preserve"> як для зон очікування або залів очікування.</w:t>
      </w:r>
    </w:p>
    <w:p w14:paraId="7A183C90"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11.5.12</w:t>
      </w:r>
      <w:r w:rsidRPr="00CA7C54">
        <w:rPr>
          <w:color w:val="000000" w:themeColor="text1"/>
          <w:sz w:val="21"/>
          <w:szCs w:val="21"/>
        </w:rPr>
        <w:t> При переході СПП на режим захисної споруди слід передбачати відключення частини світильників, запро</w:t>
      </w:r>
      <w:r w:rsidR="00344BFC" w:rsidRPr="00CA7C54">
        <w:rPr>
          <w:color w:val="000000" w:themeColor="text1"/>
          <w:sz w:val="21"/>
          <w:szCs w:val="21"/>
        </w:rPr>
        <w:t>є</w:t>
      </w:r>
      <w:r w:rsidRPr="00CA7C54">
        <w:rPr>
          <w:color w:val="000000" w:themeColor="text1"/>
          <w:sz w:val="21"/>
          <w:szCs w:val="21"/>
        </w:rPr>
        <w:t>ктованих для мирного часу.</w:t>
      </w:r>
    </w:p>
    <w:p w14:paraId="0ED86025"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11.5.13</w:t>
      </w:r>
      <w:r w:rsidRPr="00CA7C54">
        <w:rPr>
          <w:color w:val="000000" w:themeColor="text1"/>
          <w:sz w:val="21"/>
          <w:szCs w:val="21"/>
        </w:rPr>
        <w:t> У разі припинення постачання від загальної електричної мережі міста і переходу на живлення від третього незалежного джерела живлення допускається зниження нормованих значень штучного робочого освітлення у 2-2,5 рази, за винятком приміщень, які відносяться до особливої групи І категорії (табл</w:t>
      </w:r>
      <w:r w:rsidR="00F65CEF" w:rsidRPr="00CA7C54">
        <w:rPr>
          <w:color w:val="000000" w:themeColor="text1"/>
          <w:sz w:val="21"/>
          <w:szCs w:val="21"/>
        </w:rPr>
        <w:t>иця</w:t>
      </w:r>
      <w:r w:rsidRPr="00CA7C54">
        <w:rPr>
          <w:color w:val="000000" w:themeColor="text1"/>
          <w:sz w:val="21"/>
          <w:szCs w:val="21"/>
        </w:rPr>
        <w:t xml:space="preserve"> 11.10).</w:t>
      </w:r>
    </w:p>
    <w:p w14:paraId="1DED1A6D" w14:textId="360AA461"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11.5.14</w:t>
      </w:r>
      <w:r w:rsidRPr="00CA7C54">
        <w:rPr>
          <w:color w:val="000000" w:themeColor="text1"/>
          <w:sz w:val="21"/>
          <w:szCs w:val="21"/>
        </w:rPr>
        <w:t xml:space="preserve"> Аварійне освітлення захисних споруд цивільного захисту та СПП, не залежно від періоду використання, виконується у відповідно до </w:t>
      </w:r>
      <w:hyperlink r:id="rId252" w:history="1">
        <w:r w:rsidRPr="003872B7">
          <w:rPr>
            <w:rStyle w:val="ac"/>
            <w:rFonts w:cs="Arial"/>
            <w:sz w:val="21"/>
            <w:szCs w:val="21"/>
          </w:rPr>
          <w:t>ДБН В.2.5-28</w:t>
        </w:r>
      </w:hyperlink>
      <w:r w:rsidRPr="00CA7C54">
        <w:rPr>
          <w:color w:val="000000" w:themeColor="text1"/>
          <w:sz w:val="21"/>
          <w:szCs w:val="21"/>
        </w:rPr>
        <w:t xml:space="preserve">, </w:t>
      </w:r>
      <w:hyperlink r:id="rId253" w:history="1">
        <w:r w:rsidRPr="003872B7">
          <w:rPr>
            <w:rStyle w:val="ac"/>
            <w:rFonts w:cs="Arial"/>
            <w:sz w:val="21"/>
            <w:szCs w:val="21"/>
          </w:rPr>
          <w:t>ДСТУ EN 1838</w:t>
        </w:r>
      </w:hyperlink>
      <w:r w:rsidRPr="00CA7C54">
        <w:rPr>
          <w:color w:val="000000" w:themeColor="text1"/>
          <w:sz w:val="21"/>
          <w:szCs w:val="21"/>
        </w:rPr>
        <w:t xml:space="preserve"> та</w:t>
      </w:r>
      <w:r w:rsidRPr="00CA7C54">
        <w:rPr>
          <w:color w:val="000000" w:themeColor="text1"/>
          <w:sz w:val="21"/>
          <w:szCs w:val="21"/>
        </w:rPr>
        <w:br/>
      </w:r>
      <w:hyperlink r:id="rId254" w:history="1">
        <w:r w:rsidRPr="003872B7">
          <w:rPr>
            <w:rStyle w:val="ac"/>
            <w:rFonts w:cs="Arial"/>
            <w:sz w:val="21"/>
            <w:szCs w:val="21"/>
          </w:rPr>
          <w:t>ДСТУ EN 50172</w:t>
        </w:r>
      </w:hyperlink>
      <w:r w:rsidRPr="00CA7C54">
        <w:rPr>
          <w:color w:val="000000" w:themeColor="text1"/>
          <w:sz w:val="21"/>
          <w:szCs w:val="21"/>
        </w:rPr>
        <w:t>. </w:t>
      </w:r>
    </w:p>
    <w:p w14:paraId="2C1B76CE" w14:textId="77777777" w:rsidR="003C4E04" w:rsidRPr="00CA7C54" w:rsidRDefault="001E748C" w:rsidP="00D92D49">
      <w:pPr>
        <w:pStyle w:val="3"/>
        <w:spacing w:before="0" w:after="0" w:line="288" w:lineRule="auto"/>
        <w:contextualSpacing/>
        <w:rPr>
          <w:color w:val="000000" w:themeColor="text1"/>
          <w:sz w:val="21"/>
          <w:szCs w:val="21"/>
        </w:rPr>
      </w:pPr>
      <w:r w:rsidRPr="00CA7C54">
        <w:rPr>
          <w:color w:val="000000" w:themeColor="text1"/>
          <w:sz w:val="21"/>
          <w:szCs w:val="21"/>
        </w:rPr>
        <w:t>11.6 Захищені дизельні електростанції </w:t>
      </w:r>
    </w:p>
    <w:p w14:paraId="34A980F2"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11.6.1</w:t>
      </w:r>
      <w:r w:rsidRPr="00CA7C54">
        <w:rPr>
          <w:color w:val="000000" w:themeColor="text1"/>
          <w:sz w:val="21"/>
          <w:szCs w:val="21"/>
        </w:rPr>
        <w:t xml:space="preserve"> В сховищах та СПП із захисними властивостями сховищ  ДЕС слід розміщувати в межах захисної споруди (сховища, СПП). </w:t>
      </w:r>
    </w:p>
    <w:p w14:paraId="65C4A206"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 В ПРУ та СПП із захисними властивостями ПРУ ДЕС рекомендується розміщувати в межах захисної споруди (ПРУ, СПП). У разі відсутності в складі допоміжних приміщень ПРУ та СПП із захисними властивостями ПРУ приміщення для аварійних джерел живлення допускається </w:t>
      </w:r>
      <w:r w:rsidRPr="00CA7C54">
        <w:rPr>
          <w:color w:val="000000" w:themeColor="text1"/>
          <w:sz w:val="21"/>
          <w:szCs w:val="21"/>
        </w:rPr>
        <w:lastRenderedPageBreak/>
        <w:t>електрообладнання приміщень таких споруд підключати до ДЕС, розташованої за межами захисної споруди.</w:t>
      </w:r>
    </w:p>
    <w:p w14:paraId="43889F6A" w14:textId="07FAD195"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11.6.2</w:t>
      </w:r>
      <w:r w:rsidRPr="00CA7C54">
        <w:rPr>
          <w:color w:val="000000" w:themeColor="text1"/>
          <w:sz w:val="21"/>
          <w:szCs w:val="21"/>
        </w:rPr>
        <w:t xml:space="preserve"> ДЕС та приміщення паливо-мастильних матеріалів повинні відокремлюватися від інших приміщень протипожежними стінами та перекриттями 1-го типу згідно з </w:t>
      </w:r>
      <w:hyperlink r:id="rId255" w:history="1">
        <w:r w:rsidRPr="003872B7">
          <w:rPr>
            <w:rStyle w:val="ac"/>
            <w:rFonts w:cs="Arial"/>
            <w:sz w:val="21"/>
            <w:szCs w:val="21"/>
          </w:rPr>
          <w:t>ДБН В.1.1-7</w:t>
        </w:r>
      </w:hyperlink>
      <w:r w:rsidRPr="00CA7C54">
        <w:rPr>
          <w:color w:val="000000" w:themeColor="text1"/>
          <w:sz w:val="21"/>
          <w:szCs w:val="21"/>
        </w:rPr>
        <w:t xml:space="preserve"> та перекриттями 3-го типу згідно з </w:t>
      </w:r>
      <w:hyperlink r:id="rId256" w:history="1">
        <w:r w:rsidRPr="003872B7">
          <w:rPr>
            <w:rStyle w:val="ac"/>
            <w:rFonts w:cs="Arial"/>
            <w:sz w:val="21"/>
            <w:szCs w:val="21"/>
          </w:rPr>
          <w:t>ДБН В.1.1-7</w:t>
        </w:r>
      </w:hyperlink>
      <w:r w:rsidRPr="00CA7C54">
        <w:rPr>
          <w:color w:val="000000" w:themeColor="text1"/>
          <w:sz w:val="21"/>
          <w:szCs w:val="21"/>
        </w:rPr>
        <w:t>.</w:t>
      </w:r>
    </w:p>
    <w:p w14:paraId="6B587A2D"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 приміщеннях ДЕС та зберігання ПММ необхідно передбачати заходи проти розливу рідин та їх розтікання за межі приміщень (влаштування металевих піддонів, зниження рівня підлоги приміщень тощо). При цьому при влаштуванні заходів проти розтікання потрібно враховувати повний вміст ємностей для зберігання палива, яке знаходиться в даному приміщення.</w:t>
      </w:r>
    </w:p>
    <w:p w14:paraId="3C53F3EE"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При вході в приміщення ДЕС з основного приміщення для укриття людей повинен бути передбачений тамбур з двома герметичними дверима, які відчиняються у напрямку входу у захисну споруду, або протипожежний тамбур-шлюз з підпором повітря 20</w:t>
      </w:r>
      <w:r w:rsidR="00F65CEF" w:rsidRPr="00CA7C54">
        <w:rPr>
          <w:color w:val="000000" w:themeColor="text1"/>
          <w:sz w:val="21"/>
          <w:szCs w:val="21"/>
        </w:rPr>
        <w:t xml:space="preserve">Па </w:t>
      </w:r>
      <w:r w:rsidRPr="00CA7C54">
        <w:rPr>
          <w:color w:val="000000" w:themeColor="text1"/>
          <w:sz w:val="21"/>
          <w:szCs w:val="21"/>
        </w:rPr>
        <w:t>-30Па в разі пожежі.</w:t>
      </w:r>
    </w:p>
    <w:p w14:paraId="7BC1B45E" w14:textId="1663C5B8"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11.6.3</w:t>
      </w:r>
      <w:r w:rsidRPr="00CA7C54">
        <w:rPr>
          <w:color w:val="000000" w:themeColor="text1"/>
          <w:sz w:val="21"/>
          <w:szCs w:val="21"/>
        </w:rPr>
        <w:t xml:space="preserve"> Для приміщень ДЕС приймається категорія пожежної небезпеки за </w:t>
      </w:r>
      <w:hyperlink r:id="rId257" w:history="1">
        <w:r w:rsidRPr="003872B7">
          <w:rPr>
            <w:rStyle w:val="ac"/>
            <w:rFonts w:cs="Arial"/>
            <w:sz w:val="21"/>
            <w:szCs w:val="21"/>
          </w:rPr>
          <w:t>ДСТУ Б В.1.1-36</w:t>
        </w:r>
      </w:hyperlink>
      <w:r w:rsidRPr="00CA7C54">
        <w:rPr>
          <w:color w:val="000000" w:themeColor="text1"/>
          <w:sz w:val="21"/>
          <w:szCs w:val="21"/>
        </w:rPr>
        <w:t xml:space="preserve"> - В (пожежонебезпечна).</w:t>
      </w:r>
    </w:p>
    <w:p w14:paraId="51318238" w14:textId="4EDE513F"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11.6.4</w:t>
      </w:r>
      <w:r w:rsidRPr="00CA7C54">
        <w:rPr>
          <w:color w:val="000000" w:themeColor="text1"/>
          <w:sz w:val="21"/>
          <w:szCs w:val="21"/>
        </w:rPr>
        <w:t xml:space="preserve"> ДЕС повинні задовольняти вимогам </w:t>
      </w:r>
      <w:hyperlink r:id="rId258" w:history="1">
        <w:r w:rsidRPr="00C66539">
          <w:rPr>
            <w:rStyle w:val="ac"/>
            <w:rFonts w:cs="Arial"/>
            <w:sz w:val="21"/>
            <w:szCs w:val="21"/>
          </w:rPr>
          <w:t>ДСТУ ІSO 8528-1</w:t>
        </w:r>
      </w:hyperlink>
      <w:r w:rsidRPr="00CA7C54">
        <w:rPr>
          <w:color w:val="000000" w:themeColor="text1"/>
          <w:sz w:val="21"/>
          <w:szCs w:val="21"/>
        </w:rPr>
        <w:t xml:space="preserve">, </w:t>
      </w:r>
      <w:r w:rsidRPr="00CA7C54">
        <w:rPr>
          <w:color w:val="000000" w:themeColor="text1"/>
          <w:sz w:val="21"/>
          <w:szCs w:val="21"/>
          <w:highlight w:val="white"/>
        </w:rPr>
        <w:t>ДСТУ</w:t>
      </w:r>
      <w:r w:rsidR="00C66539">
        <w:rPr>
          <w:color w:val="000000" w:themeColor="text1"/>
          <w:sz w:val="21"/>
          <w:szCs w:val="21"/>
          <w:highlight w:val="white"/>
        </w:rPr>
        <w:t xml:space="preserve"> </w:t>
      </w:r>
      <w:r w:rsidRPr="00CA7C54">
        <w:rPr>
          <w:color w:val="000000" w:themeColor="text1"/>
          <w:sz w:val="21"/>
          <w:szCs w:val="21"/>
          <w:highlight w:val="white"/>
        </w:rPr>
        <w:t>ІSO 8528-11</w:t>
      </w:r>
      <w:r w:rsidRPr="00CA7C54">
        <w:rPr>
          <w:color w:val="000000" w:themeColor="text1"/>
          <w:sz w:val="21"/>
          <w:szCs w:val="21"/>
        </w:rPr>
        <w:t xml:space="preserve"> з автоматичним режимом керування за </w:t>
      </w:r>
      <w:hyperlink r:id="rId259" w:history="1">
        <w:r w:rsidRPr="00C66539">
          <w:rPr>
            <w:rStyle w:val="ac"/>
            <w:rFonts w:cs="Arial"/>
            <w:sz w:val="21"/>
            <w:szCs w:val="21"/>
          </w:rPr>
          <w:t>ДСТУ ІSO 8528-4</w:t>
        </w:r>
      </w:hyperlink>
      <w:r w:rsidRPr="00CA7C54">
        <w:rPr>
          <w:color w:val="000000" w:themeColor="text1"/>
          <w:sz w:val="21"/>
          <w:szCs w:val="21"/>
        </w:rPr>
        <w:t>.</w:t>
      </w:r>
    </w:p>
    <w:p w14:paraId="735D72C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Вибір ДЕС повинен визначатися з урахуванням здатності працювати тривалий час (не менше </w:t>
      </w:r>
      <w:r w:rsidR="00E77B52" w:rsidRPr="00CA7C54">
        <w:rPr>
          <w:color w:val="000000" w:themeColor="text1"/>
          <w:sz w:val="21"/>
          <w:szCs w:val="21"/>
        </w:rPr>
        <w:t xml:space="preserve">ніж </w:t>
      </w:r>
      <w:r w:rsidRPr="00CA7C54">
        <w:rPr>
          <w:color w:val="000000" w:themeColor="text1"/>
          <w:sz w:val="21"/>
          <w:szCs w:val="21"/>
        </w:rPr>
        <w:t>48 годин) без технічного (обслуговуючого) персоналу.</w:t>
      </w:r>
    </w:p>
    <w:p w14:paraId="63097E0E"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11.6.5</w:t>
      </w:r>
      <w:r w:rsidRPr="00CA7C54">
        <w:rPr>
          <w:color w:val="000000" w:themeColor="text1"/>
          <w:sz w:val="21"/>
          <w:szCs w:val="21"/>
        </w:rPr>
        <w:t xml:space="preserve"> Перемикальне комутаційне обладнання АВР ДЕС повинно відповідати вимогам</w:t>
      </w:r>
      <w:r w:rsidRPr="00CA7C54">
        <w:rPr>
          <w:color w:val="000000" w:themeColor="text1"/>
          <w:sz w:val="21"/>
          <w:szCs w:val="21"/>
        </w:rPr>
        <w:br/>
      </w:r>
      <w:r w:rsidRPr="00CA7C54">
        <w:rPr>
          <w:color w:val="000000" w:themeColor="text1"/>
          <w:sz w:val="21"/>
          <w:szCs w:val="21"/>
          <w:highlight w:val="white"/>
        </w:rPr>
        <w:t>ДСТУ ІEC 60947-6-107</w:t>
      </w:r>
      <w:r w:rsidRPr="00CA7C54">
        <w:rPr>
          <w:color w:val="000000" w:themeColor="text1"/>
          <w:sz w:val="21"/>
          <w:szCs w:val="21"/>
        </w:rPr>
        <w:t xml:space="preserve"> і працювати в автоматичному режимі та мати можливість, в разі необхідності, ручного керування. </w:t>
      </w:r>
    </w:p>
    <w:p w14:paraId="7E35D4CB"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приміщенні ДЕС разом з генераторною установкою може встановлюватися необхідне для їх роботи тепломеханічне та електротехнічне обладнання, а саме:</w:t>
      </w:r>
    </w:p>
    <w:p w14:paraId="72317DA8"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електричні розподільчі шафи (щити);</w:t>
      </w:r>
    </w:p>
    <w:p w14:paraId="6FAE976E"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насоси для перекачування олії, палива продуктивністю не більше</w:t>
      </w:r>
      <w:r w:rsidR="00C3132F" w:rsidRPr="00CA7C54">
        <w:rPr>
          <w:color w:val="000000" w:themeColor="text1"/>
          <w:sz w:val="21"/>
          <w:szCs w:val="21"/>
        </w:rPr>
        <w:t xml:space="preserve"> ніж</w:t>
      </w:r>
      <w:r w:rsidR="001E748C" w:rsidRPr="00CA7C54">
        <w:rPr>
          <w:color w:val="000000" w:themeColor="text1"/>
          <w:sz w:val="21"/>
          <w:szCs w:val="21"/>
        </w:rPr>
        <w:t xml:space="preserve"> 4 м</w:t>
      </w:r>
      <w:r w:rsidR="001E748C" w:rsidRPr="00CA7C54">
        <w:rPr>
          <w:color w:val="000000" w:themeColor="text1"/>
          <w:sz w:val="21"/>
          <w:szCs w:val="21"/>
          <w:vertAlign w:val="superscript"/>
        </w:rPr>
        <w:t>3</w:t>
      </w:r>
      <w:r w:rsidR="001E748C" w:rsidRPr="00CA7C54">
        <w:rPr>
          <w:color w:val="000000" w:themeColor="text1"/>
          <w:sz w:val="21"/>
          <w:szCs w:val="21"/>
        </w:rPr>
        <w:t>/год;</w:t>
      </w:r>
    </w:p>
    <w:p w14:paraId="17F44B7A"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акумуляторні батареї закритого типу (пускові балони та компресори);</w:t>
      </w:r>
    </w:p>
    <w:p w14:paraId="12004C2F"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насоси, агрегати системи охолодження.</w:t>
      </w:r>
    </w:p>
    <w:p w14:paraId="307757C7"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Обладнання резервуарів повинно забезпечувати можливість аварійного зливу палива в аварійну ємність в повному об’ємі.</w:t>
      </w:r>
    </w:p>
    <w:p w14:paraId="6D6F49AD"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11.6.6</w:t>
      </w:r>
      <w:r w:rsidRPr="00CA7C54">
        <w:rPr>
          <w:color w:val="000000" w:themeColor="text1"/>
          <w:sz w:val="21"/>
          <w:szCs w:val="21"/>
        </w:rPr>
        <w:t xml:space="preserve"> Потужність генератора ДЕС повинна бути визначена за максимальною потужністю електроприймачів, що працюватимуть у режимі  повного та одночасного використання електрообладнання, інженерного та спеціального обладнання захисних споруд (вентиляційних систем, кондиціонерів, насосів тощо), а також освітлення. Мінімальна потужність навантаження ДЕС при експлуатації повинна бути не менше 40% номінальної потужності.</w:t>
      </w:r>
    </w:p>
    <w:p w14:paraId="616A70A0" w14:textId="78AA6650"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Потужність електрогенератора ДЕС слід обирати за умовами забезпечення пуску електродвигунів, які він живить (відповідно до Додатк</w:t>
      </w:r>
      <w:r w:rsidR="00344BFC" w:rsidRPr="00CA7C54">
        <w:rPr>
          <w:color w:val="000000" w:themeColor="text1"/>
          <w:sz w:val="21"/>
          <w:szCs w:val="21"/>
        </w:rPr>
        <w:t>а</w:t>
      </w:r>
      <w:r w:rsidRPr="00CA7C54">
        <w:rPr>
          <w:color w:val="000000" w:themeColor="text1"/>
          <w:sz w:val="21"/>
          <w:szCs w:val="21"/>
        </w:rPr>
        <w:t xml:space="preserve"> Б </w:t>
      </w:r>
      <w:hyperlink r:id="rId260" w:history="1">
        <w:r w:rsidRPr="004B2D50">
          <w:rPr>
            <w:rStyle w:val="ac"/>
            <w:rFonts w:cs="Arial"/>
            <w:sz w:val="21"/>
            <w:szCs w:val="21"/>
          </w:rPr>
          <w:t>ДБН В.2.5-23</w:t>
        </w:r>
      </w:hyperlink>
      <w:r w:rsidRPr="00CA7C54">
        <w:rPr>
          <w:color w:val="000000" w:themeColor="text1"/>
          <w:sz w:val="21"/>
          <w:szCs w:val="21"/>
        </w:rPr>
        <w:t>).</w:t>
      </w:r>
    </w:p>
    <w:p w14:paraId="4B6F90DA"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11.6.7</w:t>
      </w:r>
      <w:r w:rsidRPr="00CA7C54">
        <w:rPr>
          <w:color w:val="000000" w:themeColor="text1"/>
          <w:sz w:val="21"/>
          <w:szCs w:val="21"/>
        </w:rPr>
        <w:t xml:space="preserve"> При застосуванні ДЕС для групи захисних споруд та СПП, що розташовані поряд, до кожної захисної споруди та СПП від розподільчого щита ДЕС має передбачатися окрема кабельна лінія, яка має комутаційний апарат з захистом від перевантажень та коротких замикань. </w:t>
      </w:r>
    </w:p>
    <w:p w14:paraId="1214D62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11.6.8</w:t>
      </w:r>
      <w:r w:rsidRPr="00CA7C54">
        <w:rPr>
          <w:color w:val="000000" w:themeColor="text1"/>
          <w:sz w:val="21"/>
          <w:szCs w:val="21"/>
        </w:rPr>
        <w:t xml:space="preserve"> При використанні ДЕС, як резервного джерела для споживачів, які потребують резервування від ДЕС у мирний час, їх слід виділити на окремий щит. Такий щит має мати пристрій відключення споживачів мирного часу від ДЕС у особливий період.</w:t>
      </w:r>
    </w:p>
    <w:p w14:paraId="4468AA00"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11.6.9</w:t>
      </w:r>
      <w:r w:rsidRPr="00CA7C54">
        <w:rPr>
          <w:color w:val="000000" w:themeColor="text1"/>
          <w:sz w:val="21"/>
          <w:szCs w:val="21"/>
        </w:rPr>
        <w:t xml:space="preserve"> Компонування обладнання ДЕС повинно забезпечувати можливість безпечного та зручного їх обслуговування. Для механізації трудомістких робіт при ремонті окремих вузлів обладнання, арматури та трубопроводів слід передбачати підйомно-транспортні засоби (ручні талі, тельфери тощо). Їх вантажопідйомність повинна вибиратися з урахуванням ваги вузлів і деталей, що найчастіше піднімаються (кришка блоків циліндрів, ротор генератора тощо).</w:t>
      </w:r>
    </w:p>
    <w:p w14:paraId="7E4EAA4C"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цьому потрібно дотримуватися наступних мінімальних відстаней у світлі від виступаючих частин корпусу агрегату до огороджувальних елементів будівель / споруд:</w:t>
      </w:r>
    </w:p>
    <w:p w14:paraId="2AE81FD2"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торця генератора – 1 м;</w:t>
      </w:r>
    </w:p>
    <w:p w14:paraId="261978A8"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lastRenderedPageBreak/>
        <w:t xml:space="preserve">- </w:t>
      </w:r>
      <w:r w:rsidR="001E748C" w:rsidRPr="00CA7C54">
        <w:rPr>
          <w:color w:val="000000" w:themeColor="text1"/>
          <w:sz w:val="21"/>
          <w:szCs w:val="21"/>
        </w:rPr>
        <w:t>між дизель-генераторами та від стіни до агрегату з боку обслуговування – 1 м;</w:t>
      </w:r>
    </w:p>
    <w:p w14:paraId="3A3695CE"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стіни до сторони агрегату, що не обслуговується – 0,8 м.</w:t>
      </w:r>
    </w:p>
    <w:p w14:paraId="5B1DD255"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Допускається місцеве звуження проходів обслуговування дизель-генераторів до 0,7м на ділянці довжиною 1 м.</w:t>
      </w:r>
    </w:p>
    <w:p w14:paraId="221AE032" w14:textId="4FB6B27B"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11.6.10</w:t>
      </w:r>
      <w:r w:rsidRPr="00CA7C54">
        <w:rPr>
          <w:color w:val="000000" w:themeColor="text1"/>
          <w:sz w:val="21"/>
          <w:szCs w:val="21"/>
        </w:rPr>
        <w:t xml:space="preserve"> Фундаменти під дизель-генератори слід виконувати відповідно до завдань (вимог) виробника та </w:t>
      </w:r>
      <w:hyperlink r:id="rId261" w:history="1">
        <w:r w:rsidRPr="00C66539">
          <w:rPr>
            <w:rStyle w:val="ac"/>
            <w:rFonts w:cs="Arial"/>
            <w:sz w:val="21"/>
            <w:szCs w:val="21"/>
            <w:highlight w:val="white"/>
          </w:rPr>
          <w:t>ДБН В.2.1-10</w:t>
        </w:r>
      </w:hyperlink>
      <w:r w:rsidRPr="00CA7C54">
        <w:rPr>
          <w:color w:val="000000" w:themeColor="text1"/>
          <w:sz w:val="21"/>
          <w:szCs w:val="21"/>
          <w:highlight w:val="white"/>
        </w:rPr>
        <w:t>.</w:t>
      </w:r>
      <w:r w:rsidRPr="00CA7C54">
        <w:rPr>
          <w:color w:val="000000" w:themeColor="text1"/>
          <w:sz w:val="21"/>
          <w:szCs w:val="21"/>
        </w:rPr>
        <w:t xml:space="preserve"> При цьому слід застосовувати конструктивні системи захисту від вібрації на фундаменти, каркаси та стіни споруди.</w:t>
      </w:r>
    </w:p>
    <w:p w14:paraId="7C17A56B"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11.6.11</w:t>
      </w:r>
      <w:r w:rsidRPr="00CA7C54">
        <w:rPr>
          <w:color w:val="000000" w:themeColor="text1"/>
          <w:sz w:val="21"/>
          <w:szCs w:val="21"/>
        </w:rPr>
        <w:t xml:space="preserve"> Запас паливно-мастильних матеріалів для ДЕС слід  розраховувати на його безперервну роботу не менше</w:t>
      </w:r>
      <w:r w:rsidR="00CE56BE" w:rsidRPr="00CA7C54">
        <w:rPr>
          <w:color w:val="000000" w:themeColor="text1"/>
          <w:sz w:val="21"/>
          <w:szCs w:val="21"/>
        </w:rPr>
        <w:t xml:space="preserve"> ніж</w:t>
      </w:r>
      <w:r w:rsidRPr="00CA7C54">
        <w:rPr>
          <w:color w:val="000000" w:themeColor="text1"/>
          <w:sz w:val="21"/>
          <w:szCs w:val="21"/>
        </w:rPr>
        <w:t xml:space="preserve"> 48 годин</w:t>
      </w:r>
      <w:r w:rsidRPr="00CA7C54">
        <w:rPr>
          <w:color w:val="000000" w:themeColor="text1"/>
          <w:sz w:val="21"/>
          <w:szCs w:val="21"/>
          <w:highlight w:val="white"/>
        </w:rPr>
        <w:t xml:space="preserve"> поспіль та з урахуванням проведення технічного обслуговування. У вбудовано-прибудованих ДЕС не допускається використання бензинового та/або газового пального й іншого палива з температурою спалаху нижче  61°C.</w:t>
      </w:r>
    </w:p>
    <w:p w14:paraId="3231F01C"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приміщеннях ДЕС допускається розміщувати паливно-мастильні матеріали об’ємом до</w:t>
      </w:r>
      <w:r w:rsidRPr="00CA7C54">
        <w:rPr>
          <w:color w:val="000000" w:themeColor="text1"/>
          <w:sz w:val="21"/>
          <w:szCs w:val="21"/>
        </w:rPr>
        <w:br/>
        <w:t>1,5 м</w:t>
      </w:r>
      <w:r w:rsidRPr="00CA7C54">
        <w:rPr>
          <w:color w:val="000000" w:themeColor="text1"/>
          <w:sz w:val="21"/>
          <w:szCs w:val="21"/>
          <w:vertAlign w:val="superscript"/>
        </w:rPr>
        <w:t>3</w:t>
      </w:r>
      <w:r w:rsidRPr="00CA7C54">
        <w:rPr>
          <w:color w:val="000000" w:themeColor="text1"/>
          <w:sz w:val="21"/>
          <w:szCs w:val="21"/>
        </w:rPr>
        <w:t>, а при розташуванні ДЕС під житловими та громадськими будівлями – об’ємом до 1 м</w:t>
      </w:r>
      <w:r w:rsidRPr="00CA7C54">
        <w:rPr>
          <w:color w:val="000000" w:themeColor="text1"/>
          <w:sz w:val="21"/>
          <w:szCs w:val="21"/>
          <w:vertAlign w:val="superscript"/>
        </w:rPr>
        <w:t>3</w:t>
      </w:r>
      <w:r w:rsidRPr="00CA7C54">
        <w:rPr>
          <w:color w:val="000000" w:themeColor="text1"/>
          <w:sz w:val="21"/>
          <w:szCs w:val="21"/>
        </w:rPr>
        <w:t>.</w:t>
      </w:r>
    </w:p>
    <w:p w14:paraId="40D52DED" w14:textId="1EF0F84B"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об’ємі більше 1,5 м</w:t>
      </w:r>
      <w:r w:rsidRPr="00CA7C54">
        <w:rPr>
          <w:color w:val="000000" w:themeColor="text1"/>
          <w:sz w:val="21"/>
          <w:szCs w:val="21"/>
          <w:vertAlign w:val="superscript"/>
        </w:rPr>
        <w:t>3</w:t>
      </w:r>
      <w:r w:rsidRPr="00CA7C54">
        <w:rPr>
          <w:color w:val="000000" w:themeColor="text1"/>
          <w:sz w:val="21"/>
          <w:szCs w:val="21"/>
        </w:rPr>
        <w:t xml:space="preserve"> слід про</w:t>
      </w:r>
      <w:r w:rsidR="00D92D49" w:rsidRPr="00CA7C54">
        <w:rPr>
          <w:color w:val="000000" w:themeColor="text1"/>
          <w:sz w:val="21"/>
          <w:szCs w:val="21"/>
        </w:rPr>
        <w:t>є</w:t>
      </w:r>
      <w:r w:rsidRPr="00CA7C54">
        <w:rPr>
          <w:color w:val="000000" w:themeColor="text1"/>
          <w:sz w:val="21"/>
          <w:szCs w:val="21"/>
        </w:rPr>
        <w:t>ктувати окреме приміщення, для розміщення паливно-мастильних  матеріалів, а у випадку розташування ДЕС під житловими і громадськими будівлями та при об’ємі паливно-мастильних матеріалів від 1</w:t>
      </w:r>
      <w:r w:rsidR="00344BFC" w:rsidRPr="00CA7C54">
        <w:rPr>
          <w:color w:val="000000" w:themeColor="text1"/>
          <w:sz w:val="21"/>
          <w:szCs w:val="21"/>
        </w:rPr>
        <w:t xml:space="preserve"> м</w:t>
      </w:r>
      <w:r w:rsidR="00344BFC" w:rsidRPr="00CA7C54">
        <w:rPr>
          <w:color w:val="000000" w:themeColor="text1"/>
          <w:sz w:val="21"/>
          <w:szCs w:val="21"/>
          <w:vertAlign w:val="superscript"/>
        </w:rPr>
        <w:t>3</w:t>
      </w:r>
      <w:r w:rsidRPr="00CA7C54">
        <w:rPr>
          <w:color w:val="000000" w:themeColor="text1"/>
          <w:sz w:val="21"/>
          <w:szCs w:val="21"/>
        </w:rPr>
        <w:t xml:space="preserve"> до 10 м</w:t>
      </w:r>
      <w:r w:rsidRPr="00CA7C54">
        <w:rPr>
          <w:color w:val="000000" w:themeColor="text1"/>
          <w:sz w:val="21"/>
          <w:szCs w:val="21"/>
          <w:vertAlign w:val="superscript"/>
        </w:rPr>
        <w:t>3</w:t>
      </w:r>
      <w:r w:rsidRPr="00CA7C54">
        <w:rPr>
          <w:color w:val="000000" w:themeColor="text1"/>
          <w:sz w:val="21"/>
          <w:szCs w:val="21"/>
        </w:rPr>
        <w:t xml:space="preserve"> захищені паливні баки слід виносити за периметр будинку, в який вбудована ДЕС, на відстань, </w:t>
      </w:r>
      <w:r w:rsidRPr="00CA7C54">
        <w:rPr>
          <w:color w:val="000000" w:themeColor="text1"/>
          <w:sz w:val="21"/>
          <w:szCs w:val="21"/>
          <w:highlight w:val="white"/>
        </w:rPr>
        <w:t xml:space="preserve">встановлену </w:t>
      </w:r>
      <w:hyperlink r:id="rId262" w:history="1">
        <w:r w:rsidRPr="00C66539">
          <w:rPr>
            <w:rStyle w:val="ac"/>
            <w:rFonts w:cs="Arial"/>
            <w:sz w:val="21"/>
            <w:szCs w:val="21"/>
            <w:highlight w:val="white"/>
          </w:rPr>
          <w:t>ДБН Б.2.2-12.</w:t>
        </w:r>
        <w:r w:rsidRPr="00C66539">
          <w:rPr>
            <w:rStyle w:val="ac"/>
            <w:rFonts w:cs="Arial"/>
            <w:sz w:val="21"/>
            <w:szCs w:val="21"/>
          </w:rPr>
          <w:t> </w:t>
        </w:r>
      </w:hyperlink>
    </w:p>
    <w:p w14:paraId="4D4FA913" w14:textId="1170FF1D"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11.6.12</w:t>
      </w:r>
      <w:r w:rsidRPr="00CA7C54">
        <w:rPr>
          <w:color w:val="000000" w:themeColor="text1"/>
          <w:sz w:val="21"/>
          <w:szCs w:val="21"/>
        </w:rPr>
        <w:t xml:space="preserve"> Приміщення ДЕС та приміщення паливо-мастильних матеріалів повинні оснащуватися автоматичними системами пожежної сигналізації та пожежогасіння у відповідно до </w:t>
      </w:r>
      <w:hyperlink r:id="rId263" w:history="1">
        <w:r w:rsidRPr="00521B72">
          <w:rPr>
            <w:rStyle w:val="ac"/>
            <w:rFonts w:cs="Arial"/>
            <w:sz w:val="21"/>
            <w:szCs w:val="21"/>
          </w:rPr>
          <w:t>ДБН В.2.5-56</w:t>
        </w:r>
      </w:hyperlink>
      <w:r w:rsidRPr="00CA7C54">
        <w:rPr>
          <w:color w:val="000000" w:themeColor="text1"/>
          <w:sz w:val="21"/>
          <w:szCs w:val="21"/>
        </w:rPr>
        <w:t>.</w:t>
      </w:r>
    </w:p>
    <w:p w14:paraId="04161ECA"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Приміщення ДЕС повинно бути оснащене системою контролю витоку продуктів згорання (СО, СО</w:t>
      </w:r>
      <w:r w:rsidRPr="00CA7C54">
        <w:rPr>
          <w:color w:val="000000" w:themeColor="text1"/>
          <w:sz w:val="21"/>
          <w:szCs w:val="21"/>
          <w:vertAlign w:val="subscript"/>
        </w:rPr>
        <w:t>2</w:t>
      </w:r>
      <w:r w:rsidRPr="00CA7C54">
        <w:rPr>
          <w:color w:val="000000" w:themeColor="text1"/>
          <w:sz w:val="21"/>
          <w:szCs w:val="21"/>
        </w:rPr>
        <w:t>).</w:t>
      </w:r>
    </w:p>
    <w:p w14:paraId="5FA7D989" w14:textId="77777777" w:rsidR="003C4E04" w:rsidRPr="00CA7C54" w:rsidRDefault="001E748C" w:rsidP="00EC33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Обладнання ДЕС має передбачати систему виявлення витоків палива, сигнал від якої  необхідно інтегрувати до системи протипожежного захисту (або з виводом індикації на диспетчерський пульт).</w:t>
      </w:r>
    </w:p>
    <w:p w14:paraId="455158C7" w14:textId="1D1EE868" w:rsidR="003C4E04" w:rsidRDefault="001E748C" w:rsidP="00EC337B">
      <w:pPr>
        <w:pStyle w:val="3"/>
        <w:spacing w:before="0" w:after="0" w:line="288" w:lineRule="auto"/>
        <w:contextualSpacing/>
        <w:rPr>
          <w:color w:val="000000" w:themeColor="text1"/>
          <w:sz w:val="21"/>
          <w:szCs w:val="21"/>
        </w:rPr>
      </w:pPr>
      <w:r w:rsidRPr="00CA7C54">
        <w:rPr>
          <w:color w:val="000000" w:themeColor="text1"/>
          <w:sz w:val="21"/>
          <w:szCs w:val="21"/>
        </w:rPr>
        <w:t xml:space="preserve">11.7 Електронні комунікації </w:t>
      </w:r>
    </w:p>
    <w:p w14:paraId="6D18AA26" w14:textId="1D3C4413" w:rsidR="00EC337B" w:rsidRPr="00720C64" w:rsidRDefault="00EC337B" w:rsidP="00EC337B">
      <w:pPr>
        <w:spacing w:before="0" w:line="288" w:lineRule="auto"/>
        <w:rPr>
          <w:b/>
          <w:bCs/>
          <w:i/>
          <w:iCs/>
          <w:color w:val="00B050"/>
          <w:sz w:val="21"/>
          <w:szCs w:val="21"/>
        </w:rPr>
      </w:pPr>
      <w:r w:rsidRPr="00720C64">
        <w:rPr>
          <w:b/>
          <w:bCs/>
          <w:i/>
          <w:iCs/>
          <w:color w:val="00B050"/>
          <w:sz w:val="21"/>
          <w:szCs w:val="21"/>
        </w:rPr>
        <w:t>(Назв</w:t>
      </w:r>
      <w:r w:rsidR="00EB2C94">
        <w:rPr>
          <w:b/>
          <w:bCs/>
          <w:i/>
          <w:iCs/>
          <w:color w:val="00B050"/>
          <w:sz w:val="21"/>
          <w:szCs w:val="21"/>
        </w:rPr>
        <w:t>у</w:t>
      </w:r>
      <w:r w:rsidRPr="00720C64">
        <w:rPr>
          <w:b/>
          <w:bCs/>
          <w:i/>
          <w:iCs/>
          <w:color w:val="00B050"/>
          <w:sz w:val="21"/>
          <w:szCs w:val="21"/>
        </w:rPr>
        <w:t xml:space="preserve"> підрозділу 11.7 змінено, Зміна № 2)</w:t>
      </w:r>
    </w:p>
    <w:p w14:paraId="0817F8CC" w14:textId="6ACA2E2D" w:rsidR="00EC337B" w:rsidRPr="00B173EB" w:rsidRDefault="001E748C" w:rsidP="00EC337B">
      <w:pPr>
        <w:spacing w:before="0" w:line="288" w:lineRule="auto"/>
        <w:ind w:firstLine="709"/>
        <w:rPr>
          <w:rFonts w:eastAsia="Calibri"/>
          <w:bCs/>
          <w:sz w:val="21"/>
          <w:szCs w:val="21"/>
        </w:rPr>
      </w:pPr>
      <w:r w:rsidRPr="00CA7C54">
        <w:rPr>
          <w:b/>
          <w:color w:val="000000" w:themeColor="text1"/>
          <w:sz w:val="21"/>
          <w:szCs w:val="21"/>
        </w:rPr>
        <w:t>11.7.1</w:t>
      </w:r>
      <w:r w:rsidRPr="00CA7C54">
        <w:rPr>
          <w:color w:val="000000" w:themeColor="text1"/>
          <w:sz w:val="21"/>
          <w:szCs w:val="21"/>
        </w:rPr>
        <w:t xml:space="preserve"> </w:t>
      </w:r>
      <w:r w:rsidR="00EC337B" w:rsidRPr="00B173EB">
        <w:rPr>
          <w:rFonts w:eastAsia="Calibri"/>
          <w:bCs/>
          <w:sz w:val="21"/>
          <w:szCs w:val="21"/>
        </w:rPr>
        <w:t xml:space="preserve">Захисні споруди та СПП </w:t>
      </w:r>
      <w:r w:rsidR="00EC337B">
        <w:rPr>
          <w:rFonts w:eastAsia="Calibri"/>
          <w:bCs/>
          <w:sz w:val="21"/>
          <w:szCs w:val="21"/>
        </w:rPr>
        <w:t xml:space="preserve">слід </w:t>
      </w:r>
      <w:r w:rsidR="00EC337B" w:rsidRPr="00B173EB">
        <w:rPr>
          <w:rFonts w:eastAsia="Calibri"/>
          <w:bCs/>
          <w:sz w:val="21"/>
          <w:szCs w:val="21"/>
        </w:rPr>
        <w:t>забезпеч</w:t>
      </w:r>
      <w:r w:rsidR="00EC337B">
        <w:rPr>
          <w:rFonts w:eastAsia="Calibri"/>
          <w:bCs/>
          <w:sz w:val="21"/>
          <w:szCs w:val="21"/>
        </w:rPr>
        <w:t xml:space="preserve">увати </w:t>
      </w:r>
      <w:r w:rsidR="00EC337B" w:rsidRPr="00B173EB">
        <w:rPr>
          <w:rFonts w:eastAsia="Calibri"/>
          <w:bCs/>
          <w:sz w:val="21"/>
          <w:szCs w:val="21"/>
        </w:rPr>
        <w:t>системами, що дозволяють забезпечити надійний зв'язок з органами управління з питань цивільного захисту</w:t>
      </w:r>
      <w:r w:rsidR="00EC337B">
        <w:rPr>
          <w:rFonts w:eastAsia="Calibri"/>
          <w:bCs/>
          <w:sz w:val="21"/>
          <w:szCs w:val="21"/>
        </w:rPr>
        <w:t>,</w:t>
      </w:r>
      <w:r w:rsidR="00EC337B" w:rsidRPr="00B173EB">
        <w:rPr>
          <w:rFonts w:eastAsia="Calibri"/>
          <w:bCs/>
          <w:sz w:val="21"/>
          <w:szCs w:val="21"/>
        </w:rPr>
        <w:t xml:space="preserve"> місцевих органів виконавчої влади, органів місцевого самоврядування, місцевих органів та підрозділів ДСНС із застосуванням електронних комунікацій.</w:t>
      </w:r>
    </w:p>
    <w:p w14:paraId="1AB05B0A" w14:textId="77777777" w:rsidR="00EC337B" w:rsidRPr="00B173EB" w:rsidRDefault="00EC337B" w:rsidP="00EC337B">
      <w:pPr>
        <w:spacing w:before="0" w:line="288" w:lineRule="auto"/>
        <w:ind w:firstLine="709"/>
        <w:rPr>
          <w:rFonts w:eastAsia="Calibri"/>
          <w:bCs/>
          <w:sz w:val="21"/>
          <w:szCs w:val="21"/>
        </w:rPr>
      </w:pPr>
      <w:r w:rsidRPr="00B173EB">
        <w:rPr>
          <w:rFonts w:eastAsia="Calibri"/>
          <w:bCs/>
          <w:sz w:val="21"/>
          <w:szCs w:val="21"/>
        </w:rPr>
        <w:t xml:space="preserve">Захисні споруди та СПП також мають забезпечуватися сигнально-гучномовними пристроями та електронними інформаційними табло, що </w:t>
      </w:r>
      <w:r w:rsidRPr="00327B96">
        <w:rPr>
          <w:rFonts w:eastAsia="Calibri"/>
          <w:bCs/>
          <w:sz w:val="21"/>
          <w:szCs w:val="21"/>
        </w:rPr>
        <w:t>мають інформувати населення</w:t>
      </w:r>
      <w:r w:rsidRPr="00B173EB">
        <w:rPr>
          <w:rFonts w:eastAsia="Calibri"/>
          <w:bCs/>
          <w:sz w:val="21"/>
          <w:szCs w:val="21"/>
        </w:rPr>
        <w:t>, яке перебуває у захисній споруді.</w:t>
      </w:r>
    </w:p>
    <w:p w14:paraId="7AA1598F" w14:textId="77777777" w:rsidR="00EC337B" w:rsidRPr="00B173EB" w:rsidRDefault="00EC337B" w:rsidP="00EC337B">
      <w:pPr>
        <w:spacing w:before="0" w:line="288" w:lineRule="auto"/>
        <w:ind w:firstLine="709"/>
        <w:rPr>
          <w:rFonts w:eastAsia="Calibri"/>
          <w:bCs/>
          <w:sz w:val="21"/>
          <w:szCs w:val="21"/>
        </w:rPr>
      </w:pPr>
      <w:r w:rsidRPr="00B173EB">
        <w:rPr>
          <w:rFonts w:eastAsia="Calibri"/>
          <w:bCs/>
          <w:sz w:val="21"/>
          <w:szCs w:val="21"/>
        </w:rPr>
        <w:t>Захисні споруди та СПП мають бути забезпечені доступом до мережі Інтернет, в тому числі безпроводовим Інтернетом, який має проєктуватися для покриття всієї території захисної споруди або СПП шляхом розміщення засобів безпроводного доступу до мережі інтернет (точок Wi-Fi</w:t>
      </w:r>
      <w:r>
        <w:rPr>
          <w:rFonts w:eastAsia="Calibri"/>
          <w:bCs/>
          <w:sz w:val="21"/>
          <w:szCs w:val="21"/>
        </w:rPr>
        <w:t>.</w:t>
      </w:r>
    </w:p>
    <w:p w14:paraId="1AF5B55E" w14:textId="2E1110F2" w:rsidR="00EC337B" w:rsidRPr="00720C64" w:rsidRDefault="00EC337B" w:rsidP="00720C64">
      <w:pPr>
        <w:spacing w:before="0" w:line="288" w:lineRule="auto"/>
        <w:ind w:firstLine="709"/>
        <w:rPr>
          <w:rFonts w:eastAsia="Calibri"/>
          <w:bCs/>
          <w:sz w:val="21"/>
          <w:szCs w:val="21"/>
        </w:rPr>
      </w:pPr>
      <w:r w:rsidRPr="00B173EB">
        <w:rPr>
          <w:rFonts w:eastAsia="Calibri"/>
          <w:bCs/>
          <w:sz w:val="21"/>
          <w:szCs w:val="21"/>
        </w:rPr>
        <w:t xml:space="preserve">Інфраструктура електронних комунікацій, яка забезпечує надання електронних комунікаційних </w:t>
      </w:r>
      <w:r w:rsidRPr="00720C64">
        <w:rPr>
          <w:rFonts w:eastAsia="Calibri"/>
          <w:bCs/>
          <w:sz w:val="21"/>
          <w:szCs w:val="21"/>
        </w:rPr>
        <w:t>послуг у захисних спорудах та СПП, сигнально-гучномовні пристрої та електронні інформаційні табло мають бути забезпечені резервним/альтернативним живленням, що забезпечить автономність функціонування всієї системи впродовж   не менше ніж 48 год</w:t>
      </w:r>
    </w:p>
    <w:p w14:paraId="749A4851" w14:textId="29A2474D" w:rsidR="003C4E04" w:rsidRPr="00720C64" w:rsidRDefault="00720C64" w:rsidP="00720C64">
      <w:pPr>
        <w:pBdr>
          <w:top w:val="nil"/>
          <w:left w:val="nil"/>
          <w:bottom w:val="nil"/>
          <w:right w:val="nil"/>
          <w:between w:val="nil"/>
        </w:pBdr>
        <w:spacing w:before="0" w:line="288" w:lineRule="auto"/>
        <w:contextualSpacing/>
        <w:rPr>
          <w:b/>
          <w:bCs/>
          <w:i/>
          <w:iCs/>
          <w:color w:val="00B050"/>
          <w:sz w:val="21"/>
          <w:szCs w:val="21"/>
        </w:rPr>
      </w:pPr>
      <w:bookmarkStart w:id="29" w:name="_Hlk185985002"/>
      <w:r w:rsidRPr="00720C64">
        <w:rPr>
          <w:b/>
          <w:bCs/>
          <w:i/>
          <w:iCs/>
          <w:color w:val="00B050"/>
          <w:sz w:val="21"/>
          <w:szCs w:val="21"/>
        </w:rPr>
        <w:t>(Пункт 11.7.1 змінено, Зміна № 2)</w:t>
      </w:r>
    </w:p>
    <w:bookmarkEnd w:id="29"/>
    <w:p w14:paraId="396EB823" w14:textId="2CD47828" w:rsidR="00720C64" w:rsidRDefault="001E748C" w:rsidP="00720C64">
      <w:pPr>
        <w:pStyle w:val="af1"/>
        <w:spacing w:before="0" w:after="0" w:line="288" w:lineRule="auto"/>
        <w:ind w:firstLine="709"/>
        <w:rPr>
          <w:rFonts w:ascii="Arial" w:eastAsia="Calibri" w:hAnsi="Arial" w:cs="Arial"/>
          <w:bCs/>
          <w:sz w:val="21"/>
          <w:szCs w:val="21"/>
        </w:rPr>
      </w:pPr>
      <w:r w:rsidRPr="00720C64">
        <w:rPr>
          <w:rFonts w:ascii="Arial" w:hAnsi="Arial" w:cs="Arial"/>
          <w:b/>
          <w:color w:val="000000" w:themeColor="text1"/>
          <w:sz w:val="21"/>
          <w:szCs w:val="21"/>
        </w:rPr>
        <w:t>11.7.2</w:t>
      </w:r>
      <w:r w:rsidRPr="00720C64">
        <w:rPr>
          <w:color w:val="000000" w:themeColor="text1"/>
          <w:sz w:val="21"/>
          <w:szCs w:val="21"/>
        </w:rPr>
        <w:t> </w:t>
      </w:r>
      <w:r w:rsidR="00720C64" w:rsidRPr="00720C64">
        <w:rPr>
          <w:rFonts w:ascii="Arial" w:eastAsia="Calibri" w:hAnsi="Arial" w:cs="Arial"/>
          <w:bCs/>
          <w:sz w:val="21"/>
          <w:szCs w:val="21"/>
        </w:rPr>
        <w:t>Захисні споруди та СПП суб’єктів господарювання на об’єктах підвищеної небезпеки, що мають обладнуватися автоматизованими системами раннього виявлення загрози виникнення надзвичайних ситуацій та оповіщення населення у разі їх виникнення, мають обладнуватися електронними інформаційними табло та системою зв’язку, що з’єднується з пунктом управління суб’єкта господарювання.</w:t>
      </w:r>
    </w:p>
    <w:p w14:paraId="26CA58B4" w14:textId="5CC2C123" w:rsidR="00720C64" w:rsidRPr="00720C64" w:rsidRDefault="00720C64" w:rsidP="00720C64">
      <w:pPr>
        <w:pBdr>
          <w:top w:val="nil"/>
          <w:left w:val="nil"/>
          <w:bottom w:val="nil"/>
          <w:right w:val="nil"/>
          <w:between w:val="nil"/>
        </w:pBdr>
        <w:spacing w:before="0" w:line="288" w:lineRule="auto"/>
        <w:contextualSpacing/>
        <w:rPr>
          <w:b/>
          <w:bCs/>
          <w:i/>
          <w:iCs/>
          <w:color w:val="00B050"/>
          <w:sz w:val="21"/>
          <w:szCs w:val="21"/>
        </w:rPr>
      </w:pPr>
      <w:r w:rsidRPr="00720C64">
        <w:rPr>
          <w:b/>
          <w:bCs/>
          <w:i/>
          <w:iCs/>
          <w:color w:val="00B050"/>
          <w:sz w:val="21"/>
          <w:szCs w:val="21"/>
        </w:rPr>
        <w:t>(Пункт 11.7.</w:t>
      </w:r>
      <w:r>
        <w:rPr>
          <w:b/>
          <w:bCs/>
          <w:i/>
          <w:iCs/>
          <w:color w:val="00B050"/>
          <w:sz w:val="21"/>
          <w:szCs w:val="21"/>
        </w:rPr>
        <w:t>2</w:t>
      </w:r>
      <w:r w:rsidRPr="00720C64">
        <w:rPr>
          <w:b/>
          <w:bCs/>
          <w:i/>
          <w:iCs/>
          <w:color w:val="00B050"/>
          <w:sz w:val="21"/>
          <w:szCs w:val="21"/>
        </w:rPr>
        <w:t xml:space="preserve"> змінено, Зміна № 2)</w:t>
      </w:r>
    </w:p>
    <w:p w14:paraId="59226410"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11.7.3 </w:t>
      </w:r>
      <w:r w:rsidRPr="00CA7C54">
        <w:rPr>
          <w:color w:val="000000" w:themeColor="text1"/>
          <w:sz w:val="21"/>
          <w:szCs w:val="21"/>
        </w:rPr>
        <w:t>Сигнально-гучномовні пристрої та електронні інформаційні табло мають з’єднуватися  з місцевими автоматизованими системами централізованого оповіщення.</w:t>
      </w:r>
    </w:p>
    <w:p w14:paraId="15D87FB1" w14:textId="67B38F04" w:rsidR="00720C64" w:rsidRPr="00B173EB" w:rsidRDefault="001E748C" w:rsidP="00720C64">
      <w:pPr>
        <w:spacing w:line="288" w:lineRule="auto"/>
        <w:ind w:firstLine="709"/>
        <w:rPr>
          <w:rFonts w:eastAsia="Calibri"/>
          <w:bCs/>
          <w:sz w:val="21"/>
          <w:szCs w:val="21"/>
        </w:rPr>
      </w:pPr>
      <w:r w:rsidRPr="00CA7C54">
        <w:rPr>
          <w:b/>
          <w:color w:val="000000" w:themeColor="text1"/>
          <w:sz w:val="21"/>
          <w:szCs w:val="21"/>
        </w:rPr>
        <w:lastRenderedPageBreak/>
        <w:t>11.7.4</w:t>
      </w:r>
      <w:r w:rsidRPr="00CA7C54">
        <w:rPr>
          <w:color w:val="000000" w:themeColor="text1"/>
          <w:sz w:val="21"/>
          <w:szCs w:val="21"/>
        </w:rPr>
        <w:t> </w:t>
      </w:r>
      <w:r w:rsidR="00720C64" w:rsidRPr="00B173EB">
        <w:rPr>
          <w:rFonts w:eastAsia="Calibri"/>
          <w:bCs/>
          <w:sz w:val="21"/>
          <w:szCs w:val="21"/>
        </w:rPr>
        <w:t>Системи електронних комунікацій пунктів управління суб’єктів господарювання,  розташовані у захисних спорудах, мають перебувати у постійній готовності до використання за призначенням та забезпечувати:</w:t>
      </w:r>
    </w:p>
    <w:p w14:paraId="2E73E420" w14:textId="5B401C8C"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електронну комунікацію  керівництва та чергової служби з керівництвом місцевої (міста, району) ланки територіальної підсистеми єдиної державної системи цивільного захисту, місцевими органами і пiдроздiлами ДСНС, іншими аварійно-рятувальними службами та формувннями всіх форм власності та відомчої належності, спеціалізованими службами цивільного захисту населеного пункту (району), об’єктовими формуваннями цивільного захисту;</w:t>
      </w:r>
    </w:p>
    <w:p w14:paraId="2F03780B" w14:textId="7BA911A9"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електронну комунікацію з</w:t>
      </w:r>
      <w:r w:rsidR="00720C64">
        <w:rPr>
          <w:color w:val="000000" w:themeColor="text1"/>
          <w:sz w:val="21"/>
          <w:szCs w:val="21"/>
        </w:rPr>
        <w:t xml:space="preserve"> захисними спорудами</w:t>
      </w:r>
      <w:r w:rsidR="001E748C" w:rsidRPr="00CA7C54">
        <w:rPr>
          <w:color w:val="000000" w:themeColor="text1"/>
          <w:sz w:val="21"/>
          <w:szCs w:val="21"/>
        </w:rPr>
        <w:t xml:space="preserve"> суб’єкта господарювання та з основними цехами, що не припиняють виробництво у разі загрози або виникнення надзвичайних ситуацій;</w:t>
      </w:r>
    </w:p>
    <w:p w14:paraId="3320FE5C" w14:textId="192E7FD3"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електронну комунікацію  з запасним пунктом управління керівника місцевої ланки (міста, району) територіальної підсистеми єдиної державної системи цивільного захисту;</w:t>
      </w:r>
    </w:p>
    <w:p w14:paraId="13CAEA63" w14:textId="77777777" w:rsidR="003C4E04" w:rsidRDefault="00C7348B" w:rsidP="00344BFC">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інформування населення, яке перебуває у захисній споруді.</w:t>
      </w:r>
    </w:p>
    <w:p w14:paraId="6B458602" w14:textId="1C8AB65D" w:rsidR="00720C64" w:rsidRPr="00720C64" w:rsidRDefault="00720C64" w:rsidP="00344BFC">
      <w:pPr>
        <w:pBdr>
          <w:top w:val="nil"/>
          <w:left w:val="nil"/>
          <w:bottom w:val="nil"/>
          <w:right w:val="nil"/>
          <w:between w:val="nil"/>
        </w:pBdr>
        <w:spacing w:before="0" w:line="288" w:lineRule="auto"/>
        <w:contextualSpacing/>
        <w:rPr>
          <w:rFonts w:ascii="Times New Roman" w:eastAsia="Times New Roman" w:hAnsi="Times New Roman" w:cs="Times New Roman"/>
          <w:b/>
          <w:bCs/>
          <w:i/>
          <w:iCs/>
          <w:color w:val="00B050"/>
          <w:sz w:val="21"/>
          <w:szCs w:val="21"/>
        </w:rPr>
      </w:pPr>
      <w:r w:rsidRPr="00720C64">
        <w:rPr>
          <w:b/>
          <w:bCs/>
          <w:i/>
          <w:iCs/>
          <w:color w:val="00B050"/>
          <w:sz w:val="21"/>
          <w:szCs w:val="21"/>
        </w:rPr>
        <w:t>(Пункт 11.7.4 змінено, Зміна № 2)</w:t>
      </w:r>
    </w:p>
    <w:p w14:paraId="6A8E9F12"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11.7.5</w:t>
      </w:r>
      <w:r w:rsidRPr="00CA7C54">
        <w:rPr>
          <w:color w:val="000000" w:themeColor="text1"/>
          <w:sz w:val="21"/>
          <w:szCs w:val="21"/>
        </w:rPr>
        <w:t> Мережі електронних комунікацій пунктiв управління прокладають в підземній кабельній каналізації електрозв’язку мереж об’єкта та населеного пункту.</w:t>
      </w:r>
    </w:p>
    <w:p w14:paraId="7C795DD6" w14:textId="77777777" w:rsidR="003C4E04" w:rsidRPr="00CA7C54" w:rsidRDefault="001E748C" w:rsidP="00344BFC">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Відстань та засоби прокладання мереж електронних комунікацій у разі їх зближення та перетинання з електромережами, слід приймати відповідно до вимог [24].</w:t>
      </w:r>
    </w:p>
    <w:p w14:paraId="5711D4F3" w14:textId="487EF991" w:rsidR="003C4E04" w:rsidRDefault="001E748C" w:rsidP="00344BFC">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11.7.6</w:t>
      </w:r>
      <w:r w:rsidRPr="00CA7C54">
        <w:rPr>
          <w:color w:val="000000" w:themeColor="text1"/>
          <w:sz w:val="21"/>
          <w:szCs w:val="21"/>
        </w:rPr>
        <w:t xml:space="preserve"> Прокладання мереж електронних комунікацій до захисних споруд </w:t>
      </w:r>
      <w:r w:rsidR="00720C64">
        <w:rPr>
          <w:color w:val="000000" w:themeColor="text1"/>
          <w:sz w:val="21"/>
          <w:szCs w:val="21"/>
        </w:rPr>
        <w:t>СПП</w:t>
      </w:r>
      <w:r w:rsidRPr="00CA7C54">
        <w:rPr>
          <w:color w:val="000000" w:themeColor="text1"/>
          <w:sz w:val="21"/>
          <w:szCs w:val="21"/>
        </w:rPr>
        <w:t xml:space="preserve"> має бути виконано через прокладання кабелів у ґрунті або прокладання кабелів у кабельній каналізації електрозв’язку, відповідно до вимог ГБН В.2.2-34620942-002.</w:t>
      </w:r>
    </w:p>
    <w:p w14:paraId="40599CE0" w14:textId="6F224442" w:rsidR="00720C64" w:rsidRPr="00720C64" w:rsidRDefault="00720C64" w:rsidP="00720C64">
      <w:pPr>
        <w:pBdr>
          <w:top w:val="nil"/>
          <w:left w:val="nil"/>
          <w:bottom w:val="nil"/>
          <w:right w:val="nil"/>
          <w:between w:val="nil"/>
        </w:pBdr>
        <w:spacing w:before="0" w:line="288" w:lineRule="auto"/>
        <w:contextualSpacing/>
        <w:rPr>
          <w:rFonts w:ascii="Times New Roman" w:eastAsia="Times New Roman" w:hAnsi="Times New Roman" w:cs="Times New Roman"/>
          <w:b/>
          <w:bCs/>
          <w:i/>
          <w:iCs/>
          <w:color w:val="00B050"/>
          <w:sz w:val="21"/>
          <w:szCs w:val="21"/>
        </w:rPr>
      </w:pPr>
      <w:r w:rsidRPr="00720C64">
        <w:rPr>
          <w:b/>
          <w:bCs/>
          <w:i/>
          <w:iCs/>
          <w:color w:val="00B050"/>
          <w:sz w:val="21"/>
          <w:szCs w:val="21"/>
        </w:rPr>
        <w:t>(Пункт 11.7.</w:t>
      </w:r>
      <w:r>
        <w:rPr>
          <w:b/>
          <w:bCs/>
          <w:i/>
          <w:iCs/>
          <w:color w:val="00B050"/>
          <w:sz w:val="21"/>
          <w:szCs w:val="21"/>
        </w:rPr>
        <w:t>6</w:t>
      </w:r>
      <w:r w:rsidRPr="00720C64">
        <w:rPr>
          <w:b/>
          <w:bCs/>
          <w:i/>
          <w:iCs/>
          <w:color w:val="00B050"/>
          <w:sz w:val="21"/>
          <w:szCs w:val="21"/>
        </w:rPr>
        <w:t xml:space="preserve"> змінено, Зміна № 2)</w:t>
      </w:r>
    </w:p>
    <w:p w14:paraId="62235201"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11.7.7 </w:t>
      </w:r>
      <w:r w:rsidRPr="00CA7C54">
        <w:rPr>
          <w:color w:val="000000" w:themeColor="text1"/>
          <w:sz w:val="21"/>
          <w:szCs w:val="21"/>
        </w:rPr>
        <w:t>Вiдстань мiж паралельно прокладеними електронними комунікаційними мережами та електрокабелями слiд приймати:</w:t>
      </w:r>
    </w:p>
    <w:p w14:paraId="000DE781" w14:textId="77777777"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прокладання труб – не менше ніж 0,1 м;</w:t>
      </w:r>
    </w:p>
    <w:p w14:paraId="3076EBFF" w14:textId="77777777"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прокладання у траншеї – не менше ніж 0,5 м.</w:t>
      </w:r>
    </w:p>
    <w:p w14:paraId="5D486EF3"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Відстань між розетками мережі електронних комунікацій та електропостачання слiд приймати </w:t>
      </w:r>
      <w:r w:rsidRPr="001D7433">
        <w:rPr>
          <w:color w:val="000000" w:themeColor="text1"/>
          <w:spacing w:val="-4"/>
          <w:sz w:val="21"/>
          <w:szCs w:val="21"/>
        </w:rPr>
        <w:t>не менше ніж 1 м. Усі розетки обладнають трафаретними позначеннями «Радіо», «Телефон», «220</w:t>
      </w:r>
      <w:r w:rsidRPr="00CA7C54">
        <w:rPr>
          <w:color w:val="000000" w:themeColor="text1"/>
          <w:sz w:val="21"/>
          <w:szCs w:val="21"/>
        </w:rPr>
        <w:t xml:space="preserve"> В» або інші відповідні позначення.</w:t>
      </w:r>
    </w:p>
    <w:p w14:paraId="3ED55B89"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11.7.8</w:t>
      </w:r>
      <w:r w:rsidRPr="00CA7C54">
        <w:rPr>
          <w:color w:val="000000" w:themeColor="text1"/>
          <w:sz w:val="21"/>
          <w:szCs w:val="21"/>
        </w:rPr>
        <w:t xml:space="preserve"> Захист кабелів від усіх видів корозії слід передбачати відповідно до ПУЕ. </w:t>
      </w:r>
    </w:p>
    <w:p w14:paraId="1A2568E5" w14:textId="10A17BB6" w:rsidR="003C4E04" w:rsidRDefault="001E748C" w:rsidP="00344BFC">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11.7.9</w:t>
      </w:r>
      <w:r w:rsidRPr="00CA7C54">
        <w:rPr>
          <w:color w:val="000000" w:themeColor="text1"/>
          <w:sz w:val="21"/>
          <w:szCs w:val="21"/>
        </w:rPr>
        <w:t xml:space="preserve"> </w:t>
      </w:r>
    </w:p>
    <w:p w14:paraId="71DEB068" w14:textId="5BA5F9DF" w:rsidR="00720C64" w:rsidRPr="000A4DF5" w:rsidRDefault="00720C64" w:rsidP="00344BFC">
      <w:pPr>
        <w:pBdr>
          <w:top w:val="nil"/>
          <w:left w:val="nil"/>
          <w:bottom w:val="nil"/>
          <w:right w:val="nil"/>
          <w:between w:val="nil"/>
        </w:pBdr>
        <w:spacing w:before="0" w:line="288" w:lineRule="auto"/>
        <w:contextualSpacing/>
        <w:rPr>
          <w:rFonts w:ascii="Times New Roman" w:eastAsia="Times New Roman" w:hAnsi="Times New Roman" w:cs="Times New Roman"/>
          <w:b/>
          <w:bCs/>
          <w:i/>
          <w:iCs/>
          <w:color w:val="00B050"/>
          <w:sz w:val="21"/>
          <w:szCs w:val="21"/>
        </w:rPr>
      </w:pPr>
      <w:r w:rsidRPr="000A4DF5">
        <w:rPr>
          <w:b/>
          <w:bCs/>
          <w:i/>
          <w:iCs/>
          <w:color w:val="00B050"/>
          <w:sz w:val="21"/>
          <w:szCs w:val="21"/>
        </w:rPr>
        <w:t>(Пункт 11.7.9 вилучено, Зміна № 2)</w:t>
      </w:r>
    </w:p>
    <w:p w14:paraId="2835CFAB" w14:textId="52ED72CE" w:rsidR="003C4E04" w:rsidRDefault="001E748C" w:rsidP="00344BFC">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11.7.10</w:t>
      </w:r>
      <w:r w:rsidRPr="00CA7C54">
        <w:rPr>
          <w:color w:val="000000" w:themeColor="text1"/>
          <w:sz w:val="21"/>
          <w:szCs w:val="21"/>
        </w:rPr>
        <w:t xml:space="preserve"> Пункти управління суб’єктів господарювання м</w:t>
      </w:r>
      <w:r w:rsidR="000A4DF5">
        <w:rPr>
          <w:color w:val="000000" w:themeColor="text1"/>
          <w:sz w:val="21"/>
          <w:szCs w:val="21"/>
        </w:rPr>
        <w:t>ожуть</w:t>
      </w:r>
      <w:r w:rsidRPr="00CA7C54">
        <w:rPr>
          <w:color w:val="000000" w:themeColor="text1"/>
          <w:sz w:val="21"/>
          <w:szCs w:val="21"/>
        </w:rPr>
        <w:t xml:space="preserve"> бути забезпечені можливістю використовувати радіозв’язок для здійснення комунікації з органами управління з питань цивільного захисту центральних та місцевих органів виконавчої влади, органів місцевого самоврядування, місцевих органів та підрозділів ДСНС.</w:t>
      </w:r>
    </w:p>
    <w:p w14:paraId="7678C352" w14:textId="21C25036" w:rsidR="000A4DF5" w:rsidRPr="00720C64" w:rsidRDefault="000A4DF5" w:rsidP="000A4DF5">
      <w:pPr>
        <w:pBdr>
          <w:top w:val="nil"/>
          <w:left w:val="nil"/>
          <w:bottom w:val="nil"/>
          <w:right w:val="nil"/>
          <w:between w:val="nil"/>
        </w:pBdr>
        <w:spacing w:before="0" w:line="288" w:lineRule="auto"/>
        <w:contextualSpacing/>
        <w:rPr>
          <w:rFonts w:ascii="Times New Roman" w:eastAsia="Times New Roman" w:hAnsi="Times New Roman" w:cs="Times New Roman"/>
          <w:b/>
          <w:bCs/>
          <w:i/>
          <w:iCs/>
          <w:color w:val="00B050"/>
          <w:sz w:val="21"/>
          <w:szCs w:val="21"/>
        </w:rPr>
      </w:pPr>
      <w:r w:rsidRPr="00720C64">
        <w:rPr>
          <w:b/>
          <w:bCs/>
          <w:i/>
          <w:iCs/>
          <w:color w:val="00B050"/>
          <w:sz w:val="21"/>
          <w:szCs w:val="21"/>
        </w:rPr>
        <w:t>(Пункт 11.7.</w:t>
      </w:r>
      <w:r>
        <w:rPr>
          <w:b/>
          <w:bCs/>
          <w:i/>
          <w:iCs/>
          <w:color w:val="00B050"/>
          <w:sz w:val="21"/>
          <w:szCs w:val="21"/>
        </w:rPr>
        <w:t>10</w:t>
      </w:r>
      <w:r w:rsidRPr="00720C64">
        <w:rPr>
          <w:b/>
          <w:bCs/>
          <w:i/>
          <w:iCs/>
          <w:color w:val="00B050"/>
          <w:sz w:val="21"/>
          <w:szCs w:val="21"/>
        </w:rPr>
        <w:t xml:space="preserve"> змінено, Зміна № 2)</w:t>
      </w:r>
    </w:p>
    <w:p w14:paraId="336C889F" w14:textId="77777777" w:rsidR="003C4E04" w:rsidRPr="00CA7C54" w:rsidRDefault="001E748C" w:rsidP="00B44B30">
      <w:pPr>
        <w:pStyle w:val="2"/>
        <w:spacing w:before="80" w:after="80" w:line="288" w:lineRule="auto"/>
        <w:contextualSpacing/>
        <w:rPr>
          <w:rFonts w:ascii="Arial" w:hAnsi="Arial"/>
          <w:color w:val="000000" w:themeColor="text1"/>
          <w:sz w:val="21"/>
          <w:szCs w:val="21"/>
        </w:rPr>
      </w:pPr>
      <w:bookmarkStart w:id="30" w:name="_heading=h.5ktrftl4d1o" w:colFirst="0" w:colLast="0"/>
      <w:bookmarkEnd w:id="30"/>
      <w:r w:rsidRPr="00CA7C54">
        <w:rPr>
          <w:rFonts w:ascii="Arial" w:hAnsi="Arial"/>
          <w:color w:val="000000" w:themeColor="text1"/>
          <w:sz w:val="21"/>
          <w:szCs w:val="21"/>
        </w:rPr>
        <w:t xml:space="preserve">12 САНІТАРНО-ГІГІЄНІЧНІ ВИМОГИ </w:t>
      </w:r>
    </w:p>
    <w:p w14:paraId="65C209C3" w14:textId="50C700BA"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w:t>
      </w:r>
      <w:r w:rsidRPr="00CA7C54">
        <w:rPr>
          <w:color w:val="000000" w:themeColor="text1"/>
          <w:sz w:val="21"/>
          <w:szCs w:val="21"/>
        </w:rPr>
        <w:t xml:space="preserve"> При проєктуванні та експлуатації захисних споруд та СПП слід керуватись загальними санітарно-гігієнічними вимогами, викладеними в </w:t>
      </w:r>
      <w:hyperlink r:id="rId264" w:history="1">
        <w:r w:rsidRPr="00521B72">
          <w:rPr>
            <w:rStyle w:val="ac"/>
            <w:rFonts w:cs="Arial"/>
            <w:sz w:val="21"/>
            <w:szCs w:val="21"/>
          </w:rPr>
          <w:t>ДБН Б.2.2-6</w:t>
        </w:r>
      </w:hyperlink>
      <w:r w:rsidRPr="00CA7C54">
        <w:rPr>
          <w:color w:val="000000" w:themeColor="text1"/>
          <w:sz w:val="21"/>
          <w:szCs w:val="21"/>
        </w:rPr>
        <w:t xml:space="preserve">, </w:t>
      </w:r>
      <w:hyperlink r:id="rId265" w:history="1">
        <w:r w:rsidRPr="00521B72">
          <w:rPr>
            <w:rStyle w:val="ac"/>
            <w:rFonts w:cs="Arial"/>
            <w:sz w:val="21"/>
            <w:szCs w:val="21"/>
          </w:rPr>
          <w:t>ДБН Б.2.2-12</w:t>
        </w:r>
      </w:hyperlink>
      <w:r w:rsidRPr="00CA7C54">
        <w:rPr>
          <w:color w:val="000000" w:themeColor="text1"/>
          <w:sz w:val="21"/>
          <w:szCs w:val="21"/>
        </w:rPr>
        <w:t xml:space="preserve">, </w:t>
      </w:r>
      <w:hyperlink r:id="rId266" w:history="1">
        <w:r w:rsidRPr="00521B72">
          <w:rPr>
            <w:rStyle w:val="ac"/>
            <w:rFonts w:cs="Arial"/>
            <w:sz w:val="21"/>
            <w:szCs w:val="21"/>
          </w:rPr>
          <w:t>ДБН В.2.2-9</w:t>
        </w:r>
      </w:hyperlink>
      <w:r w:rsidRPr="00CA7C54">
        <w:rPr>
          <w:color w:val="000000" w:themeColor="text1"/>
          <w:sz w:val="21"/>
          <w:szCs w:val="21"/>
        </w:rPr>
        <w:t xml:space="preserve">,  </w:t>
      </w:r>
      <w:r w:rsidR="00521B72">
        <w:rPr>
          <w:color w:val="000000" w:themeColor="text1"/>
          <w:sz w:val="21"/>
          <w:szCs w:val="21"/>
        </w:rPr>
        <w:t xml:space="preserve">        </w:t>
      </w:r>
      <w:r w:rsidRPr="00CA7C54">
        <w:rPr>
          <w:color w:val="000000" w:themeColor="text1"/>
          <w:sz w:val="21"/>
          <w:szCs w:val="21"/>
        </w:rPr>
        <w:t>ДСП 173, ДСН 239, ДСанПіН 145, ДСанПін 8.2.1-181, ДСП 6.177-2005-09-02. </w:t>
      </w:r>
    </w:p>
    <w:p w14:paraId="5FFD5B0D" w14:textId="77777777" w:rsidR="002921D7" w:rsidRPr="00CA7C54" w:rsidRDefault="001E748C" w:rsidP="00442FAF">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12.2</w:t>
      </w:r>
      <w:r w:rsidRPr="00CA7C54">
        <w:rPr>
          <w:color w:val="000000" w:themeColor="text1"/>
          <w:sz w:val="21"/>
          <w:szCs w:val="21"/>
        </w:rPr>
        <w:t xml:space="preserve"> Шахти і машинні відділення ліфтів, вентиляційні камери, насосні та інші приміщення з обладнанням, що є джерелом шуму і вібрацій, мають бути віддалені або ізольовані таким чином, щоб рівень шуму і вібрації не перевищував максимально допустимі рівні у основних приміщеннях </w:t>
      </w:r>
      <w:r w:rsidRPr="00CA7C54">
        <w:rPr>
          <w:color w:val="000000" w:themeColor="text1"/>
          <w:spacing w:val="4"/>
          <w:sz w:val="21"/>
          <w:szCs w:val="21"/>
        </w:rPr>
        <w:t>захисних споруд та СПП із захисними властивостями сховищ для перебування людей згідно з</w:t>
      </w:r>
    </w:p>
    <w:p w14:paraId="159ADA11" w14:textId="57391EA6" w:rsidR="003C4E04" w:rsidRPr="00CA7C54" w:rsidRDefault="00521B72" w:rsidP="002921D7">
      <w:pPr>
        <w:pBdr>
          <w:top w:val="nil"/>
          <w:left w:val="nil"/>
          <w:bottom w:val="nil"/>
          <w:right w:val="nil"/>
          <w:between w:val="nil"/>
        </w:pBdr>
        <w:spacing w:before="0" w:line="288" w:lineRule="auto"/>
        <w:ind w:firstLine="0"/>
        <w:contextualSpacing/>
        <w:rPr>
          <w:rFonts w:eastAsia="Times New Roman"/>
          <w:color w:val="000000" w:themeColor="text1"/>
          <w:sz w:val="21"/>
          <w:szCs w:val="21"/>
        </w:rPr>
      </w:pPr>
      <w:hyperlink r:id="rId267" w:history="1">
        <w:r w:rsidR="001E748C" w:rsidRPr="00521B72">
          <w:rPr>
            <w:rStyle w:val="ac"/>
            <w:rFonts w:cs="Arial"/>
            <w:sz w:val="21"/>
            <w:szCs w:val="21"/>
          </w:rPr>
          <w:t>ДБН В.1.1-31</w:t>
        </w:r>
      </w:hyperlink>
      <w:r w:rsidR="001E748C" w:rsidRPr="00CA7C54">
        <w:rPr>
          <w:color w:val="000000" w:themeColor="text1"/>
          <w:sz w:val="21"/>
          <w:szCs w:val="21"/>
        </w:rPr>
        <w:t>, ДСП-173 та ДСН 463.</w:t>
      </w:r>
    </w:p>
    <w:p w14:paraId="70AC7791" w14:textId="66FCE99A"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12.3</w:t>
      </w:r>
      <w:r w:rsidRPr="00CA7C54">
        <w:rPr>
          <w:color w:val="000000" w:themeColor="text1"/>
          <w:sz w:val="21"/>
          <w:szCs w:val="21"/>
        </w:rPr>
        <w:t xml:space="preserve"> Безпеку перебування людей у основних приміщеннях захисних споруд та СПП забезпечують санітарно-епідеміологічними та мікрокліматичними умовами згідно з вимогами</w:t>
      </w:r>
      <w:r w:rsidRPr="00CA7C54">
        <w:rPr>
          <w:color w:val="000000" w:themeColor="text1"/>
          <w:sz w:val="21"/>
          <w:szCs w:val="21"/>
        </w:rPr>
        <w:br/>
      </w:r>
      <w:hyperlink r:id="rId268" w:history="1">
        <w:r w:rsidRPr="00521B72">
          <w:rPr>
            <w:rStyle w:val="ac"/>
            <w:rFonts w:cs="Arial"/>
            <w:sz w:val="21"/>
            <w:szCs w:val="21"/>
          </w:rPr>
          <w:t>ДБН В.1.2-8</w:t>
        </w:r>
      </w:hyperlink>
      <w:r w:rsidRPr="00CA7C54">
        <w:rPr>
          <w:color w:val="000000" w:themeColor="text1"/>
          <w:sz w:val="21"/>
          <w:szCs w:val="21"/>
        </w:rPr>
        <w:t>, а саме: </w:t>
      </w:r>
    </w:p>
    <w:p w14:paraId="2373FB20" w14:textId="77777777" w:rsidR="003C4E04" w:rsidRPr="00CA7C54" w:rsidRDefault="00C7348B" w:rsidP="00442FAF">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lastRenderedPageBreak/>
        <w:t xml:space="preserve">- </w:t>
      </w:r>
      <w:r w:rsidR="001E748C" w:rsidRPr="00CA7C54">
        <w:rPr>
          <w:color w:val="000000" w:themeColor="text1"/>
          <w:sz w:val="21"/>
          <w:szCs w:val="21"/>
        </w:rPr>
        <w:t>відсутністю шкідливих речовин у повітрі вище гігієнічних регламентів допустимого вмісту хімічних і біологічних речовин у повітрі робочої зони згідно з [25];</w:t>
      </w:r>
    </w:p>
    <w:p w14:paraId="3375C16F" w14:textId="51CDFBD3" w:rsidR="003C4E04" w:rsidRPr="00CA7C54" w:rsidRDefault="00C7348B" w:rsidP="00442FAF">
      <w:pPr>
        <w:pBdr>
          <w:top w:val="nil"/>
          <w:left w:val="nil"/>
          <w:bottom w:val="nil"/>
          <w:right w:val="nil"/>
          <w:between w:val="nil"/>
        </w:pBdr>
        <w:spacing w:before="0" w:line="288" w:lineRule="auto"/>
        <w:contextualSpacing/>
        <w:rPr>
          <w:rFonts w:eastAsia="Times New Roman"/>
          <w:color w:val="000000" w:themeColor="text1"/>
          <w:spacing w:val="-4"/>
          <w:sz w:val="21"/>
          <w:szCs w:val="21"/>
        </w:rPr>
      </w:pPr>
      <w:r>
        <w:rPr>
          <w:color w:val="000000" w:themeColor="text1"/>
          <w:spacing w:val="-4"/>
          <w:sz w:val="21"/>
          <w:szCs w:val="21"/>
        </w:rPr>
        <w:t xml:space="preserve">- </w:t>
      </w:r>
      <w:r w:rsidR="001E748C" w:rsidRPr="00CA7C54">
        <w:rPr>
          <w:color w:val="000000" w:themeColor="text1"/>
          <w:spacing w:val="-4"/>
          <w:sz w:val="21"/>
          <w:szCs w:val="21"/>
        </w:rPr>
        <w:t xml:space="preserve">мінімальним виділенням теплоти та вологи до приміщень згідно з ДСН 3.3.6.042, </w:t>
      </w:r>
      <w:r w:rsidR="000A4DF5">
        <w:rPr>
          <w:color w:val="000000" w:themeColor="text1"/>
          <w:spacing w:val="-4"/>
          <w:sz w:val="21"/>
          <w:szCs w:val="21"/>
        </w:rPr>
        <w:t xml:space="preserve">                 </w:t>
      </w:r>
      <w:hyperlink r:id="rId269" w:history="1">
        <w:r w:rsidR="001E748C" w:rsidRPr="00521B72">
          <w:rPr>
            <w:rStyle w:val="ac"/>
            <w:rFonts w:cs="Arial"/>
            <w:spacing w:val="-4"/>
            <w:sz w:val="21"/>
            <w:szCs w:val="21"/>
          </w:rPr>
          <w:t>ДБН В.2.5-67</w:t>
        </w:r>
      </w:hyperlink>
      <w:r w:rsidR="001E748C" w:rsidRPr="00CA7C54">
        <w:rPr>
          <w:color w:val="000000" w:themeColor="text1"/>
          <w:spacing w:val="-4"/>
          <w:sz w:val="21"/>
          <w:szCs w:val="21"/>
        </w:rPr>
        <w:t>; </w:t>
      </w:r>
    </w:p>
    <w:p w14:paraId="478A8BC0" w14:textId="7E2B0FFF" w:rsidR="003C4E04" w:rsidRPr="00CA7C54" w:rsidRDefault="00C7348B"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відсутністю вище допустимих значень шуму, вібрації, рівня ультразвуку, електромагнітних хвиль, радіочастот, статичної електрики та іонізуючих випромінювань згідно з  ДСП 173, </w:t>
      </w:r>
      <w:r w:rsidR="001E748C" w:rsidRPr="00CA7C54">
        <w:rPr>
          <w:color w:val="000000" w:themeColor="text1"/>
          <w:sz w:val="21"/>
          <w:szCs w:val="21"/>
          <w:highlight w:val="white"/>
        </w:rPr>
        <w:t>ДСН 643,</w:t>
      </w:r>
      <w:r w:rsidR="001E748C" w:rsidRPr="00CA7C54">
        <w:rPr>
          <w:color w:val="000000" w:themeColor="text1"/>
          <w:sz w:val="21"/>
          <w:szCs w:val="21"/>
        </w:rPr>
        <w:t xml:space="preserve"> ДСН 239, </w:t>
      </w:r>
      <w:r w:rsidR="001E748C" w:rsidRPr="00CA7C54">
        <w:rPr>
          <w:color w:val="000000" w:themeColor="text1"/>
          <w:sz w:val="21"/>
          <w:szCs w:val="21"/>
          <w:highlight w:val="white"/>
        </w:rPr>
        <w:t xml:space="preserve">ДСН 3.3.6.096, </w:t>
      </w:r>
      <w:hyperlink r:id="rId270" w:history="1">
        <w:r w:rsidR="001E748C" w:rsidRPr="00521B72">
          <w:rPr>
            <w:rStyle w:val="ac"/>
            <w:rFonts w:cs="Arial"/>
            <w:sz w:val="21"/>
            <w:szCs w:val="21"/>
          </w:rPr>
          <w:t>ДБН В.1.1-31</w:t>
        </w:r>
      </w:hyperlink>
      <w:r w:rsidR="001E748C" w:rsidRPr="00CA7C54">
        <w:rPr>
          <w:color w:val="000000" w:themeColor="text1"/>
          <w:sz w:val="21"/>
          <w:szCs w:val="21"/>
        </w:rPr>
        <w:t>.</w:t>
      </w:r>
    </w:p>
    <w:p w14:paraId="29202915" w14:textId="77777777" w:rsidR="003C4E04" w:rsidRPr="00CA7C54" w:rsidRDefault="001E748C" w:rsidP="00442FAF">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Захист від повітряного та структурного шуму</w:t>
      </w:r>
    </w:p>
    <w:p w14:paraId="51D4C66C" w14:textId="31C3D20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12.4</w:t>
      </w:r>
      <w:r w:rsidRPr="00CA7C54">
        <w:rPr>
          <w:color w:val="000000" w:themeColor="text1"/>
          <w:sz w:val="21"/>
          <w:szCs w:val="21"/>
        </w:rPr>
        <w:t xml:space="preserve"> За наявності джерела шуму відстань до основних приміщень захисних споруд та СПП  звукоізоляцію слід визначати розрахунком згідно з </w:t>
      </w:r>
      <w:hyperlink r:id="rId271" w:history="1">
        <w:r w:rsidRPr="00521B72">
          <w:rPr>
            <w:rStyle w:val="ac"/>
            <w:rFonts w:cs="Arial"/>
            <w:sz w:val="21"/>
            <w:szCs w:val="21"/>
          </w:rPr>
          <w:t>ДБН В.1.1-31</w:t>
        </w:r>
      </w:hyperlink>
      <w:r w:rsidRPr="00CA7C54">
        <w:rPr>
          <w:color w:val="000000" w:themeColor="text1"/>
          <w:sz w:val="21"/>
          <w:szCs w:val="21"/>
        </w:rPr>
        <w:t>.</w:t>
      </w:r>
    </w:p>
    <w:p w14:paraId="6ACCF51F" w14:textId="0FA0380F"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12.5</w:t>
      </w:r>
      <w:r w:rsidRPr="00CA7C54">
        <w:rPr>
          <w:color w:val="000000" w:themeColor="text1"/>
          <w:sz w:val="21"/>
          <w:szCs w:val="21"/>
        </w:rPr>
        <w:t xml:space="preserve"> Проєктування захисних споруд та СПП повинно передбачати заходи захисту від зовнішніх та внутрішніх джерел акустичної енергії згідно з </w:t>
      </w:r>
      <w:hyperlink r:id="rId272" w:history="1">
        <w:r w:rsidRPr="00521B72">
          <w:rPr>
            <w:rStyle w:val="ac"/>
            <w:rFonts w:cs="Arial"/>
            <w:sz w:val="21"/>
            <w:szCs w:val="21"/>
          </w:rPr>
          <w:t>ДБН В.2.5-39,</w:t>
        </w:r>
      </w:hyperlink>
      <w:r w:rsidRPr="00CA7C54">
        <w:rPr>
          <w:color w:val="000000" w:themeColor="text1"/>
          <w:sz w:val="21"/>
          <w:szCs w:val="21"/>
        </w:rPr>
        <w:t xml:space="preserve"> </w:t>
      </w:r>
      <w:hyperlink r:id="rId273" w:history="1">
        <w:r w:rsidRPr="00521B72">
          <w:rPr>
            <w:rStyle w:val="ac"/>
            <w:rFonts w:cs="Arial"/>
            <w:sz w:val="21"/>
            <w:szCs w:val="21"/>
          </w:rPr>
          <w:t>ДБН В.2.5-64</w:t>
        </w:r>
      </w:hyperlink>
      <w:r w:rsidRPr="00CA7C54">
        <w:rPr>
          <w:color w:val="000000" w:themeColor="text1"/>
          <w:sz w:val="21"/>
          <w:szCs w:val="21"/>
        </w:rPr>
        <w:t>,</w:t>
      </w:r>
      <w:r w:rsidRPr="00CA7C54">
        <w:rPr>
          <w:color w:val="000000" w:themeColor="text1"/>
          <w:sz w:val="21"/>
          <w:szCs w:val="21"/>
        </w:rPr>
        <w:br/>
      </w:r>
      <w:hyperlink r:id="rId274" w:history="1">
        <w:r w:rsidRPr="00521B72">
          <w:rPr>
            <w:rStyle w:val="ac"/>
            <w:rFonts w:cs="Arial"/>
            <w:sz w:val="21"/>
            <w:szCs w:val="21"/>
          </w:rPr>
          <w:t>ДБН В.2.5-67</w:t>
        </w:r>
      </w:hyperlink>
      <w:r w:rsidRPr="00CA7C54">
        <w:rPr>
          <w:color w:val="000000" w:themeColor="text1"/>
          <w:sz w:val="21"/>
          <w:szCs w:val="21"/>
        </w:rPr>
        <w:t>.</w:t>
      </w:r>
    </w:p>
    <w:p w14:paraId="53E4A8F0" w14:textId="0FD920D5"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12.6</w:t>
      </w:r>
      <w:r w:rsidRPr="00CA7C54">
        <w:rPr>
          <w:color w:val="000000" w:themeColor="text1"/>
          <w:sz w:val="21"/>
          <w:szCs w:val="21"/>
        </w:rPr>
        <w:t xml:space="preserve"> Допустимі рівні звуків та звукових тисків в приміщеннях захисних споруд та СПП  на прилеглих до них територіях наведені у </w:t>
      </w:r>
      <w:hyperlink r:id="rId275" w:history="1">
        <w:r w:rsidRPr="00521B72">
          <w:rPr>
            <w:rStyle w:val="ac"/>
            <w:rFonts w:cs="Arial"/>
            <w:sz w:val="21"/>
            <w:szCs w:val="21"/>
          </w:rPr>
          <w:t>ДБН В.1.1-31</w:t>
        </w:r>
      </w:hyperlink>
      <w:r w:rsidR="00C7348B">
        <w:rPr>
          <w:color w:val="000000" w:themeColor="text1"/>
          <w:sz w:val="21"/>
          <w:szCs w:val="21"/>
        </w:rPr>
        <w:t>.</w:t>
      </w:r>
    </w:p>
    <w:p w14:paraId="0631D0A3"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12.7</w:t>
      </w:r>
      <w:r w:rsidRPr="00CA7C54">
        <w:rPr>
          <w:color w:val="000000" w:themeColor="text1"/>
          <w:sz w:val="21"/>
          <w:szCs w:val="21"/>
        </w:rPr>
        <w:t xml:space="preserve"> Рівні шуму в приміщеннях захисних споруд та СПП повинні відповідати </w:t>
      </w:r>
      <w:r w:rsidRPr="00CA7C54">
        <w:rPr>
          <w:color w:val="000000" w:themeColor="text1"/>
          <w:sz w:val="21"/>
          <w:szCs w:val="21"/>
          <w:highlight w:val="white"/>
        </w:rPr>
        <w:t>ДСН 3.3.6.037.</w:t>
      </w:r>
      <w:r w:rsidRPr="00CA7C54">
        <w:rPr>
          <w:color w:val="000000" w:themeColor="text1"/>
          <w:sz w:val="21"/>
          <w:szCs w:val="21"/>
        </w:rPr>
        <w:t> </w:t>
      </w:r>
    </w:p>
    <w:p w14:paraId="401DC1B3" w14:textId="3EBBFAC8"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pacing w:val="12"/>
          <w:sz w:val="21"/>
          <w:szCs w:val="21"/>
        </w:rPr>
      </w:pPr>
      <w:r w:rsidRPr="00CA7C54">
        <w:rPr>
          <w:b/>
          <w:color w:val="000000" w:themeColor="text1"/>
          <w:sz w:val="21"/>
          <w:szCs w:val="21"/>
        </w:rPr>
        <w:t>12.8</w:t>
      </w:r>
      <w:r w:rsidRPr="00CA7C54">
        <w:rPr>
          <w:color w:val="000000" w:themeColor="text1"/>
          <w:sz w:val="21"/>
          <w:szCs w:val="21"/>
        </w:rPr>
        <w:t xml:space="preserve"> Достатність запланованих заходів захисту від шуму повинна бути доведена розрахунками очікуваних рівнів звуку та/або рівнів звукових тисків в октавних смугах в приміщеннях </w:t>
      </w:r>
      <w:r w:rsidRPr="00CA7C54">
        <w:rPr>
          <w:color w:val="000000" w:themeColor="text1"/>
          <w:spacing w:val="12"/>
          <w:sz w:val="21"/>
          <w:szCs w:val="21"/>
        </w:rPr>
        <w:t xml:space="preserve">будівлі та на прилеглій до нього території згідно з: </w:t>
      </w:r>
      <w:hyperlink r:id="rId276" w:history="1">
        <w:r w:rsidRPr="00521B72">
          <w:rPr>
            <w:rStyle w:val="ac"/>
            <w:rFonts w:cs="Arial"/>
            <w:spacing w:val="12"/>
            <w:sz w:val="21"/>
            <w:szCs w:val="21"/>
          </w:rPr>
          <w:t>ДБН В.1.1-31</w:t>
        </w:r>
      </w:hyperlink>
      <w:r w:rsidRPr="00CA7C54">
        <w:rPr>
          <w:color w:val="000000" w:themeColor="text1"/>
          <w:spacing w:val="12"/>
          <w:sz w:val="21"/>
          <w:szCs w:val="21"/>
        </w:rPr>
        <w:t>,</w:t>
      </w:r>
      <w:r w:rsidR="00521B72">
        <w:rPr>
          <w:color w:val="000000" w:themeColor="text1"/>
          <w:spacing w:val="12"/>
          <w:sz w:val="21"/>
          <w:szCs w:val="21"/>
        </w:rPr>
        <w:t xml:space="preserve">        </w:t>
      </w:r>
      <w:r w:rsidRPr="00CA7C54">
        <w:rPr>
          <w:color w:val="000000" w:themeColor="text1"/>
          <w:spacing w:val="12"/>
          <w:sz w:val="21"/>
          <w:szCs w:val="21"/>
        </w:rPr>
        <w:t xml:space="preserve"> </w:t>
      </w:r>
      <w:hyperlink r:id="rId277" w:history="1">
        <w:r w:rsidRPr="00521B72">
          <w:rPr>
            <w:rStyle w:val="ac"/>
            <w:rFonts w:cs="Arial"/>
            <w:spacing w:val="12"/>
            <w:sz w:val="21"/>
            <w:szCs w:val="21"/>
          </w:rPr>
          <w:t>ДСТУ-Н Б В.1.1-32</w:t>
        </w:r>
      </w:hyperlink>
      <w:r w:rsidRPr="00CA7C54">
        <w:rPr>
          <w:color w:val="000000" w:themeColor="text1"/>
          <w:spacing w:val="12"/>
          <w:sz w:val="21"/>
          <w:szCs w:val="21"/>
        </w:rPr>
        <w:t xml:space="preserve">, </w:t>
      </w:r>
      <w:hyperlink r:id="rId278" w:history="1">
        <w:r w:rsidRPr="003A0EDE">
          <w:rPr>
            <w:rStyle w:val="ac"/>
            <w:rFonts w:cs="Arial"/>
            <w:spacing w:val="12"/>
            <w:sz w:val="21"/>
            <w:szCs w:val="21"/>
          </w:rPr>
          <w:t>ДСТУ-Н Б В.1.1-33</w:t>
        </w:r>
      </w:hyperlink>
      <w:r w:rsidRPr="00CA7C54">
        <w:rPr>
          <w:color w:val="000000" w:themeColor="text1"/>
          <w:spacing w:val="12"/>
          <w:sz w:val="21"/>
          <w:szCs w:val="21"/>
        </w:rPr>
        <w:t xml:space="preserve">, </w:t>
      </w:r>
      <w:hyperlink r:id="rId279" w:history="1">
        <w:r w:rsidRPr="003A0EDE">
          <w:rPr>
            <w:rStyle w:val="ac"/>
            <w:rFonts w:cs="Arial"/>
            <w:spacing w:val="12"/>
            <w:sz w:val="21"/>
            <w:szCs w:val="21"/>
            <w:highlight w:val="white"/>
          </w:rPr>
          <w:t>ДСТУ-Н Б В.1.1-34</w:t>
        </w:r>
      </w:hyperlink>
      <w:r w:rsidRPr="00CA7C54">
        <w:rPr>
          <w:color w:val="000000" w:themeColor="text1"/>
          <w:spacing w:val="12"/>
          <w:sz w:val="21"/>
          <w:szCs w:val="21"/>
          <w:highlight w:val="white"/>
        </w:rPr>
        <w:t>,</w:t>
      </w:r>
      <w:r w:rsidRPr="00CA7C54">
        <w:rPr>
          <w:color w:val="000000" w:themeColor="text1"/>
          <w:spacing w:val="12"/>
          <w:sz w:val="21"/>
          <w:szCs w:val="21"/>
        </w:rPr>
        <w:t xml:space="preserve"> </w:t>
      </w:r>
      <w:hyperlink r:id="rId280" w:history="1">
        <w:r w:rsidRPr="003A0EDE">
          <w:rPr>
            <w:rStyle w:val="ac"/>
            <w:rFonts w:cs="Arial"/>
            <w:spacing w:val="12"/>
            <w:sz w:val="21"/>
            <w:szCs w:val="21"/>
          </w:rPr>
          <w:t>ДСТУ-Н Б В.1.1-35</w:t>
        </w:r>
      </w:hyperlink>
      <w:r w:rsidRPr="00CA7C54">
        <w:rPr>
          <w:color w:val="000000" w:themeColor="text1"/>
          <w:spacing w:val="12"/>
          <w:sz w:val="21"/>
          <w:szCs w:val="21"/>
        </w:rPr>
        <w:t>, ДСП 173 та ДСН 463. </w:t>
      </w:r>
    </w:p>
    <w:p w14:paraId="509CCA9D" w14:textId="77777777" w:rsidR="003C4E04" w:rsidRPr="00CA7C54" w:rsidRDefault="001E748C" w:rsidP="00442FAF">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Захист від вібрації</w:t>
      </w:r>
    </w:p>
    <w:p w14:paraId="2A15DA07"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12.9</w:t>
      </w:r>
      <w:r w:rsidRPr="00CA7C54">
        <w:rPr>
          <w:color w:val="000000" w:themeColor="text1"/>
          <w:sz w:val="21"/>
          <w:szCs w:val="21"/>
        </w:rPr>
        <w:t xml:space="preserve"> Проєктування захисних споруд та СПП повинно передбачати заходи захисту від зовнішніх та внутрішніх джерел вібрації приміщень.</w:t>
      </w:r>
    </w:p>
    <w:p w14:paraId="235A1516"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12.10</w:t>
      </w:r>
      <w:r w:rsidRPr="00CA7C54">
        <w:rPr>
          <w:color w:val="000000" w:themeColor="text1"/>
          <w:sz w:val="21"/>
          <w:szCs w:val="21"/>
        </w:rPr>
        <w:t xml:space="preserve"> Рівні вібрації на прилеглих до захисних споруд та СПП  територіях не повинні викликати порушення цілісності огороджувальних конструкцій будівель на протязі терміну їх  експлуатації.</w:t>
      </w:r>
    </w:p>
    <w:p w14:paraId="51E7BEF7"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12.11</w:t>
      </w:r>
      <w:r w:rsidRPr="00CA7C54">
        <w:rPr>
          <w:color w:val="000000" w:themeColor="text1"/>
          <w:sz w:val="21"/>
          <w:szCs w:val="21"/>
        </w:rPr>
        <w:t> Рівні вібрації на прилеглих до захисних споруд та СПП  територіях повинні забезпечувати допустимі рівні вібрації в їх приміщеннях за</w:t>
      </w:r>
      <w:r w:rsidRPr="00CA7C54">
        <w:rPr>
          <w:color w:val="000000" w:themeColor="text1"/>
          <w:sz w:val="21"/>
          <w:szCs w:val="21"/>
          <w:highlight w:val="white"/>
        </w:rPr>
        <w:t xml:space="preserve"> ДСН 3.3.6.039 </w:t>
      </w:r>
      <w:r w:rsidRPr="00CA7C54">
        <w:rPr>
          <w:color w:val="000000" w:themeColor="text1"/>
          <w:sz w:val="21"/>
          <w:szCs w:val="21"/>
        </w:rPr>
        <w:t>та ДСП 173.</w:t>
      </w:r>
    </w:p>
    <w:p w14:paraId="4295D8A1"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12.12</w:t>
      </w:r>
      <w:r w:rsidRPr="00CA7C54">
        <w:rPr>
          <w:color w:val="000000" w:themeColor="text1"/>
          <w:sz w:val="21"/>
          <w:szCs w:val="21"/>
        </w:rPr>
        <w:t> Тривалість впливу вібрації обґрунтовується розрахунком або підтверджується технічною документацією.</w:t>
      </w:r>
    </w:p>
    <w:p w14:paraId="09A47C99" w14:textId="77777777" w:rsidR="003C4E04" w:rsidRPr="00CA7C54" w:rsidRDefault="001E748C" w:rsidP="00442FAF">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Природнє та штучне освітлення </w:t>
      </w:r>
    </w:p>
    <w:p w14:paraId="064CA079" w14:textId="46A63A29"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12.13</w:t>
      </w:r>
      <w:r w:rsidRPr="00CA7C54">
        <w:rPr>
          <w:color w:val="000000" w:themeColor="text1"/>
          <w:sz w:val="21"/>
          <w:szCs w:val="21"/>
        </w:rPr>
        <w:t xml:space="preserve"> Загальні вимоги з природнього та штучного освітлення приміщень захисних споруд та </w:t>
      </w:r>
      <w:r w:rsidRPr="00CA7C54">
        <w:rPr>
          <w:color w:val="000000" w:themeColor="text1"/>
          <w:spacing w:val="-4"/>
          <w:sz w:val="21"/>
          <w:szCs w:val="21"/>
        </w:rPr>
        <w:t xml:space="preserve">СПП слід приймати за </w:t>
      </w:r>
      <w:hyperlink r:id="rId281" w:history="1">
        <w:r w:rsidRPr="003A0EDE">
          <w:rPr>
            <w:rStyle w:val="ac"/>
            <w:rFonts w:cs="Arial"/>
            <w:spacing w:val="-4"/>
            <w:sz w:val="21"/>
            <w:szCs w:val="21"/>
          </w:rPr>
          <w:t>ДБН В.2.2-9</w:t>
        </w:r>
      </w:hyperlink>
      <w:r w:rsidRPr="00CA7C54">
        <w:rPr>
          <w:color w:val="000000" w:themeColor="text1"/>
          <w:spacing w:val="-4"/>
          <w:sz w:val="21"/>
          <w:szCs w:val="21"/>
        </w:rPr>
        <w:t xml:space="preserve">, </w:t>
      </w:r>
      <w:hyperlink r:id="rId282" w:history="1">
        <w:r w:rsidRPr="003A0EDE">
          <w:rPr>
            <w:rStyle w:val="ac"/>
            <w:rFonts w:cs="Arial"/>
            <w:spacing w:val="-4"/>
            <w:sz w:val="21"/>
            <w:szCs w:val="21"/>
          </w:rPr>
          <w:t>ДБН В.2.5-28</w:t>
        </w:r>
      </w:hyperlink>
      <w:r w:rsidRPr="00CA7C54">
        <w:rPr>
          <w:color w:val="000000" w:themeColor="text1"/>
          <w:spacing w:val="-4"/>
          <w:sz w:val="21"/>
          <w:szCs w:val="21"/>
        </w:rPr>
        <w:t xml:space="preserve">, </w:t>
      </w:r>
      <w:hyperlink r:id="rId283" w:history="1">
        <w:r w:rsidRPr="003A0EDE">
          <w:rPr>
            <w:rStyle w:val="ac"/>
            <w:rFonts w:cs="Arial"/>
            <w:spacing w:val="-4"/>
            <w:sz w:val="21"/>
            <w:szCs w:val="21"/>
          </w:rPr>
          <w:t>ДБН В.2.2-3</w:t>
        </w:r>
      </w:hyperlink>
      <w:r w:rsidRPr="00CA7C54">
        <w:rPr>
          <w:color w:val="000000" w:themeColor="text1"/>
          <w:spacing w:val="-4"/>
          <w:sz w:val="21"/>
          <w:szCs w:val="21"/>
        </w:rPr>
        <w:t xml:space="preserve">, </w:t>
      </w:r>
      <w:hyperlink r:id="rId284" w:history="1">
        <w:r w:rsidRPr="003A0EDE">
          <w:rPr>
            <w:rStyle w:val="ac"/>
            <w:rFonts w:cs="Arial"/>
            <w:spacing w:val="-4"/>
            <w:sz w:val="21"/>
            <w:szCs w:val="21"/>
          </w:rPr>
          <w:t>ДБН В.2.2-4</w:t>
        </w:r>
      </w:hyperlink>
      <w:r w:rsidRPr="00CA7C54">
        <w:rPr>
          <w:color w:val="000000" w:themeColor="text1"/>
          <w:spacing w:val="-4"/>
          <w:sz w:val="21"/>
          <w:szCs w:val="21"/>
        </w:rPr>
        <w:t xml:space="preserve">, </w:t>
      </w:r>
      <w:hyperlink r:id="rId285" w:history="1">
        <w:r w:rsidRPr="003A0EDE">
          <w:rPr>
            <w:rStyle w:val="ac"/>
            <w:rFonts w:cs="Arial"/>
            <w:spacing w:val="-4"/>
            <w:sz w:val="21"/>
            <w:szCs w:val="21"/>
          </w:rPr>
          <w:t>ДБН В.2.2-</w:t>
        </w:r>
        <w:r w:rsidR="003A0EDE" w:rsidRPr="003A0EDE">
          <w:rPr>
            <w:rStyle w:val="ac"/>
            <w:rFonts w:cs="Arial"/>
            <w:spacing w:val="-4"/>
            <w:sz w:val="21"/>
            <w:szCs w:val="21"/>
          </w:rPr>
          <w:t>10</w:t>
        </w:r>
      </w:hyperlink>
      <w:r w:rsidRPr="00CA7C54">
        <w:rPr>
          <w:color w:val="000000" w:themeColor="text1"/>
          <w:spacing w:val="-4"/>
          <w:sz w:val="21"/>
          <w:szCs w:val="21"/>
        </w:rPr>
        <w:t>,</w:t>
      </w:r>
      <w:r w:rsidR="000A4DF5">
        <w:rPr>
          <w:color w:val="000000" w:themeColor="text1"/>
          <w:spacing w:val="-4"/>
          <w:sz w:val="21"/>
          <w:szCs w:val="21"/>
        </w:rPr>
        <w:t xml:space="preserve">                 </w:t>
      </w:r>
      <w:r w:rsidRPr="00CA7C54">
        <w:rPr>
          <w:color w:val="000000" w:themeColor="text1"/>
          <w:spacing w:val="-4"/>
          <w:sz w:val="21"/>
          <w:szCs w:val="21"/>
        </w:rPr>
        <w:t xml:space="preserve"> </w:t>
      </w:r>
      <w:r w:rsidRPr="00CA7C54">
        <w:rPr>
          <w:color w:val="000000" w:themeColor="text1"/>
          <w:sz w:val="21"/>
          <w:szCs w:val="21"/>
        </w:rPr>
        <w:t xml:space="preserve"> та СР 234, СР 2205, ДСанПіН №144, ДСанПіН № 354, ДСП 173.</w:t>
      </w:r>
    </w:p>
    <w:p w14:paraId="44B4FFD9" w14:textId="77777777" w:rsidR="003C4E04" w:rsidRPr="00CA7C54" w:rsidRDefault="001E748C" w:rsidP="00442FAF">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Радіаційна безпека</w:t>
      </w:r>
    </w:p>
    <w:p w14:paraId="6EC80304"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12.1</w:t>
      </w:r>
      <w:r w:rsidR="00A53FDA">
        <w:rPr>
          <w:b/>
          <w:color w:val="000000" w:themeColor="text1"/>
          <w:sz w:val="21"/>
          <w:szCs w:val="21"/>
        </w:rPr>
        <w:t>4</w:t>
      </w:r>
      <w:r w:rsidRPr="00CA7C54">
        <w:rPr>
          <w:color w:val="000000" w:themeColor="text1"/>
          <w:sz w:val="21"/>
          <w:szCs w:val="21"/>
          <w:highlight w:val="white"/>
        </w:rPr>
        <w:t>При проєктуванні захисних споруд та СПП слід передбачати заходи щодо радіаційної безпеки відповідно до Додатк</w:t>
      </w:r>
      <w:r w:rsidR="004A0D6E" w:rsidRPr="00CA7C54">
        <w:rPr>
          <w:color w:val="000000" w:themeColor="text1"/>
          <w:sz w:val="21"/>
          <w:szCs w:val="21"/>
          <w:highlight w:val="white"/>
        </w:rPr>
        <w:t>а</w:t>
      </w:r>
      <w:r w:rsidRPr="00CA7C54">
        <w:rPr>
          <w:color w:val="000000" w:themeColor="text1"/>
          <w:sz w:val="21"/>
          <w:szCs w:val="21"/>
          <w:highlight w:val="white"/>
        </w:rPr>
        <w:t xml:space="preserve"> А та Додатк</w:t>
      </w:r>
      <w:r w:rsidR="004A0D6E" w:rsidRPr="00CA7C54">
        <w:rPr>
          <w:color w:val="000000" w:themeColor="text1"/>
          <w:sz w:val="21"/>
          <w:szCs w:val="21"/>
          <w:highlight w:val="white"/>
        </w:rPr>
        <w:t>а</w:t>
      </w:r>
      <w:r w:rsidRPr="00CA7C54">
        <w:rPr>
          <w:color w:val="000000" w:themeColor="text1"/>
          <w:sz w:val="21"/>
          <w:szCs w:val="21"/>
          <w:highlight w:val="white"/>
        </w:rPr>
        <w:t xml:space="preserve"> Г цих </w:t>
      </w:r>
      <w:r w:rsidR="004A0D6E" w:rsidRPr="00CA7C54">
        <w:rPr>
          <w:color w:val="000000" w:themeColor="text1"/>
          <w:sz w:val="21"/>
          <w:szCs w:val="21"/>
          <w:highlight w:val="white"/>
        </w:rPr>
        <w:t>н</w:t>
      </w:r>
      <w:r w:rsidRPr="00CA7C54">
        <w:rPr>
          <w:color w:val="000000" w:themeColor="text1"/>
          <w:sz w:val="21"/>
          <w:szCs w:val="21"/>
          <w:highlight w:val="white"/>
        </w:rPr>
        <w:t>орм.</w:t>
      </w:r>
    </w:p>
    <w:p w14:paraId="0A28B2D5" w14:textId="198E219A"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highlight w:val="white"/>
        </w:rPr>
        <w:t>12.1</w:t>
      </w:r>
      <w:r w:rsidR="00A53FDA">
        <w:rPr>
          <w:b/>
          <w:color w:val="000000" w:themeColor="text1"/>
          <w:sz w:val="21"/>
          <w:szCs w:val="21"/>
          <w:highlight w:val="white"/>
        </w:rPr>
        <w:t>5</w:t>
      </w:r>
      <w:r w:rsidRPr="00CA7C54">
        <w:rPr>
          <w:color w:val="000000" w:themeColor="text1"/>
          <w:sz w:val="21"/>
          <w:szCs w:val="21"/>
          <w:highlight w:val="white"/>
        </w:rPr>
        <w:t xml:space="preserve"> Параметри мік</w:t>
      </w:r>
      <w:r w:rsidRPr="00CA7C54">
        <w:rPr>
          <w:color w:val="000000" w:themeColor="text1"/>
          <w:sz w:val="21"/>
          <w:szCs w:val="21"/>
        </w:rPr>
        <w:t xml:space="preserve">роклімату приміщень захисних споруд слід приймати з урахуванням </w:t>
      </w:r>
      <w:r w:rsidRPr="00CA7C54">
        <w:rPr>
          <w:color w:val="000000" w:themeColor="text1"/>
          <w:sz w:val="21"/>
          <w:szCs w:val="21"/>
          <w:highlight w:val="white"/>
        </w:rPr>
        <w:t xml:space="preserve">11.2 цих </w:t>
      </w:r>
      <w:r w:rsidR="004A0D6E" w:rsidRPr="00CA7C54">
        <w:rPr>
          <w:color w:val="000000" w:themeColor="text1"/>
          <w:sz w:val="21"/>
          <w:szCs w:val="21"/>
          <w:highlight w:val="white"/>
        </w:rPr>
        <w:t>н</w:t>
      </w:r>
      <w:r w:rsidRPr="00CA7C54">
        <w:rPr>
          <w:color w:val="000000" w:themeColor="text1"/>
          <w:sz w:val="21"/>
          <w:szCs w:val="21"/>
          <w:highlight w:val="white"/>
        </w:rPr>
        <w:t>орм</w:t>
      </w:r>
      <w:r w:rsidR="004A0D6E" w:rsidRPr="00CA7C54">
        <w:rPr>
          <w:color w:val="000000" w:themeColor="text1"/>
          <w:sz w:val="21"/>
          <w:szCs w:val="21"/>
          <w:highlight w:val="white"/>
        </w:rPr>
        <w:t>,</w:t>
      </w:r>
      <w:r w:rsidRPr="00CA7C54">
        <w:rPr>
          <w:color w:val="000000" w:themeColor="text1"/>
          <w:sz w:val="21"/>
          <w:szCs w:val="21"/>
          <w:highlight w:val="white"/>
        </w:rPr>
        <w:t xml:space="preserve"> положень </w:t>
      </w:r>
      <w:hyperlink r:id="rId286" w:history="1">
        <w:r w:rsidRPr="003A0EDE">
          <w:rPr>
            <w:rStyle w:val="ac"/>
            <w:rFonts w:cs="Arial"/>
            <w:sz w:val="21"/>
            <w:szCs w:val="21"/>
            <w:highlight w:val="white"/>
          </w:rPr>
          <w:t>ДСТУ Б EN 15251</w:t>
        </w:r>
      </w:hyperlink>
      <w:r w:rsidRPr="00CA7C54">
        <w:rPr>
          <w:color w:val="000000" w:themeColor="text1"/>
          <w:sz w:val="21"/>
          <w:szCs w:val="21"/>
          <w:highlight w:val="white"/>
        </w:rPr>
        <w:t xml:space="preserve">,  </w:t>
      </w:r>
      <w:hyperlink r:id="rId287" w:history="1">
        <w:r w:rsidRPr="003A0EDE">
          <w:rPr>
            <w:rStyle w:val="ac"/>
            <w:rFonts w:cs="Arial"/>
            <w:sz w:val="21"/>
            <w:szCs w:val="21"/>
            <w:highlight w:val="white"/>
          </w:rPr>
          <w:t>ДСТУ Б EN ISO 7730</w:t>
        </w:r>
      </w:hyperlink>
      <w:r w:rsidRPr="00CA7C54">
        <w:rPr>
          <w:color w:val="000000" w:themeColor="text1"/>
          <w:sz w:val="21"/>
          <w:szCs w:val="21"/>
          <w:highlight w:val="white"/>
        </w:rPr>
        <w:t xml:space="preserve"> (окрім приміщень, для яких параметри мікроклімату встановлені іншими нормативними документами), а також згідно з санітарними нормами до мікроклімату виробничих приміщень згідно з ДСН 3.3.6.0</w:t>
      </w:r>
      <w:r w:rsidRPr="00CA7C54">
        <w:rPr>
          <w:color w:val="000000" w:themeColor="text1"/>
          <w:sz w:val="21"/>
          <w:szCs w:val="21"/>
        </w:rPr>
        <w:t>42 і санітарно-епідеміологічними вимогами до внутрішнього повітря житлових, громадських та адміністративно-побутових будівель.</w:t>
      </w:r>
    </w:p>
    <w:p w14:paraId="56614AF4"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Обладнання та оздоблення приміщень захисних споруд повинно унеможливлювати появу конденсату, плісняви, грибка, а також забезпечувати підтримання рівня СО</w:t>
      </w:r>
      <w:r w:rsidRPr="00CA7C54">
        <w:rPr>
          <w:color w:val="000000" w:themeColor="text1"/>
          <w:sz w:val="21"/>
          <w:szCs w:val="21"/>
          <w:vertAlign w:val="subscript"/>
        </w:rPr>
        <w:t>2</w:t>
      </w:r>
      <w:r w:rsidRPr="00CA7C54">
        <w:rPr>
          <w:color w:val="000000" w:themeColor="text1"/>
          <w:sz w:val="21"/>
          <w:szCs w:val="21"/>
        </w:rPr>
        <w:t xml:space="preserve"> в повітрі відповідно до вимог діючих нормативних документів.</w:t>
      </w:r>
    </w:p>
    <w:p w14:paraId="6D85479B" w14:textId="77777777" w:rsidR="003C4E04" w:rsidRPr="00CA7C54" w:rsidRDefault="001E748C">
      <w:pPr>
        <w:pStyle w:val="2"/>
        <w:pBdr>
          <w:top w:val="nil"/>
          <w:left w:val="nil"/>
          <w:bottom w:val="nil"/>
          <w:right w:val="nil"/>
          <w:between w:val="nil"/>
        </w:pBdr>
        <w:spacing w:before="120" w:after="0"/>
        <w:rPr>
          <w:rFonts w:ascii="Arial" w:hAnsi="Arial"/>
          <w:color w:val="000000" w:themeColor="text1"/>
          <w:sz w:val="22"/>
          <w:szCs w:val="22"/>
        </w:rPr>
      </w:pPr>
      <w:r w:rsidRPr="00CA7C54">
        <w:rPr>
          <w:rFonts w:ascii="Arial" w:hAnsi="Arial"/>
          <w:color w:val="000000" w:themeColor="text1"/>
          <w:sz w:val="22"/>
          <w:szCs w:val="22"/>
        </w:rPr>
        <w:lastRenderedPageBreak/>
        <w:t>13 </w:t>
      </w:r>
      <w:r w:rsidRPr="00CA7C54">
        <w:rPr>
          <w:rFonts w:ascii="Arial" w:hAnsi="Arial"/>
          <w:color w:val="000000" w:themeColor="text1"/>
          <w:sz w:val="21"/>
          <w:szCs w:val="21"/>
        </w:rPr>
        <w:t>ОСОБЛИВОСТІ ПРО</w:t>
      </w:r>
      <w:r w:rsidR="002921D7" w:rsidRPr="00CA7C54">
        <w:rPr>
          <w:rFonts w:ascii="Arial" w:hAnsi="Arial"/>
          <w:color w:val="000000" w:themeColor="text1"/>
          <w:sz w:val="21"/>
          <w:szCs w:val="21"/>
        </w:rPr>
        <w:t>Є</w:t>
      </w:r>
      <w:r w:rsidRPr="00CA7C54">
        <w:rPr>
          <w:rFonts w:ascii="Arial" w:hAnsi="Arial"/>
          <w:color w:val="000000" w:themeColor="text1"/>
          <w:sz w:val="21"/>
          <w:szCs w:val="21"/>
        </w:rPr>
        <w:t>КТУВАННЯ СХОВИЩ ТА СПП ІЗ ЗАХИСНИМИ ВЛАСТИВОСТЯМИ СХОВИЩ, ЩО РОЗТАШОВАНІ У ЗОНІ МОЖЛИВОГО КАТАСТРОФІЧНОГО ЗАТОПЛЕННЯ</w:t>
      </w:r>
    </w:p>
    <w:p w14:paraId="2D1904C3"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pacing w:val="-4"/>
          <w:sz w:val="21"/>
          <w:szCs w:val="21"/>
        </w:rPr>
      </w:pPr>
      <w:r w:rsidRPr="00CA7C54">
        <w:rPr>
          <w:b/>
          <w:color w:val="000000" w:themeColor="text1"/>
          <w:sz w:val="21"/>
          <w:szCs w:val="21"/>
        </w:rPr>
        <w:t>13.1</w:t>
      </w:r>
      <w:r w:rsidRPr="00CA7C54">
        <w:rPr>
          <w:color w:val="000000" w:themeColor="text1"/>
          <w:sz w:val="21"/>
          <w:szCs w:val="21"/>
        </w:rPr>
        <w:t xml:space="preserve"> Про</w:t>
      </w:r>
      <w:r w:rsidR="002921D7" w:rsidRPr="00CA7C54">
        <w:rPr>
          <w:color w:val="000000" w:themeColor="text1"/>
          <w:sz w:val="21"/>
          <w:szCs w:val="21"/>
        </w:rPr>
        <w:t>є</w:t>
      </w:r>
      <w:r w:rsidRPr="00CA7C54">
        <w:rPr>
          <w:color w:val="000000" w:themeColor="text1"/>
          <w:sz w:val="21"/>
          <w:szCs w:val="21"/>
        </w:rPr>
        <w:t xml:space="preserve">ктування та будівництво сховищ та СПП із захисними властивостями сховищ у </w:t>
      </w:r>
      <w:r w:rsidRPr="00CA7C54">
        <w:rPr>
          <w:color w:val="000000" w:themeColor="text1"/>
          <w:spacing w:val="-4"/>
          <w:sz w:val="21"/>
          <w:szCs w:val="21"/>
        </w:rPr>
        <w:t>зонах катастрофічного затоплення має передбачатися як виняток у разі неможливості забезпечення укриття населення у захисних спорудах (СПП), розташованих поза межами таких зон.</w:t>
      </w:r>
    </w:p>
    <w:p w14:paraId="33D885A2"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Сховища або СПП із захисними властивостями сховищ, розташовані у зоні можливого катастрофічного затоплення, мають задовольняти усім вимогам цих </w:t>
      </w:r>
      <w:r w:rsidR="00CE56BE" w:rsidRPr="00CA7C54">
        <w:rPr>
          <w:color w:val="000000" w:themeColor="text1"/>
          <w:sz w:val="21"/>
          <w:szCs w:val="21"/>
        </w:rPr>
        <w:t>н</w:t>
      </w:r>
      <w:r w:rsidRPr="00CA7C54">
        <w:rPr>
          <w:color w:val="000000" w:themeColor="text1"/>
          <w:sz w:val="21"/>
          <w:szCs w:val="21"/>
        </w:rPr>
        <w:t>орм з урахуванням дії гідравлічного стоку, обумовленого гравітаційними або проривними хвилями.</w:t>
      </w:r>
    </w:p>
    <w:p w14:paraId="148B54B2"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Тривалість затоплення приймається для гравітаційних хвиль  короткочасною – до 2 годин, для проривних хвиль тривалою – більше</w:t>
      </w:r>
      <w:r w:rsidR="00FA1C29" w:rsidRPr="00CA7C54">
        <w:rPr>
          <w:color w:val="000000" w:themeColor="text1"/>
          <w:sz w:val="21"/>
          <w:szCs w:val="21"/>
        </w:rPr>
        <w:t xml:space="preserve"> ніж</w:t>
      </w:r>
      <w:r w:rsidRPr="00CA7C54">
        <w:rPr>
          <w:color w:val="000000" w:themeColor="text1"/>
          <w:sz w:val="21"/>
          <w:szCs w:val="21"/>
        </w:rPr>
        <w:t xml:space="preserve"> 2 годин</w:t>
      </w:r>
      <w:r w:rsidR="00FA1C29" w:rsidRPr="00CA7C54">
        <w:rPr>
          <w:color w:val="000000" w:themeColor="text1"/>
          <w:sz w:val="21"/>
          <w:szCs w:val="21"/>
        </w:rPr>
        <w:t>и</w:t>
      </w:r>
      <w:r w:rsidRPr="00CA7C54">
        <w:rPr>
          <w:color w:val="000000" w:themeColor="text1"/>
          <w:sz w:val="21"/>
          <w:szCs w:val="21"/>
        </w:rPr>
        <w:t>.</w:t>
      </w:r>
    </w:p>
    <w:p w14:paraId="403CF706"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Сховища або СПП із захисними властивостями сховищ у зонах затоплення слід передбачати при розрахунковій глибині води не більше</w:t>
      </w:r>
      <w:r w:rsidR="00FA1C29" w:rsidRPr="00CA7C54">
        <w:rPr>
          <w:color w:val="000000" w:themeColor="text1"/>
          <w:sz w:val="21"/>
          <w:szCs w:val="21"/>
        </w:rPr>
        <w:t xml:space="preserve"> ніж</w:t>
      </w:r>
      <w:r w:rsidRPr="00CA7C54">
        <w:rPr>
          <w:color w:val="000000" w:themeColor="text1"/>
          <w:sz w:val="21"/>
          <w:szCs w:val="21"/>
        </w:rPr>
        <w:t xml:space="preserve"> 5 м. При більших глибинах затоплення слід використовувати інші засоби захисту.</w:t>
      </w:r>
    </w:p>
    <w:p w14:paraId="7DDD6A28"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13.2</w:t>
      </w:r>
      <w:r w:rsidRPr="00CA7C54">
        <w:rPr>
          <w:color w:val="000000" w:themeColor="text1"/>
          <w:sz w:val="21"/>
          <w:szCs w:val="21"/>
        </w:rPr>
        <w:t xml:space="preserve"> Сховища або СПП із захисними властивостями сховищ, розташовані у зонах тривалого затоплення, слід за можливістю розташовувати на підвищених ділянках місцевості.</w:t>
      </w:r>
    </w:p>
    <w:p w14:paraId="323E7D96"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зонах катастрофічного затоплення сховища влаштовуються вбудованими і окремо розташованими. При розміщенні низу перекриття окремо розташованих сховищ вище рівня планувальної відмітки землі слід проводити перевірку стiйкостi споруди на зсув та перекидання гідравлічним потоком або проти спливання з коефіцієнтом запасу 1,1.</w:t>
      </w:r>
    </w:p>
    <w:p w14:paraId="2264C37A"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Місткість сховищ або СПП із захисними властивостями сховищ у зоні тривалого затоплення рекомендується приймати не більше</w:t>
      </w:r>
      <w:r w:rsidR="00FA1C29" w:rsidRPr="00CA7C54">
        <w:rPr>
          <w:color w:val="000000" w:themeColor="text1"/>
          <w:sz w:val="21"/>
          <w:szCs w:val="21"/>
        </w:rPr>
        <w:t xml:space="preserve"> ніж</w:t>
      </w:r>
      <w:r w:rsidRPr="00CA7C54">
        <w:rPr>
          <w:color w:val="000000" w:themeColor="text1"/>
          <w:sz w:val="21"/>
          <w:szCs w:val="21"/>
        </w:rPr>
        <w:t xml:space="preserve"> 300 осіб. У разі необхідності укрити більшу чисельність населення має передбачатися декілька сховищ.</w:t>
      </w:r>
    </w:p>
    <w:p w14:paraId="0EABECF3"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проєктуванні ДЕС слід передбачати інженерні рішення, які виключають попадання води у повітрозабір та вихлоп дизеля.</w:t>
      </w:r>
    </w:p>
    <w:p w14:paraId="74ADE0A5"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зонах затоплення від проривних хвиль при глибині води 5 м і більше слід передбачати сховища без ДЕС. Для приводу вентиляційного та фільтровентиляційного обладнання необхідно застосовувати електроручні вентилятори.</w:t>
      </w:r>
    </w:p>
    <w:p w14:paraId="4D9006E3"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Освітлення приміщень цих сховищ передбачати від переносних та місцевих джерел (акумуляторів, електричних ліхтарів, батарей тощо).</w:t>
      </w:r>
    </w:p>
    <w:p w14:paraId="29651080"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13.3</w:t>
      </w:r>
      <w:r w:rsidRPr="00CA7C54">
        <w:rPr>
          <w:color w:val="000000" w:themeColor="text1"/>
          <w:sz w:val="21"/>
          <w:szCs w:val="21"/>
        </w:rPr>
        <w:t xml:space="preserve"> Гідроізоляцію сховищ, розташованих у зонах можливого катастрофічного  затоплення, слід влаштовувати суцільною, включаючи і покриття, у вiдповiдностi з вимогами норм на про</w:t>
      </w:r>
      <w:r w:rsidR="00FA1C29" w:rsidRPr="00CA7C54">
        <w:rPr>
          <w:color w:val="000000" w:themeColor="text1"/>
          <w:sz w:val="21"/>
          <w:szCs w:val="21"/>
        </w:rPr>
        <w:t>є</w:t>
      </w:r>
      <w:r w:rsidRPr="00CA7C54">
        <w:rPr>
          <w:color w:val="000000" w:themeColor="text1"/>
          <w:sz w:val="21"/>
          <w:szCs w:val="21"/>
        </w:rPr>
        <w:t>ктування гідроізоляції підземних частин будинків та споруд й з урахуванням стiйкостi її проти гідростатичного напору та забезпечення затиску жорсткими конструктивними елементами по стінах та по покриттю.</w:t>
      </w:r>
    </w:p>
    <w:p w14:paraId="2536D6C4" w14:textId="77777777" w:rsidR="003C4E04" w:rsidRPr="00CA7C54" w:rsidRDefault="001E748C" w:rsidP="004A0D6E">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13.4</w:t>
      </w:r>
      <w:r w:rsidRPr="00CA7C54">
        <w:rPr>
          <w:color w:val="000000" w:themeColor="text1"/>
          <w:sz w:val="21"/>
          <w:szCs w:val="21"/>
        </w:rPr>
        <w:t xml:space="preserve"> У сховищах/СПП із захисними властивостями сховищ, розташованих у зонах можливого катастрофічного затоплення, слід передбачати аварiйнi виходи (не менше одного на споруду), що виводять за межі зони затоплення й задовольняють вимогам 6.5.1.16- 6.5.1.21 цих норм. Допускається один з аварійних виходів передбачати у вигляді вертикальної шахти, облаштованої пристроями для підйому та захищеним оголовком, нижній рівень віконниці (люку) якого знаходиться не менш ніж на 1 м вище рівня можливого затоплення.</w:t>
      </w:r>
    </w:p>
    <w:p w14:paraId="43D9F5FE" w14:textId="77777777" w:rsidR="003C4E04" w:rsidRPr="00CA7C54" w:rsidRDefault="001E748C" w:rsidP="004A0D6E">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Аварійний вихід також допускається передбачати через шахти воздухозаборів систем вентиляції (фільтровентиляції).</w:t>
      </w:r>
    </w:p>
    <w:p w14:paraId="1BBEF47B" w14:textId="77777777" w:rsidR="003C4E04" w:rsidRPr="00CA7C54" w:rsidRDefault="001E748C" w:rsidP="004A0D6E">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Такі шахти мають облаштовуватися пристроями для випуску (відкачування) води.</w:t>
      </w:r>
    </w:p>
    <w:p w14:paraId="07B5D90C"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13.5</w:t>
      </w:r>
      <w:r w:rsidRPr="00CA7C54">
        <w:rPr>
          <w:color w:val="000000" w:themeColor="text1"/>
          <w:sz w:val="21"/>
          <w:szCs w:val="21"/>
        </w:rPr>
        <w:t xml:space="preserve"> У сховищах/СПП із захисними властивостями сховищ, які розташовані у зонах можливого затоплення, слід передбачати мінімально необхідну кількість припливно-витяжних та інших отворів, які сполучаються з поверхнею.</w:t>
      </w:r>
    </w:p>
    <w:p w14:paraId="665443F9"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Допускається суміщати повітрозабори в одному каналі з прокладанням в ньому трубопроводів для повітрозаборів з фільтровентиляційної і ДЕС, а також витяжних, крім вихлопу від дизеля.</w:t>
      </w:r>
    </w:p>
    <w:p w14:paraId="49C0A483"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lastRenderedPageBreak/>
        <w:t>13.6</w:t>
      </w:r>
      <w:r w:rsidRPr="00CA7C54">
        <w:rPr>
          <w:color w:val="000000" w:themeColor="text1"/>
          <w:sz w:val="21"/>
          <w:szCs w:val="21"/>
        </w:rPr>
        <w:t xml:space="preserve"> Несучі конструкції сховищ, шахт, аварійних виходів, захисно-герметичні двері (люки) та інші захисні пристрої повинні перевірятися розрахунком на навантаження від від гідростатичного тиску розрахункового стовпа води, який повинен бути вказаний у завданні на проєктування.</w:t>
      </w:r>
    </w:p>
    <w:p w14:paraId="7E74157F"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Гідростатичний тиск від стовпа води на споруду, який приймається у розрахунку, не повинен перевищувати навантаження, яке встановлюється класом захисту сховища.</w:t>
      </w:r>
    </w:p>
    <w:p w14:paraId="46699628"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Усі елементи споруди, що виступають, оголовки аварійних виходів, повітропроводів, шахти та інші повинні бути перевірені розрахунком на стійкість та міцність від роздільної дії вибухової хвилі та гідравлічного потоку.</w:t>
      </w:r>
    </w:p>
    <w:p w14:paraId="5BB26175"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13.7</w:t>
      </w:r>
      <w:r w:rsidRPr="00CA7C54">
        <w:rPr>
          <w:color w:val="000000" w:themeColor="text1"/>
          <w:sz w:val="21"/>
          <w:szCs w:val="21"/>
        </w:rPr>
        <w:t xml:space="preserve"> Оголовки аварійних виходів, повiтрозаборних та витяжних шахт у зонах можливого катастрофічного   затоплення слід перевіряти на тиск від швидкісного напору </w:t>
      </w:r>
      <w:r w:rsidRPr="00CA7C54">
        <w:rPr>
          <w:i/>
          <w:color w:val="000000" w:themeColor="text1"/>
          <w:sz w:val="21"/>
          <w:szCs w:val="21"/>
        </w:rPr>
        <w:t>P</w:t>
      </w:r>
      <w:r w:rsidRPr="00CA7C54">
        <w:rPr>
          <w:i/>
          <w:color w:val="000000" w:themeColor="text1"/>
          <w:sz w:val="21"/>
          <w:szCs w:val="21"/>
          <w:vertAlign w:val="subscript"/>
        </w:rPr>
        <w:t>cк</w:t>
      </w:r>
      <w:r w:rsidRPr="00CA7C54">
        <w:rPr>
          <w:color w:val="000000" w:themeColor="text1"/>
          <w:sz w:val="21"/>
          <w:szCs w:val="21"/>
        </w:rPr>
        <w:t xml:space="preserve"> гідравлічного потоку за формулою:</w:t>
      </w:r>
    </w:p>
    <w:p w14:paraId="6551B90B" w14:textId="77777777" w:rsidR="00102386" w:rsidRPr="00CA7C54" w:rsidRDefault="00102386"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p>
    <w:p w14:paraId="0B34B849" w14:textId="77777777" w:rsidR="003C4E04" w:rsidRPr="00CA7C54" w:rsidRDefault="001E748C" w:rsidP="004A0D6E">
      <w:pPr>
        <w:pBdr>
          <w:top w:val="nil"/>
          <w:left w:val="nil"/>
          <w:bottom w:val="nil"/>
          <w:right w:val="nil"/>
          <w:between w:val="nil"/>
        </w:pBdr>
        <w:spacing w:before="0" w:line="288" w:lineRule="auto"/>
        <w:ind w:firstLine="3544"/>
        <w:contextualSpacing/>
        <w:rPr>
          <w:rFonts w:ascii="Times New Roman" w:eastAsia="Times New Roman" w:hAnsi="Times New Roman" w:cs="Times New Roman"/>
          <w:color w:val="000000" w:themeColor="text1"/>
          <w:sz w:val="21"/>
          <w:szCs w:val="21"/>
        </w:rPr>
      </w:pPr>
      <w:r w:rsidRPr="00CA7C54">
        <w:rPr>
          <w:i/>
          <w:color w:val="000000" w:themeColor="text1"/>
          <w:sz w:val="21"/>
          <w:szCs w:val="21"/>
        </w:rPr>
        <w:t>P</w:t>
      </w:r>
      <w:r w:rsidRPr="00CA7C54">
        <w:rPr>
          <w:i/>
          <w:color w:val="000000" w:themeColor="text1"/>
          <w:sz w:val="21"/>
          <w:szCs w:val="21"/>
          <w:vertAlign w:val="subscript"/>
        </w:rPr>
        <w:t>cк</w:t>
      </w:r>
      <w:r w:rsidRPr="00CA7C54">
        <w:rPr>
          <w:i/>
          <w:color w:val="000000" w:themeColor="text1"/>
          <w:sz w:val="21"/>
          <w:szCs w:val="21"/>
        </w:rPr>
        <w:t xml:space="preserve"> = (С</w:t>
      </w:r>
      <w:r w:rsidRPr="00CA7C54">
        <w:rPr>
          <w:i/>
          <w:color w:val="000000" w:themeColor="text1"/>
          <w:sz w:val="21"/>
          <w:szCs w:val="21"/>
          <w:vertAlign w:val="subscript"/>
        </w:rPr>
        <w:t>х</w:t>
      </w:r>
      <w:r w:rsidRPr="00CA7C54">
        <w:rPr>
          <w:i/>
          <w:color w:val="000000" w:themeColor="text1"/>
          <w:sz w:val="21"/>
          <w:szCs w:val="21"/>
        </w:rPr>
        <w:t xml:space="preserve"> γ v</w:t>
      </w:r>
      <w:r w:rsidRPr="00CA7C54">
        <w:rPr>
          <w:i/>
          <w:color w:val="000000" w:themeColor="text1"/>
          <w:sz w:val="21"/>
          <w:szCs w:val="21"/>
          <w:vertAlign w:val="subscript"/>
        </w:rPr>
        <w:t>n</w:t>
      </w:r>
      <w:r w:rsidRPr="00CA7C54">
        <w:rPr>
          <w:i/>
          <w:color w:val="000000" w:themeColor="text1"/>
          <w:sz w:val="21"/>
          <w:szCs w:val="21"/>
          <w:vertAlign w:val="superscript"/>
        </w:rPr>
        <w:t>2</w:t>
      </w:r>
      <w:r w:rsidRPr="00CA7C54">
        <w:rPr>
          <w:i/>
          <w:color w:val="000000" w:themeColor="text1"/>
          <w:sz w:val="21"/>
          <w:szCs w:val="21"/>
        </w:rPr>
        <w:t xml:space="preserve"> F</w:t>
      </w:r>
      <w:r w:rsidRPr="00CA7C54">
        <w:rPr>
          <w:i/>
          <w:color w:val="000000" w:themeColor="text1"/>
          <w:sz w:val="21"/>
          <w:szCs w:val="21"/>
          <w:vertAlign w:val="subscript"/>
        </w:rPr>
        <w:t>ск</w:t>
      </w:r>
      <w:r w:rsidRPr="00CA7C54">
        <w:rPr>
          <w:i/>
          <w:color w:val="000000" w:themeColor="text1"/>
          <w:sz w:val="21"/>
          <w:szCs w:val="21"/>
        </w:rPr>
        <w:t xml:space="preserve"> )/(2g)                              </w:t>
      </w:r>
      <w:r w:rsidRPr="00CA7C54">
        <w:rPr>
          <w:color w:val="000000" w:themeColor="text1"/>
          <w:sz w:val="21"/>
          <w:szCs w:val="21"/>
        </w:rPr>
        <w:t xml:space="preserve">                          (13.1)</w:t>
      </w:r>
    </w:p>
    <w:p w14:paraId="008E8178" w14:textId="77777777" w:rsidR="003C4E04" w:rsidRPr="00CA7C54" w:rsidRDefault="001E748C" w:rsidP="004A0D6E">
      <w:pPr>
        <w:pBdr>
          <w:top w:val="nil"/>
          <w:left w:val="nil"/>
          <w:bottom w:val="nil"/>
          <w:right w:val="nil"/>
          <w:between w:val="nil"/>
        </w:pBdr>
        <w:spacing w:before="0" w:line="288" w:lineRule="auto"/>
        <w:contextualSpacing/>
        <w:rPr>
          <w:i/>
          <w:color w:val="000000" w:themeColor="text1"/>
          <w:sz w:val="21"/>
          <w:szCs w:val="21"/>
        </w:rPr>
      </w:pPr>
      <w:r w:rsidRPr="00CA7C54">
        <w:rPr>
          <w:color w:val="000000" w:themeColor="text1"/>
          <w:sz w:val="21"/>
          <w:szCs w:val="21"/>
        </w:rPr>
        <w:t>де</w:t>
      </w:r>
    </w:p>
    <w:p w14:paraId="76098DDD"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highlight w:val="white"/>
        </w:rPr>
      </w:pPr>
      <w:r w:rsidRPr="00CA7C54">
        <w:rPr>
          <w:i/>
          <w:color w:val="000000" w:themeColor="text1"/>
          <w:sz w:val="21"/>
          <w:szCs w:val="21"/>
        </w:rPr>
        <w:t>С</w:t>
      </w:r>
      <w:r w:rsidRPr="00CA7C54">
        <w:rPr>
          <w:i/>
          <w:color w:val="000000" w:themeColor="text1"/>
          <w:sz w:val="21"/>
          <w:szCs w:val="21"/>
          <w:vertAlign w:val="subscript"/>
        </w:rPr>
        <w:t>х</w:t>
      </w:r>
      <w:r w:rsidRPr="00CA7C54">
        <w:rPr>
          <w:i/>
          <w:color w:val="000000" w:themeColor="text1"/>
          <w:sz w:val="21"/>
          <w:szCs w:val="21"/>
        </w:rPr>
        <w:t>–</w:t>
      </w:r>
      <w:r w:rsidRPr="00CA7C54">
        <w:rPr>
          <w:color w:val="000000" w:themeColor="text1"/>
          <w:sz w:val="21"/>
          <w:szCs w:val="21"/>
        </w:rPr>
        <w:t>  коефіцієнт лобового опору, який приймається згідн</w:t>
      </w:r>
      <w:r w:rsidRPr="00CA7C54">
        <w:rPr>
          <w:color w:val="000000" w:themeColor="text1"/>
          <w:sz w:val="21"/>
          <w:szCs w:val="21"/>
          <w:highlight w:val="white"/>
        </w:rPr>
        <w:t>о з Додатком В;</w:t>
      </w:r>
    </w:p>
    <w:p w14:paraId="67945D1B"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γ</w:t>
      </w:r>
      <w:r w:rsidRPr="00CA7C54">
        <w:rPr>
          <w:color w:val="000000" w:themeColor="text1"/>
          <w:sz w:val="21"/>
          <w:szCs w:val="21"/>
        </w:rPr>
        <w:t xml:space="preserve">  </w:t>
      </w:r>
      <w:r w:rsidRPr="00CA7C54">
        <w:rPr>
          <w:i/>
          <w:color w:val="000000" w:themeColor="text1"/>
          <w:sz w:val="21"/>
          <w:szCs w:val="21"/>
        </w:rPr>
        <w:t>–</w:t>
      </w:r>
      <w:r w:rsidRPr="00CA7C54">
        <w:rPr>
          <w:color w:val="000000" w:themeColor="text1"/>
          <w:sz w:val="21"/>
          <w:szCs w:val="21"/>
        </w:rPr>
        <w:t>  об'ємна вага води;</w:t>
      </w:r>
    </w:p>
    <w:p w14:paraId="41C4C9EC"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g –</w:t>
      </w:r>
      <w:r w:rsidRPr="00CA7C54">
        <w:rPr>
          <w:color w:val="000000" w:themeColor="text1"/>
          <w:sz w:val="21"/>
          <w:szCs w:val="21"/>
        </w:rPr>
        <w:t xml:space="preserve"> прискорення вільного падіння, що дорiвнює 9,8 м/с</w:t>
      </w:r>
      <w:r w:rsidRPr="00CA7C54">
        <w:rPr>
          <w:color w:val="000000" w:themeColor="text1"/>
          <w:sz w:val="21"/>
          <w:szCs w:val="21"/>
          <w:vertAlign w:val="superscript"/>
        </w:rPr>
        <w:t>2</w:t>
      </w:r>
      <w:r w:rsidRPr="00CA7C54">
        <w:rPr>
          <w:color w:val="000000" w:themeColor="text1"/>
          <w:sz w:val="21"/>
          <w:szCs w:val="21"/>
        </w:rPr>
        <w:t>;</w:t>
      </w:r>
    </w:p>
    <w:p w14:paraId="358338E7"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ν</w:t>
      </w:r>
      <w:r w:rsidRPr="00CA7C54">
        <w:rPr>
          <w:i/>
          <w:color w:val="000000" w:themeColor="text1"/>
          <w:sz w:val="21"/>
          <w:szCs w:val="21"/>
          <w:vertAlign w:val="subscript"/>
        </w:rPr>
        <w:t>n</w:t>
      </w:r>
      <w:r w:rsidRPr="00CA7C54">
        <w:rPr>
          <w:i/>
          <w:color w:val="000000" w:themeColor="text1"/>
          <w:sz w:val="21"/>
          <w:szCs w:val="21"/>
        </w:rPr>
        <w:t>–</w:t>
      </w:r>
      <w:r w:rsidRPr="00CA7C54">
        <w:rPr>
          <w:color w:val="000000" w:themeColor="text1"/>
          <w:sz w:val="21"/>
          <w:szCs w:val="21"/>
        </w:rPr>
        <w:t xml:space="preserve"> швидкість підхідного потоку, м/с, визначається за даними розрахунків зони можливого затоплення під час руйнування відповідної гідроспоруди;</w:t>
      </w:r>
    </w:p>
    <w:p w14:paraId="062ACB6A"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F</w:t>
      </w:r>
      <w:r w:rsidRPr="00CA7C54">
        <w:rPr>
          <w:i/>
          <w:color w:val="000000" w:themeColor="text1"/>
          <w:sz w:val="21"/>
          <w:szCs w:val="21"/>
          <w:vertAlign w:val="subscript"/>
        </w:rPr>
        <w:t>ск</w:t>
      </w:r>
      <w:r w:rsidRPr="00CA7C54">
        <w:rPr>
          <w:i/>
          <w:color w:val="000000" w:themeColor="text1"/>
          <w:sz w:val="21"/>
          <w:szCs w:val="21"/>
        </w:rPr>
        <w:t xml:space="preserve"> –</w:t>
      </w:r>
      <w:r w:rsidRPr="00CA7C54">
        <w:rPr>
          <w:color w:val="000000" w:themeColor="text1"/>
          <w:sz w:val="21"/>
          <w:szCs w:val="21"/>
        </w:rPr>
        <w:t xml:space="preserve"> площа проекції зануреної у потік частини перешкоди на площину, перпендикулярну до напрямку руху потоку, м</w:t>
      </w:r>
      <w:r w:rsidRPr="00CA7C54">
        <w:rPr>
          <w:color w:val="000000" w:themeColor="text1"/>
          <w:sz w:val="21"/>
          <w:szCs w:val="21"/>
          <w:vertAlign w:val="superscript"/>
        </w:rPr>
        <w:t>2</w:t>
      </w:r>
      <w:r w:rsidRPr="00CA7C54">
        <w:rPr>
          <w:color w:val="000000" w:themeColor="text1"/>
          <w:sz w:val="21"/>
          <w:szCs w:val="21"/>
        </w:rPr>
        <w:t>.</w:t>
      </w:r>
    </w:p>
    <w:p w14:paraId="32CA5EA7"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13.8</w:t>
      </w:r>
      <w:r w:rsidRPr="00CA7C54">
        <w:rPr>
          <w:color w:val="000000" w:themeColor="text1"/>
          <w:sz w:val="21"/>
          <w:szCs w:val="21"/>
        </w:rPr>
        <w:t xml:space="preserve"> У сховищах/СПП розташованих у зонах можливого катастрофічного затоплення, на повітрозабірних та витяжних шахтах слід передбачати встановлення противовибухових пристроїв захисту гідронапорних заслонок з електроручним керуванням зі сховища. Гідронапорні заслонки повинні бути розраховані на гідростатичний тиск від розрахункового стовпа води.</w:t>
      </w:r>
    </w:p>
    <w:p w14:paraId="189DE88A"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Спустошення затопленою водою ділянки шахти слід передбачати шляхом зливу води у камери перед мастильними фільтрами або відкачки насосом за межі споруди.</w:t>
      </w:r>
    </w:p>
    <w:p w14:paraId="7CEEAEA0"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13.9</w:t>
      </w:r>
      <w:r w:rsidRPr="00CA7C54">
        <w:rPr>
          <w:color w:val="000000" w:themeColor="text1"/>
          <w:sz w:val="21"/>
          <w:szCs w:val="21"/>
        </w:rPr>
        <w:t xml:space="preserve"> При про</w:t>
      </w:r>
      <w:r w:rsidR="00FA1C29" w:rsidRPr="00CA7C54">
        <w:rPr>
          <w:color w:val="000000" w:themeColor="text1"/>
          <w:sz w:val="21"/>
          <w:szCs w:val="21"/>
        </w:rPr>
        <w:t>є</w:t>
      </w:r>
      <w:r w:rsidRPr="00CA7C54">
        <w:rPr>
          <w:color w:val="000000" w:themeColor="text1"/>
          <w:sz w:val="21"/>
          <w:szCs w:val="21"/>
        </w:rPr>
        <w:t>ктуванні автономні джерела енергозабезпечення (електропостачання) захисних споруд у зонах можливого катастрофічного  затоплення слід передбачати інженерні рішення, що виключають попадання води у повітрозабір та вихлоп двигуна внутрішнього згорання.</w:t>
      </w:r>
    </w:p>
    <w:p w14:paraId="6BAE2EAD"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13.10</w:t>
      </w:r>
      <w:r w:rsidRPr="00CA7C54">
        <w:rPr>
          <w:color w:val="000000" w:themeColor="text1"/>
          <w:sz w:val="21"/>
          <w:szCs w:val="21"/>
        </w:rPr>
        <w:t>  Сховища та СПП, які розташовано у зонах можливих затоплень, повинні будуватися з монолітних залізобетонних конструкцій із суцільною фундаментною плитою.</w:t>
      </w:r>
    </w:p>
    <w:p w14:paraId="14419B1C" w14:textId="3892D77A"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Бетон для сховищ, споруд подвійного призначення з відповідними захисними властивостями, розташованих у зонах можливого катастрофічного   затоплення, необхідно приймати за міцністю на стиск – не нижче класу С12/15, марки за морозостійкістю – F50 та марки за водонепроникністю – W2 згідно з </w:t>
      </w:r>
      <w:hyperlink r:id="rId288" w:history="1">
        <w:r w:rsidRPr="003A0EDE">
          <w:rPr>
            <w:rStyle w:val="ac"/>
            <w:rFonts w:cs="Arial"/>
            <w:sz w:val="21"/>
            <w:szCs w:val="21"/>
          </w:rPr>
          <w:t>ДБН В.2.6-98</w:t>
        </w:r>
      </w:hyperlink>
      <w:r w:rsidRPr="00CA7C54">
        <w:rPr>
          <w:color w:val="000000" w:themeColor="text1"/>
          <w:sz w:val="21"/>
          <w:szCs w:val="21"/>
        </w:rPr>
        <w:t xml:space="preserve">, </w:t>
      </w:r>
      <w:hyperlink r:id="rId289" w:history="1">
        <w:r w:rsidRPr="003A0EDE">
          <w:rPr>
            <w:rStyle w:val="ac"/>
            <w:rFonts w:cs="Arial"/>
            <w:sz w:val="21"/>
            <w:szCs w:val="21"/>
          </w:rPr>
          <w:t>ДСТУ Б В.2.6-156</w:t>
        </w:r>
      </w:hyperlink>
      <w:r w:rsidRPr="00CA7C54">
        <w:rPr>
          <w:color w:val="000000" w:themeColor="text1"/>
          <w:sz w:val="21"/>
          <w:szCs w:val="21"/>
        </w:rPr>
        <w:t>.</w:t>
      </w:r>
    </w:p>
    <w:p w14:paraId="33E8492E" w14:textId="77777777" w:rsidR="003C4E04" w:rsidRPr="00CA7C54" w:rsidRDefault="003C4E04">
      <w:pPr>
        <w:rPr>
          <w:color w:val="000000" w:themeColor="text1"/>
        </w:rPr>
      </w:pPr>
    </w:p>
    <w:p w14:paraId="714C328A" w14:textId="77777777" w:rsidR="003C4E04" w:rsidRPr="00CA7C54" w:rsidRDefault="001E748C" w:rsidP="00FA1C29">
      <w:pPr>
        <w:pStyle w:val="2"/>
        <w:spacing w:before="0" w:after="0" w:line="288" w:lineRule="auto"/>
        <w:contextualSpacing/>
        <w:rPr>
          <w:rFonts w:ascii="Arial" w:hAnsi="Arial"/>
          <w:color w:val="000000" w:themeColor="text1"/>
          <w:sz w:val="21"/>
          <w:szCs w:val="21"/>
        </w:rPr>
      </w:pPr>
      <w:r w:rsidRPr="00CA7C54">
        <w:rPr>
          <w:rFonts w:ascii="Arial" w:hAnsi="Arial"/>
          <w:color w:val="000000" w:themeColor="text1"/>
          <w:sz w:val="22"/>
          <w:szCs w:val="22"/>
        </w:rPr>
        <w:t xml:space="preserve">14 </w:t>
      </w:r>
      <w:r w:rsidRPr="00CA7C54">
        <w:rPr>
          <w:rFonts w:ascii="Arial" w:hAnsi="Arial"/>
          <w:color w:val="000000" w:themeColor="text1"/>
          <w:sz w:val="21"/>
          <w:szCs w:val="21"/>
        </w:rPr>
        <w:t>РОЗРАХУНОК НЕСУЧИХ ТА ОГОРОДЖУВАЛЬНИХ КОНСТРУКЦІЙ</w:t>
      </w:r>
    </w:p>
    <w:p w14:paraId="133BC741" w14:textId="77777777" w:rsidR="003C4E04" w:rsidRPr="00CA7C54" w:rsidRDefault="001E748C" w:rsidP="00FA1C29">
      <w:pPr>
        <w:pStyle w:val="3"/>
        <w:spacing w:before="0" w:after="0" w:line="288" w:lineRule="auto"/>
        <w:contextualSpacing/>
        <w:rPr>
          <w:color w:val="000000" w:themeColor="text1"/>
          <w:sz w:val="21"/>
          <w:szCs w:val="21"/>
        </w:rPr>
      </w:pPr>
      <w:r w:rsidRPr="00CA7C54">
        <w:rPr>
          <w:color w:val="000000" w:themeColor="text1"/>
          <w:sz w:val="21"/>
          <w:szCs w:val="21"/>
          <w:highlight w:val="white"/>
        </w:rPr>
        <w:t>14.1 Розрахункові навантаження та впливи на дію повітря</w:t>
      </w:r>
      <w:r w:rsidRPr="00CA7C54">
        <w:rPr>
          <w:color w:val="000000" w:themeColor="text1"/>
          <w:sz w:val="21"/>
          <w:szCs w:val="21"/>
        </w:rPr>
        <w:t>ної ударної хвилі</w:t>
      </w:r>
    </w:p>
    <w:p w14:paraId="7757CA79" w14:textId="77777777" w:rsidR="003C4E04" w:rsidRPr="00CA7C54" w:rsidRDefault="001E748C" w:rsidP="00FA1C29">
      <w:pPr>
        <w:pStyle w:val="3"/>
        <w:spacing w:before="0" w:after="0" w:line="288" w:lineRule="auto"/>
        <w:contextualSpacing/>
        <w:rPr>
          <w:color w:val="000000" w:themeColor="text1"/>
          <w:sz w:val="21"/>
          <w:szCs w:val="21"/>
        </w:rPr>
      </w:pPr>
      <w:r w:rsidRPr="00CA7C54">
        <w:rPr>
          <w:color w:val="000000" w:themeColor="text1"/>
          <w:sz w:val="21"/>
          <w:szCs w:val="21"/>
        </w:rPr>
        <w:t>14.1.1 Загальні положення</w:t>
      </w:r>
    </w:p>
    <w:p w14:paraId="7DFF7731" w14:textId="457B2D1E" w:rsidR="003C4E04" w:rsidRPr="00CA7C54" w:rsidRDefault="001E748C" w:rsidP="00FA1C29">
      <w:pPr>
        <w:spacing w:before="0" w:line="288" w:lineRule="auto"/>
        <w:contextualSpacing/>
        <w:rPr>
          <w:color w:val="000000" w:themeColor="text1"/>
          <w:sz w:val="21"/>
          <w:szCs w:val="21"/>
        </w:rPr>
      </w:pPr>
      <w:r w:rsidRPr="00CA7C54">
        <w:rPr>
          <w:b/>
          <w:color w:val="000000" w:themeColor="text1"/>
          <w:sz w:val="21"/>
          <w:szCs w:val="21"/>
        </w:rPr>
        <w:t>14.1.1.1</w:t>
      </w:r>
      <w:r w:rsidRPr="00CA7C54">
        <w:rPr>
          <w:color w:val="000000" w:themeColor="text1"/>
          <w:sz w:val="21"/>
          <w:szCs w:val="21"/>
        </w:rPr>
        <w:t xml:space="preserve"> Конструкції захисних споруд та СПП повинні бути запроєктовані на вплив комбінацій навантажень при усталеній (основній) і аварійній розрахункових ситуаціях. Комбінації навантажень при усталеній (основній) розрахунковій ситуації визначають відповідно до вимог </w:t>
      </w:r>
      <w:hyperlink r:id="rId290" w:history="1">
        <w:r w:rsidRPr="001F3728">
          <w:rPr>
            <w:rStyle w:val="ac"/>
            <w:rFonts w:cs="Arial"/>
            <w:sz w:val="21"/>
            <w:szCs w:val="21"/>
          </w:rPr>
          <w:t>ДБН В.1.2-2</w:t>
        </w:r>
      </w:hyperlink>
      <w:r w:rsidRPr="00CA7C54">
        <w:rPr>
          <w:color w:val="000000" w:themeColor="text1"/>
          <w:sz w:val="21"/>
          <w:szCs w:val="21"/>
        </w:rPr>
        <w:t xml:space="preserve">. При розрахунках на аварійні комбінації навантажень слід враховувати квазістатичне навантаження від дії повітряної ударної хвилі відповідно класу чи групи захисної споруди. </w:t>
      </w:r>
    </w:p>
    <w:p w14:paraId="4C8CA117"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Конструкції захисних споруд та СПП повинні бути, крім того, перевiренi розрахункомз урахуванням найбільш несприятливих комбінацій навантажень або відповідних їм зусиль при їх експлуатації за функціональним призначенням, не пов'язаним із укриттям населення (у випадку про</w:t>
      </w:r>
      <w:r w:rsidR="00266838" w:rsidRPr="00CA7C54">
        <w:rPr>
          <w:color w:val="000000" w:themeColor="text1"/>
          <w:sz w:val="21"/>
          <w:szCs w:val="21"/>
        </w:rPr>
        <w:t>є</w:t>
      </w:r>
      <w:r w:rsidRPr="00CA7C54">
        <w:rPr>
          <w:color w:val="000000" w:themeColor="text1"/>
          <w:sz w:val="21"/>
          <w:szCs w:val="21"/>
        </w:rPr>
        <w:t xml:space="preserve">ктування СПП), а також на зусилля та збереження герметичності захисних споруд при </w:t>
      </w:r>
      <w:r w:rsidRPr="00CA7C54">
        <w:rPr>
          <w:color w:val="000000" w:themeColor="text1"/>
          <w:sz w:val="21"/>
          <w:szCs w:val="21"/>
        </w:rPr>
        <w:lastRenderedPageBreak/>
        <w:t>можливих осіданнях окремих навантажених опор (колон) від експлуатаційного навантаження надземної частини будинку або споруди.</w:t>
      </w:r>
    </w:p>
    <w:p w14:paraId="4A0CC6CC"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 xml:space="preserve">Розміщення захисних споруд та СПП під будівлями/спорудами різного призначення або в зоні утворення завалів від можливого руйнування будівлі/споруди, що розташовані поруч, допускається за умов забезпечення сприйняття несучими конструкціями таких захисних споруд або СПП додаткових навантажень, що можуть виникати внаслідок прогресуючого обвалення вище розташованих конструкцій, а також  поруч розташованих будівель/споруд (їх конструкцій). </w:t>
      </w:r>
    </w:p>
    <w:p w14:paraId="673358F9" w14:textId="77777777" w:rsidR="003C4E04" w:rsidRPr="00CA7C54" w:rsidRDefault="00DC31F3" w:rsidP="00FA1C29">
      <w:pPr>
        <w:spacing w:before="0" w:line="288" w:lineRule="auto"/>
        <w:contextualSpacing/>
        <w:rPr>
          <w:color w:val="000000" w:themeColor="text1"/>
          <w:sz w:val="21"/>
          <w:szCs w:val="21"/>
        </w:rPr>
      </w:pPr>
      <w:sdt>
        <w:sdtPr>
          <w:rPr>
            <w:color w:val="000000" w:themeColor="text1"/>
            <w:sz w:val="21"/>
            <w:szCs w:val="21"/>
          </w:rPr>
          <w:tag w:val="goog_rdk_11"/>
          <w:id w:val="2031756721"/>
        </w:sdtPr>
        <w:sdtEndPr/>
        <w:sdtContent>
          <w:r w:rsidR="001E748C" w:rsidRPr="00CA7C54">
            <w:rPr>
              <w:rFonts w:eastAsia="Arial Unicode MS"/>
              <w:color w:val="000000" w:themeColor="text1"/>
              <w:sz w:val="21"/>
              <w:szCs w:val="21"/>
            </w:rPr>
            <w:t>Захисні споруди та СПП (П-2, П-3, П-4, П-5, П-6), що про</w:t>
          </w:r>
          <w:r w:rsidR="00266838" w:rsidRPr="00CA7C54">
            <w:rPr>
              <w:rFonts w:eastAsia="Arial Unicode MS"/>
              <w:color w:val="000000" w:themeColor="text1"/>
              <w:sz w:val="21"/>
              <w:szCs w:val="21"/>
            </w:rPr>
            <w:t>є</w:t>
          </w:r>
          <w:r w:rsidR="001E748C" w:rsidRPr="00CA7C54">
            <w:rPr>
              <w:rFonts w:eastAsia="Arial Unicode MS"/>
              <w:color w:val="000000" w:themeColor="text1"/>
              <w:sz w:val="21"/>
              <w:szCs w:val="21"/>
            </w:rPr>
            <w:t>ктуються на дію розрахункового надмірного тиску ∆Р</w:t>
          </w:r>
        </w:sdtContent>
      </w:sdt>
      <w:r w:rsidR="001E748C" w:rsidRPr="00CA7C54">
        <w:rPr>
          <w:color w:val="000000" w:themeColor="text1"/>
          <w:sz w:val="21"/>
          <w:szCs w:val="21"/>
          <w:vertAlign w:val="subscript"/>
        </w:rPr>
        <w:t>ex</w:t>
      </w:r>
      <w:r w:rsidR="001E748C" w:rsidRPr="00CA7C54">
        <w:rPr>
          <w:color w:val="000000" w:themeColor="text1"/>
          <w:sz w:val="21"/>
          <w:szCs w:val="21"/>
        </w:rPr>
        <w:t xml:space="preserve">=100 кПа перевіряються розрахунком на вагу зруйнованих вище розташованих конструкцій будівель/споруд з коефіцієнтом динамічності 1,2, яку визначають з урахуванням можливості їх прогресуючого обвалення (часткового або повного). </w:t>
      </w:r>
    </w:p>
    <w:p w14:paraId="37E932A2" w14:textId="77777777" w:rsidR="003C4E04" w:rsidRPr="00CA7C54" w:rsidRDefault="001E748C" w:rsidP="00FA1C29">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14.1.1.2</w:t>
      </w:r>
      <w:r w:rsidRPr="00CA7C54">
        <w:rPr>
          <w:color w:val="000000" w:themeColor="text1"/>
          <w:sz w:val="21"/>
          <w:szCs w:val="21"/>
        </w:rPr>
        <w:t xml:space="preserve"> Розрахунки конструкцій захисних споруд та СПП за граничними станами першої та другої груп виконують з врахуванням вказівок цих </w:t>
      </w:r>
      <w:r w:rsidR="00323BED" w:rsidRPr="00CA7C54">
        <w:rPr>
          <w:color w:val="000000" w:themeColor="text1"/>
          <w:sz w:val="21"/>
          <w:szCs w:val="21"/>
        </w:rPr>
        <w:t>н</w:t>
      </w:r>
      <w:r w:rsidRPr="00CA7C54">
        <w:rPr>
          <w:color w:val="000000" w:themeColor="text1"/>
          <w:sz w:val="21"/>
          <w:szCs w:val="21"/>
        </w:rPr>
        <w:t>орм.</w:t>
      </w:r>
    </w:p>
    <w:p w14:paraId="08483318" w14:textId="77777777" w:rsidR="003C4E04" w:rsidRPr="00CA7C54" w:rsidRDefault="001E748C" w:rsidP="00FA1C29">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Вплив дії повітряної ударної хвилі на конструкції враховується граничним розрахунковим значенням квазістатичного навантаження.</w:t>
      </w:r>
    </w:p>
    <w:p w14:paraId="54DCC2B6"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Граничне розрахункове значення квазістатичного навантаження обчислюється за формулою:</w:t>
      </w:r>
    </w:p>
    <w:p w14:paraId="3426934A" w14:textId="77777777" w:rsidR="003C4E04" w:rsidRPr="00CA7C54" w:rsidRDefault="001E748C" w:rsidP="00FA1C29">
      <w:pPr>
        <w:spacing w:before="0" w:line="288" w:lineRule="auto"/>
        <w:ind w:firstLine="0"/>
        <w:contextualSpacing/>
        <w:jc w:val="right"/>
        <w:rPr>
          <w:color w:val="000000" w:themeColor="text1"/>
          <w:sz w:val="21"/>
          <w:szCs w:val="21"/>
        </w:rPr>
      </w:pPr>
      <w:r w:rsidRPr="00CA7C54">
        <w:rPr>
          <w:i/>
          <w:color w:val="000000" w:themeColor="text1"/>
        </w:rPr>
        <w:t>q</w:t>
      </w:r>
      <w:r w:rsidRPr="00CA7C54">
        <w:rPr>
          <w:i/>
          <w:color w:val="000000" w:themeColor="text1"/>
          <w:vertAlign w:val="subscript"/>
        </w:rPr>
        <w:t>ex,d</w:t>
      </w:r>
      <w:r w:rsidRPr="00CA7C54">
        <w:rPr>
          <w:i/>
          <w:color w:val="000000" w:themeColor="text1"/>
        </w:rPr>
        <w:t>=γ</w:t>
      </w:r>
      <w:r w:rsidRPr="00CA7C54">
        <w:rPr>
          <w:i/>
          <w:color w:val="000000" w:themeColor="text1"/>
          <w:vertAlign w:val="subscript"/>
        </w:rPr>
        <w:t xml:space="preserve">fm </w:t>
      </w:r>
      <w:sdt>
        <w:sdtPr>
          <w:rPr>
            <w:color w:val="000000" w:themeColor="text1"/>
          </w:rPr>
          <w:tag w:val="goog_rdk_12"/>
          <w:id w:val="1377659969"/>
        </w:sdtPr>
        <w:sdtEndPr/>
        <w:sdtContent>
          <w:r w:rsidRPr="00CA7C54">
            <w:rPr>
              <w:rFonts w:eastAsia="Arial Unicode MS"/>
              <w:i/>
              <w:color w:val="000000" w:themeColor="text1"/>
            </w:rPr>
            <w:t>∙ q</w:t>
          </w:r>
        </w:sdtContent>
      </w:sdt>
      <w:r w:rsidRPr="00CA7C54">
        <w:rPr>
          <w:i/>
          <w:color w:val="000000" w:themeColor="text1"/>
          <w:vertAlign w:val="subscript"/>
        </w:rPr>
        <w:t xml:space="preserve"> ex,eqv</w:t>
      </w:r>
      <w:r w:rsidRPr="00CA7C54">
        <w:rPr>
          <w:color w:val="000000" w:themeColor="text1"/>
        </w:rPr>
        <w:t>,</w:t>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rPr>
        <w:tab/>
        <w:t>(14.1)</w:t>
      </w:r>
    </w:p>
    <w:p w14:paraId="46ED4930" w14:textId="77777777" w:rsidR="00FA1C29" w:rsidRPr="00CA7C54" w:rsidRDefault="00FA1C29" w:rsidP="00FA1C29">
      <w:pPr>
        <w:spacing w:before="0" w:line="288" w:lineRule="auto"/>
        <w:contextualSpacing/>
        <w:jc w:val="left"/>
        <w:rPr>
          <w:color w:val="000000" w:themeColor="text1"/>
          <w:sz w:val="21"/>
          <w:szCs w:val="21"/>
        </w:rPr>
      </w:pPr>
      <w:r w:rsidRPr="00CA7C54">
        <w:rPr>
          <w:color w:val="000000" w:themeColor="text1"/>
          <w:sz w:val="21"/>
          <w:szCs w:val="21"/>
        </w:rPr>
        <w:t>де</w:t>
      </w:r>
    </w:p>
    <w:p w14:paraId="181D7EF9" w14:textId="77777777" w:rsidR="003C4E04" w:rsidRPr="00CA7C54" w:rsidRDefault="001E748C" w:rsidP="00FA1C29">
      <w:pPr>
        <w:spacing w:before="0" w:line="288" w:lineRule="auto"/>
        <w:contextualSpacing/>
        <w:rPr>
          <w:color w:val="000000" w:themeColor="text1"/>
          <w:sz w:val="21"/>
          <w:szCs w:val="21"/>
          <w:highlight w:val="white"/>
        </w:rPr>
      </w:pPr>
      <w:r w:rsidRPr="00CA7C54">
        <w:rPr>
          <w:i/>
          <w:color w:val="000000" w:themeColor="text1"/>
          <w:sz w:val="21"/>
          <w:szCs w:val="21"/>
        </w:rPr>
        <w:t>q</w:t>
      </w:r>
      <w:r w:rsidRPr="00CA7C54">
        <w:rPr>
          <w:i/>
          <w:color w:val="000000" w:themeColor="text1"/>
          <w:sz w:val="21"/>
          <w:szCs w:val="21"/>
          <w:vertAlign w:val="subscript"/>
        </w:rPr>
        <w:t>ex,eqv</w:t>
      </w:r>
      <w:r w:rsidRPr="00CA7C54">
        <w:rPr>
          <w:color w:val="000000" w:themeColor="text1"/>
          <w:sz w:val="21"/>
          <w:szCs w:val="21"/>
        </w:rPr>
        <w:t xml:space="preserve"> – квазістатичне характеристичне навантаження, що приймається рівним квазістатичному навантаженню (еквiвалентному статичному навантаженню) та визначається за </w:t>
      </w:r>
      <w:r w:rsidRPr="00CA7C54">
        <w:rPr>
          <w:color w:val="000000" w:themeColor="text1"/>
          <w:sz w:val="21"/>
          <w:szCs w:val="21"/>
          <w:highlight w:val="white"/>
        </w:rPr>
        <w:t xml:space="preserve"> 14.1.3.1 - 14.1.3.8 цих </w:t>
      </w:r>
      <w:r w:rsidR="00266838" w:rsidRPr="00CA7C54">
        <w:rPr>
          <w:color w:val="000000" w:themeColor="text1"/>
          <w:sz w:val="21"/>
          <w:szCs w:val="21"/>
          <w:highlight w:val="white"/>
        </w:rPr>
        <w:t>н</w:t>
      </w:r>
      <w:r w:rsidRPr="00CA7C54">
        <w:rPr>
          <w:color w:val="000000" w:themeColor="text1"/>
          <w:sz w:val="21"/>
          <w:szCs w:val="21"/>
          <w:highlight w:val="white"/>
        </w:rPr>
        <w:t>орм</w:t>
      </w:r>
      <w:r w:rsidR="00C7348B">
        <w:rPr>
          <w:color w:val="000000" w:themeColor="text1"/>
          <w:sz w:val="21"/>
          <w:szCs w:val="21"/>
          <w:highlight w:val="white"/>
        </w:rPr>
        <w:t>.</w:t>
      </w:r>
    </w:p>
    <w:p w14:paraId="3E9CC357" w14:textId="77777777" w:rsidR="003C4E04" w:rsidRPr="00CA7C54" w:rsidRDefault="001E748C" w:rsidP="00FA1C29">
      <w:pPr>
        <w:spacing w:before="0" w:line="288" w:lineRule="auto"/>
        <w:contextualSpacing/>
        <w:rPr>
          <w:color w:val="000000" w:themeColor="text1"/>
          <w:sz w:val="21"/>
          <w:szCs w:val="21"/>
        </w:rPr>
      </w:pPr>
      <w:r w:rsidRPr="00CA7C54">
        <w:rPr>
          <w:i/>
          <w:color w:val="000000" w:themeColor="text1"/>
          <w:sz w:val="21"/>
          <w:szCs w:val="21"/>
        </w:rPr>
        <w:t>γ</w:t>
      </w:r>
      <w:r w:rsidRPr="00CA7C54">
        <w:rPr>
          <w:i/>
          <w:color w:val="000000" w:themeColor="text1"/>
          <w:sz w:val="21"/>
          <w:szCs w:val="21"/>
          <w:vertAlign w:val="subscript"/>
        </w:rPr>
        <w:t>fm</w:t>
      </w:r>
      <w:r w:rsidRPr="00CA7C54">
        <w:rPr>
          <w:color w:val="000000" w:themeColor="text1"/>
          <w:sz w:val="21"/>
          <w:szCs w:val="21"/>
        </w:rPr>
        <w:t xml:space="preserve"> – коефіцієнт надійності за навантаженням для граничного розрахункового значення квазістатичного навантаження, яке слід приймати </w:t>
      </w:r>
      <w:r w:rsidRPr="00CA7C54">
        <w:rPr>
          <w:i/>
          <w:color w:val="000000" w:themeColor="text1"/>
          <w:sz w:val="21"/>
          <w:szCs w:val="21"/>
        </w:rPr>
        <w:t>γ</w:t>
      </w:r>
      <w:r w:rsidRPr="00CA7C54">
        <w:rPr>
          <w:i/>
          <w:color w:val="000000" w:themeColor="text1"/>
          <w:sz w:val="21"/>
          <w:szCs w:val="21"/>
          <w:vertAlign w:val="subscript"/>
        </w:rPr>
        <w:t>fm</w:t>
      </w:r>
      <w:r w:rsidRPr="00CA7C54">
        <w:rPr>
          <w:i/>
          <w:color w:val="000000" w:themeColor="text1"/>
          <w:sz w:val="21"/>
          <w:szCs w:val="21"/>
        </w:rPr>
        <w:t xml:space="preserve"> = 1,00</w:t>
      </w:r>
      <w:r w:rsidRPr="00CA7C54">
        <w:rPr>
          <w:color w:val="000000" w:themeColor="text1"/>
          <w:sz w:val="21"/>
          <w:szCs w:val="21"/>
        </w:rPr>
        <w:t>.</w:t>
      </w:r>
    </w:p>
    <w:p w14:paraId="1EFEB2E1" w14:textId="77777777" w:rsidR="003C4E04" w:rsidRPr="00CA7C54" w:rsidRDefault="001E748C" w:rsidP="00FA1C29">
      <w:pPr>
        <w:spacing w:before="0" w:line="288" w:lineRule="auto"/>
        <w:contextualSpacing/>
        <w:rPr>
          <w:color w:val="000000" w:themeColor="text1"/>
          <w:sz w:val="21"/>
          <w:szCs w:val="21"/>
        </w:rPr>
      </w:pPr>
      <w:r w:rsidRPr="00CA7C54">
        <w:rPr>
          <w:b/>
          <w:color w:val="000000" w:themeColor="text1"/>
          <w:sz w:val="21"/>
          <w:szCs w:val="21"/>
        </w:rPr>
        <w:t>14.1.1.3.</w:t>
      </w:r>
      <w:r w:rsidRPr="00CA7C54">
        <w:rPr>
          <w:color w:val="000000" w:themeColor="text1"/>
          <w:sz w:val="21"/>
          <w:szCs w:val="21"/>
        </w:rPr>
        <w:t xml:space="preserve"> Навантаження від вибухового впливу слід відносити до епізодичних навантажень. Граничне розрахункове значення квазістатичного навантаження </w:t>
      </w:r>
      <w:r w:rsidRPr="00CA7C54">
        <w:rPr>
          <w:i/>
          <w:color w:val="000000" w:themeColor="text1"/>
          <w:sz w:val="21"/>
          <w:szCs w:val="21"/>
        </w:rPr>
        <w:t>q</w:t>
      </w:r>
      <w:r w:rsidRPr="00CA7C54">
        <w:rPr>
          <w:i/>
          <w:color w:val="000000" w:themeColor="text1"/>
          <w:sz w:val="21"/>
          <w:szCs w:val="21"/>
          <w:vertAlign w:val="subscript"/>
        </w:rPr>
        <w:t>ex,d</w:t>
      </w:r>
      <w:r w:rsidRPr="00CA7C54">
        <w:rPr>
          <w:color w:val="000000" w:themeColor="text1"/>
          <w:sz w:val="21"/>
          <w:szCs w:val="21"/>
        </w:rPr>
        <w:t xml:space="preserve"> враховується в аварійній комбінації навантажень із коефіцієнтом комбінації рівним 1,0.</w:t>
      </w:r>
    </w:p>
    <w:p w14:paraId="2C212626"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Навантаження від ваги зруйнованих вище розташованих конструкцій будівель та споруд враховується в окремій аварійній комбінації навантажень (без врахування навантаження вибухового впливу) із коефіцієнтом комбінації рівним 1,0.</w:t>
      </w:r>
    </w:p>
    <w:p w14:paraId="0EC1536E" w14:textId="7E876940" w:rsidR="003C4E04" w:rsidRPr="00CA7C54" w:rsidRDefault="001E748C" w:rsidP="00FA1C29">
      <w:pPr>
        <w:spacing w:before="0" w:line="288" w:lineRule="auto"/>
        <w:contextualSpacing/>
        <w:rPr>
          <w:color w:val="000000" w:themeColor="text1"/>
          <w:sz w:val="21"/>
          <w:szCs w:val="21"/>
        </w:rPr>
      </w:pPr>
      <w:r w:rsidRPr="00CA7C54">
        <w:rPr>
          <w:b/>
          <w:color w:val="000000" w:themeColor="text1"/>
          <w:sz w:val="21"/>
          <w:szCs w:val="21"/>
        </w:rPr>
        <w:t xml:space="preserve">14.1.1.4 </w:t>
      </w:r>
      <w:r w:rsidRPr="00CA7C54">
        <w:rPr>
          <w:color w:val="000000" w:themeColor="text1"/>
          <w:sz w:val="21"/>
          <w:szCs w:val="21"/>
        </w:rPr>
        <w:t xml:space="preserve">При розрахунку несучих та огороджувальних конструкцій захисних споруд допускається використання прямого динамічного аналізу конструктивних систем на динамічні дії, що викликають значне прискорення конструкції, з урахуванням вимог </w:t>
      </w:r>
      <w:hyperlink r:id="rId291" w:history="1">
        <w:r w:rsidRPr="001F3728">
          <w:rPr>
            <w:rStyle w:val="ac"/>
            <w:rFonts w:cs="Arial"/>
            <w:sz w:val="21"/>
            <w:szCs w:val="21"/>
          </w:rPr>
          <w:t>ДБН В.1.2-6</w:t>
        </w:r>
      </w:hyperlink>
      <w:r w:rsidRPr="00CA7C54">
        <w:rPr>
          <w:color w:val="000000" w:themeColor="text1"/>
          <w:sz w:val="21"/>
          <w:szCs w:val="21"/>
        </w:rPr>
        <w:t xml:space="preserve"> та при відповідному обґрунтуванні.</w:t>
      </w:r>
    </w:p>
    <w:p w14:paraId="29AA4B59" w14:textId="77777777" w:rsidR="003C4E04" w:rsidRPr="00CA7C54" w:rsidRDefault="001E748C" w:rsidP="00FA1C29">
      <w:pPr>
        <w:spacing w:before="0" w:line="288" w:lineRule="auto"/>
        <w:contextualSpacing/>
        <w:rPr>
          <w:color w:val="000000" w:themeColor="text1"/>
          <w:sz w:val="21"/>
          <w:szCs w:val="21"/>
        </w:rPr>
      </w:pPr>
      <w:r w:rsidRPr="00CA7C54">
        <w:rPr>
          <w:b/>
          <w:color w:val="000000" w:themeColor="text1"/>
          <w:sz w:val="21"/>
          <w:szCs w:val="21"/>
        </w:rPr>
        <w:t xml:space="preserve">14.1.1.5 </w:t>
      </w:r>
      <w:r w:rsidRPr="00CA7C54">
        <w:rPr>
          <w:color w:val="000000" w:themeColor="text1"/>
          <w:sz w:val="21"/>
          <w:szCs w:val="21"/>
        </w:rPr>
        <w:t>При про</w:t>
      </w:r>
      <w:r w:rsidR="00D11A1E" w:rsidRPr="00CA7C54">
        <w:rPr>
          <w:color w:val="000000" w:themeColor="text1"/>
          <w:sz w:val="21"/>
          <w:szCs w:val="21"/>
        </w:rPr>
        <w:t>є</w:t>
      </w:r>
      <w:r w:rsidRPr="00CA7C54">
        <w:rPr>
          <w:color w:val="000000" w:themeColor="text1"/>
          <w:sz w:val="21"/>
          <w:szCs w:val="21"/>
        </w:rPr>
        <w:t xml:space="preserve">ктуванні окремо розташованих захисних споруд, які будуються у сейсмічних районах, розрахунок на сейсмічний вплив не виконується. </w:t>
      </w:r>
    </w:p>
    <w:p w14:paraId="05196B81" w14:textId="611D9975"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 xml:space="preserve">Вбудовані та прибудовані захисні споруди розраховуються на сейсмічний вплив у комплексі із будівлею, в яку вбудовано або прибудовано захисну споруду, з урахуванням вимог </w:t>
      </w:r>
      <w:r w:rsidR="001F3728">
        <w:rPr>
          <w:color w:val="000000" w:themeColor="text1"/>
          <w:sz w:val="21"/>
          <w:szCs w:val="21"/>
        </w:rPr>
        <w:t xml:space="preserve">              </w:t>
      </w:r>
      <w:hyperlink r:id="rId292" w:history="1">
        <w:r w:rsidRPr="001F3728">
          <w:rPr>
            <w:rStyle w:val="ac"/>
            <w:rFonts w:cs="Arial"/>
            <w:sz w:val="21"/>
            <w:szCs w:val="21"/>
          </w:rPr>
          <w:t>ДБН В.1.1-12</w:t>
        </w:r>
      </w:hyperlink>
      <w:r w:rsidRPr="00CA7C54">
        <w:rPr>
          <w:color w:val="000000" w:themeColor="text1"/>
          <w:sz w:val="21"/>
          <w:szCs w:val="21"/>
        </w:rPr>
        <w:t xml:space="preserve"> за необхідності виконання такого розрахунку для даної будівлі.</w:t>
      </w:r>
    </w:p>
    <w:p w14:paraId="3B3DE2FE" w14:textId="77777777" w:rsidR="003C4E04" w:rsidRPr="00CA7C54" w:rsidRDefault="001E748C" w:rsidP="00FA1C29">
      <w:pPr>
        <w:spacing w:before="0" w:line="288" w:lineRule="auto"/>
        <w:contextualSpacing/>
        <w:rPr>
          <w:color w:val="000000" w:themeColor="text1"/>
          <w:sz w:val="21"/>
          <w:szCs w:val="21"/>
          <w:highlight w:val="white"/>
        </w:rPr>
      </w:pPr>
      <w:r w:rsidRPr="00CA7C54">
        <w:rPr>
          <w:b/>
          <w:color w:val="000000" w:themeColor="text1"/>
          <w:sz w:val="21"/>
          <w:szCs w:val="21"/>
        </w:rPr>
        <w:t xml:space="preserve">14.1.1.6 </w:t>
      </w:r>
      <w:r w:rsidRPr="00CA7C54">
        <w:rPr>
          <w:color w:val="000000" w:themeColor="text1"/>
          <w:sz w:val="21"/>
          <w:szCs w:val="21"/>
        </w:rPr>
        <w:t>При про</w:t>
      </w:r>
      <w:r w:rsidR="00E2566D" w:rsidRPr="00CA7C54">
        <w:rPr>
          <w:color w:val="000000" w:themeColor="text1"/>
          <w:sz w:val="21"/>
          <w:szCs w:val="21"/>
        </w:rPr>
        <w:t>є</w:t>
      </w:r>
      <w:r w:rsidRPr="00CA7C54">
        <w:rPr>
          <w:color w:val="000000" w:themeColor="text1"/>
          <w:sz w:val="21"/>
          <w:szCs w:val="21"/>
        </w:rPr>
        <w:t xml:space="preserve">ктуванні зовнішніх огороджувальних конструкцій (стін та покриття), захисних екранів на входах захисних споруд, із метою забезпечення непробивання уламками та уникнення ефекту відколювання внутрішнього шару </w:t>
      </w:r>
      <w:r w:rsidRPr="00CA7C54">
        <w:rPr>
          <w:color w:val="000000" w:themeColor="text1"/>
          <w:sz w:val="21"/>
          <w:szCs w:val="21"/>
          <w:highlight w:val="white"/>
        </w:rPr>
        <w:t xml:space="preserve">бетону і їх розльоту, що несе небезпеку для людей у споруді цивільного захисту, слід дотримуватись вимог 14.2.3 цих </w:t>
      </w:r>
      <w:r w:rsidR="00490AA1" w:rsidRPr="00CA7C54">
        <w:rPr>
          <w:color w:val="000000" w:themeColor="text1"/>
          <w:sz w:val="21"/>
          <w:szCs w:val="21"/>
          <w:highlight w:val="white"/>
        </w:rPr>
        <w:t>н</w:t>
      </w:r>
      <w:r w:rsidRPr="00CA7C54">
        <w:rPr>
          <w:color w:val="000000" w:themeColor="text1"/>
          <w:sz w:val="21"/>
          <w:szCs w:val="21"/>
          <w:highlight w:val="white"/>
        </w:rPr>
        <w:t>орм.</w:t>
      </w:r>
    </w:p>
    <w:p w14:paraId="503A0DC7" w14:textId="77777777" w:rsidR="003C4E04" w:rsidRPr="00CA7C54" w:rsidRDefault="001E748C" w:rsidP="00FA1C29">
      <w:pPr>
        <w:pStyle w:val="3"/>
        <w:spacing w:before="0" w:after="0" w:line="288" w:lineRule="auto"/>
        <w:contextualSpacing/>
        <w:rPr>
          <w:color w:val="000000" w:themeColor="text1"/>
          <w:sz w:val="21"/>
          <w:szCs w:val="21"/>
          <w:highlight w:val="white"/>
        </w:rPr>
      </w:pPr>
      <w:r w:rsidRPr="00CA7C54">
        <w:rPr>
          <w:color w:val="000000" w:themeColor="text1"/>
          <w:sz w:val="21"/>
          <w:szCs w:val="21"/>
          <w:highlight w:val="white"/>
        </w:rPr>
        <w:t>14.1.2 Приведене навантаження від впливу повітряної ударної хвилі</w:t>
      </w:r>
    </w:p>
    <w:p w14:paraId="5E2F6D86" w14:textId="77777777" w:rsidR="003C4E04" w:rsidRPr="00CA7C54" w:rsidRDefault="001E748C" w:rsidP="00FA1C29">
      <w:pPr>
        <w:spacing w:before="0" w:line="288" w:lineRule="auto"/>
        <w:contextualSpacing/>
        <w:rPr>
          <w:color w:val="000000" w:themeColor="text1"/>
          <w:sz w:val="21"/>
          <w:szCs w:val="21"/>
          <w:highlight w:val="white"/>
        </w:rPr>
      </w:pPr>
      <w:r w:rsidRPr="00CA7C54">
        <w:rPr>
          <w:b/>
          <w:color w:val="000000" w:themeColor="text1"/>
          <w:sz w:val="21"/>
          <w:szCs w:val="21"/>
        </w:rPr>
        <w:t>14.1.2.1</w:t>
      </w:r>
      <w:r w:rsidRPr="00CA7C54">
        <w:rPr>
          <w:color w:val="000000" w:themeColor="text1"/>
          <w:sz w:val="21"/>
          <w:szCs w:val="21"/>
        </w:rPr>
        <w:t xml:space="preserve"> Приведене навантаження на елементи конструкцій визначається умовами дiї повітряної ударної х</w:t>
      </w:r>
      <w:r w:rsidRPr="00CA7C54">
        <w:rPr>
          <w:color w:val="000000" w:themeColor="text1"/>
          <w:sz w:val="21"/>
          <w:szCs w:val="21"/>
          <w:highlight w:val="white"/>
        </w:rPr>
        <w:t>вилі на захисну споруду чи СПП залежно від розміщення, заглиблення їх у ґрунт та гiдрогеологiчних умов (рисунок 14.1).</w:t>
      </w:r>
    </w:p>
    <w:p w14:paraId="5C898C8A"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 xml:space="preserve">Приведене навантаження </w:t>
      </w:r>
      <w:r w:rsidRPr="00CA7C54">
        <w:rPr>
          <w:i/>
          <w:color w:val="000000" w:themeColor="text1"/>
          <w:sz w:val="21"/>
          <w:szCs w:val="21"/>
        </w:rPr>
        <w:t>Р</w:t>
      </w:r>
      <w:r w:rsidRPr="00CA7C54">
        <w:rPr>
          <w:i/>
          <w:color w:val="000000" w:themeColor="text1"/>
          <w:sz w:val="21"/>
          <w:szCs w:val="21"/>
          <w:vertAlign w:val="subscript"/>
        </w:rPr>
        <w:t>n</w:t>
      </w:r>
      <w:r w:rsidRPr="00CA7C54">
        <w:rPr>
          <w:color w:val="000000" w:themeColor="text1"/>
          <w:sz w:val="21"/>
          <w:szCs w:val="21"/>
        </w:rPr>
        <w:t>приймається рiвномiрно розподiленим по площi та прикладеним нормально (перпендикулярно) до поверхнi конструкці</w:t>
      </w:r>
      <w:r w:rsidRPr="00CA7C54">
        <w:rPr>
          <w:color w:val="000000" w:themeColor="text1"/>
          <w:sz w:val="21"/>
          <w:szCs w:val="21"/>
          <w:highlight w:val="white"/>
        </w:rPr>
        <w:t>ї та визначається для кожної конструкції окремо за найбільш відповідною схемою рисунк</w:t>
      </w:r>
      <w:r w:rsidR="00F65CEF" w:rsidRPr="00CA7C54">
        <w:rPr>
          <w:color w:val="000000" w:themeColor="text1"/>
          <w:sz w:val="21"/>
          <w:szCs w:val="21"/>
          <w:highlight w:val="white"/>
        </w:rPr>
        <w:t>а</w:t>
      </w:r>
      <w:r w:rsidRPr="00CA7C54">
        <w:rPr>
          <w:color w:val="000000" w:themeColor="text1"/>
          <w:sz w:val="21"/>
          <w:szCs w:val="21"/>
          <w:highlight w:val="white"/>
        </w:rPr>
        <w:t xml:space="preserve"> 14.1 (для </w:t>
      </w:r>
      <w:r w:rsidRPr="00CA7C54">
        <w:rPr>
          <w:color w:val="000000" w:themeColor="text1"/>
          <w:sz w:val="21"/>
          <w:szCs w:val="21"/>
        </w:rPr>
        <w:t xml:space="preserve">одної захисної споруди чи </w:t>
      </w:r>
      <w:r w:rsidRPr="00CA7C54">
        <w:rPr>
          <w:color w:val="000000" w:themeColor="text1"/>
          <w:sz w:val="21"/>
          <w:szCs w:val="21"/>
        </w:rPr>
        <w:lastRenderedPageBreak/>
        <w:t xml:space="preserve">СПП одночасно можуть обиратися навантаження на елементи конструкцій за різними відповідними схемами).  </w:t>
      </w:r>
    </w:p>
    <w:p w14:paraId="23E16253"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При виборі комбінацій навантажень необхідно враховувати найбільш несприятливі умови роботи конструкцій елементів та відповідні напрямки прикладання навантажень. Обов’язковою при розрахунках є комбінації навантажень з одночасним прикладанням навантаження до всіх конструкцій, що потрапляють під дію повітряної ударної хвилі (зовнішні стіни, покриття, фундаменти, конструкції входів, тамбур-шлюзів і тамбурів, оголовки шахт, захисно-герметичні та захисні двері тощо), в тому числі при дії тиску нагнітання зсередини (тамбур-шлюзи, тамбури, вентиляційні шахти, входи, аварійні виходи тощо) та одночасним прикладанням навантаження із всіх напрямків до зовнішніх конструкцій (зовнішні стіни, покриття, фундаменти, конструкції входів, захисно-герметичні та захисні двері, оголовки шахт тощо).</w:t>
      </w:r>
    </w:p>
    <w:p w14:paraId="1885DBFA"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 xml:space="preserve">Розрахунковий надмірний тиск </w:t>
      </w:r>
      <w:sdt>
        <w:sdtPr>
          <w:rPr>
            <w:color w:val="000000" w:themeColor="text1"/>
            <w:sz w:val="21"/>
            <w:szCs w:val="21"/>
          </w:rPr>
          <w:tag w:val="goog_rdk_13"/>
          <w:id w:val="1083113872"/>
        </w:sdtPr>
        <w:sdtEndPr/>
        <w:sdtContent>
          <w:r w:rsidRPr="00CA7C54">
            <w:rPr>
              <w:rFonts w:eastAsia="Arial Unicode MS"/>
              <w:i/>
              <w:color w:val="000000" w:themeColor="text1"/>
              <w:sz w:val="21"/>
              <w:szCs w:val="21"/>
            </w:rPr>
            <w:t>∆Р</w:t>
          </w:r>
        </w:sdtContent>
      </w:sdt>
      <w:r w:rsidRPr="00CA7C54">
        <w:rPr>
          <w:i/>
          <w:color w:val="000000" w:themeColor="text1"/>
          <w:sz w:val="21"/>
          <w:szCs w:val="21"/>
          <w:vertAlign w:val="subscript"/>
        </w:rPr>
        <w:t>ex</w:t>
      </w:r>
      <w:r w:rsidRPr="00CA7C54">
        <w:rPr>
          <w:color w:val="000000" w:themeColor="text1"/>
          <w:sz w:val="21"/>
          <w:szCs w:val="21"/>
        </w:rPr>
        <w:t xml:space="preserve"> для відповідних класів та груп захисних споруд приймається відповідно до таблиць А.1 і А.2, наведених у додатку А.</w:t>
      </w:r>
    </w:p>
    <w:p w14:paraId="6254C6C8" w14:textId="77777777" w:rsidR="003C4E04" w:rsidRPr="00CA7C54" w:rsidRDefault="001E748C" w:rsidP="00FA1C29">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rPr>
        <w:t>14.1.2.2</w:t>
      </w:r>
      <w:r w:rsidRPr="00CA7C54">
        <w:rPr>
          <w:color w:val="000000" w:themeColor="text1"/>
          <w:sz w:val="21"/>
          <w:szCs w:val="21"/>
        </w:rPr>
        <w:t xml:space="preserve"> Приведене вертикальне навантаження </w:t>
      </w:r>
      <w:r w:rsidRPr="00CA7C54">
        <w:rPr>
          <w:i/>
          <w:color w:val="000000" w:themeColor="text1"/>
          <w:sz w:val="21"/>
          <w:szCs w:val="21"/>
        </w:rPr>
        <w:t>Р</w:t>
      </w:r>
      <w:r w:rsidRPr="00CA7C54">
        <w:rPr>
          <w:i/>
          <w:color w:val="000000" w:themeColor="text1"/>
          <w:sz w:val="21"/>
          <w:szCs w:val="21"/>
          <w:vertAlign w:val="subscript"/>
        </w:rPr>
        <w:t>1</w:t>
      </w:r>
      <w:r w:rsidRPr="00CA7C54">
        <w:rPr>
          <w:color w:val="000000" w:themeColor="text1"/>
          <w:sz w:val="21"/>
          <w:szCs w:val="21"/>
        </w:rPr>
        <w:t xml:space="preserve"> (кПа) на покриття захисних споруд і </w:t>
      </w:r>
      <w:r w:rsidRPr="00CA7C54">
        <w:rPr>
          <w:color w:val="000000" w:themeColor="text1"/>
          <w:sz w:val="21"/>
          <w:szCs w:val="21"/>
          <w:highlight w:val="white"/>
        </w:rPr>
        <w:t>СПП залежно від схеми прикладання приведеного навантаження слід визначати за формулами, наведеними в таблиці 14.1</w:t>
      </w:r>
    </w:p>
    <w:p w14:paraId="695AD300" w14:textId="77777777" w:rsidR="003C4E04" w:rsidRPr="00CA7C54" w:rsidRDefault="003C4E04" w:rsidP="00FA1C29">
      <w:pPr>
        <w:pBdr>
          <w:top w:val="nil"/>
          <w:left w:val="nil"/>
          <w:bottom w:val="nil"/>
          <w:right w:val="nil"/>
          <w:between w:val="nil"/>
        </w:pBdr>
        <w:spacing w:before="0" w:line="288" w:lineRule="auto"/>
        <w:ind w:right="142"/>
        <w:contextualSpacing/>
        <w:rPr>
          <w:rFonts w:eastAsia="Times New Roman"/>
          <w:color w:val="000000" w:themeColor="text1"/>
          <w:sz w:val="21"/>
          <w:szCs w:val="21"/>
          <w:highlight w:val="white"/>
        </w:rPr>
      </w:pPr>
    </w:p>
    <w:p w14:paraId="5C5D99DD" w14:textId="77777777" w:rsidR="003C4E04" w:rsidRPr="00CA7C54" w:rsidRDefault="001E748C" w:rsidP="00C3132F">
      <w:pPr>
        <w:pBdr>
          <w:top w:val="nil"/>
          <w:left w:val="nil"/>
          <w:bottom w:val="nil"/>
          <w:right w:val="nil"/>
          <w:between w:val="nil"/>
        </w:pBdr>
        <w:spacing w:before="0" w:line="288" w:lineRule="auto"/>
        <w:ind w:left="2268" w:right="142" w:hanging="1701"/>
        <w:contextualSpacing/>
        <w:rPr>
          <w:color w:val="000000" w:themeColor="text1"/>
          <w:sz w:val="21"/>
          <w:szCs w:val="21"/>
          <w:highlight w:val="white"/>
        </w:rPr>
      </w:pPr>
      <w:r w:rsidRPr="00CA7C54">
        <w:rPr>
          <w:b/>
          <w:color w:val="000000" w:themeColor="text1"/>
          <w:sz w:val="21"/>
          <w:szCs w:val="21"/>
          <w:highlight w:val="white"/>
        </w:rPr>
        <w:t xml:space="preserve">Таблиця 14.1 </w:t>
      </w:r>
      <w:r w:rsidRPr="00CA7C54">
        <w:rPr>
          <w:color w:val="000000" w:themeColor="text1"/>
          <w:sz w:val="21"/>
          <w:szCs w:val="21"/>
          <w:highlight w:val="white"/>
        </w:rPr>
        <w:t xml:space="preserve">– Вертикальне приведене навантаження </w:t>
      </w:r>
      <w:r w:rsidRPr="00CA7C54">
        <w:rPr>
          <w:i/>
          <w:color w:val="000000" w:themeColor="text1"/>
          <w:sz w:val="21"/>
          <w:szCs w:val="21"/>
          <w:highlight w:val="white"/>
        </w:rPr>
        <w:t>Р</w:t>
      </w:r>
      <w:r w:rsidRPr="00CA7C54">
        <w:rPr>
          <w:i/>
          <w:color w:val="000000" w:themeColor="text1"/>
          <w:sz w:val="21"/>
          <w:szCs w:val="21"/>
          <w:highlight w:val="white"/>
          <w:vertAlign w:val="subscript"/>
        </w:rPr>
        <w:t>1</w:t>
      </w:r>
      <w:r w:rsidRPr="00CA7C54">
        <w:rPr>
          <w:color w:val="000000" w:themeColor="text1"/>
          <w:sz w:val="21"/>
          <w:szCs w:val="21"/>
          <w:highlight w:val="white"/>
        </w:rPr>
        <w:t xml:space="preserve"> (кПа) на покриття захисної споруди / СПП</w:t>
      </w:r>
    </w:p>
    <w:p w14:paraId="0DE49E96" w14:textId="77777777" w:rsidR="00102386" w:rsidRPr="00CA7C54" w:rsidRDefault="00102386" w:rsidP="00FA1C29">
      <w:pPr>
        <w:pBdr>
          <w:top w:val="nil"/>
          <w:left w:val="nil"/>
          <w:bottom w:val="nil"/>
          <w:right w:val="nil"/>
          <w:between w:val="nil"/>
        </w:pBdr>
        <w:spacing w:before="0" w:line="288" w:lineRule="auto"/>
        <w:ind w:right="142"/>
        <w:contextualSpacing/>
        <w:rPr>
          <w:color w:val="000000" w:themeColor="text1"/>
          <w:sz w:val="21"/>
          <w:szCs w:val="21"/>
          <w:highlight w:val="white"/>
        </w:rPr>
      </w:pPr>
    </w:p>
    <w:tbl>
      <w:tblPr>
        <w:tblStyle w:val="afffffffffffffffffffffffffffffff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CA7C54" w:rsidRPr="00CA7C54" w14:paraId="29176ACD" w14:textId="77777777" w:rsidTr="004700A0">
        <w:trPr>
          <w:trHeight w:val="833"/>
        </w:trPr>
        <w:tc>
          <w:tcPr>
            <w:tcW w:w="5954" w:type="dxa"/>
            <w:shd w:val="clear" w:color="auto" w:fill="auto"/>
            <w:vAlign w:val="center"/>
          </w:tcPr>
          <w:p w14:paraId="16A4982B"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 xml:space="preserve">Схема прикладання приведеного навантаження </w:t>
            </w:r>
          </w:p>
        </w:tc>
        <w:tc>
          <w:tcPr>
            <w:tcW w:w="3685" w:type="dxa"/>
            <w:shd w:val="clear" w:color="auto" w:fill="auto"/>
            <w:vAlign w:val="center"/>
          </w:tcPr>
          <w:p w14:paraId="436E5B86" w14:textId="77777777" w:rsidR="004700A0" w:rsidRDefault="001E748C" w:rsidP="00FA1C29">
            <w:pPr>
              <w:spacing w:before="0" w:line="288" w:lineRule="auto"/>
              <w:ind w:firstLine="0"/>
              <w:contextualSpacing/>
              <w:jc w:val="center"/>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Вертикальне приведене навантаження Р</w:t>
            </w:r>
            <w:r w:rsidRPr="00CA7C54">
              <w:rPr>
                <w:rFonts w:ascii="Arial" w:hAnsi="Arial" w:cs="Arial"/>
                <w:b/>
                <w:color w:val="000000" w:themeColor="text1"/>
                <w:sz w:val="21"/>
                <w:szCs w:val="21"/>
                <w:highlight w:val="white"/>
                <w:vertAlign w:val="subscript"/>
              </w:rPr>
              <w:t>1</w:t>
            </w:r>
            <w:r w:rsidRPr="00CA7C54">
              <w:rPr>
                <w:rFonts w:ascii="Arial" w:hAnsi="Arial" w:cs="Arial"/>
                <w:b/>
                <w:color w:val="000000" w:themeColor="text1"/>
                <w:sz w:val="21"/>
                <w:szCs w:val="21"/>
                <w:highlight w:val="white"/>
              </w:rPr>
              <w:t xml:space="preserve"> (кПа) на покриття захисної </w:t>
            </w:r>
          </w:p>
          <w:p w14:paraId="7BB9FC77" w14:textId="77777777" w:rsidR="003C4E04" w:rsidRPr="00CA7C54" w:rsidRDefault="001E748C" w:rsidP="00FA1C29">
            <w:pP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споруди / СПП</w:t>
            </w:r>
          </w:p>
        </w:tc>
      </w:tr>
      <w:tr w:rsidR="00CA7C54" w:rsidRPr="00CA7C54" w14:paraId="0681041F" w14:textId="77777777" w:rsidTr="004700A0">
        <w:trPr>
          <w:trHeight w:val="589"/>
        </w:trPr>
        <w:tc>
          <w:tcPr>
            <w:tcW w:w="5954" w:type="dxa"/>
            <w:shd w:val="clear" w:color="auto" w:fill="auto"/>
            <w:vAlign w:val="center"/>
          </w:tcPr>
          <w:p w14:paraId="026900D6"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Схеми</w:t>
            </w:r>
            <w:r w:rsidRPr="00CA7C54">
              <w:rPr>
                <w:rFonts w:ascii="Arial" w:hAnsi="Arial" w:cs="Arial"/>
                <w:color w:val="000000" w:themeColor="text1"/>
                <w:sz w:val="21"/>
                <w:szCs w:val="21"/>
                <w:highlight w:val="white"/>
              </w:rPr>
              <w:t xml:space="preserve"> «</w:t>
            </w:r>
            <w:r w:rsidRPr="00CA7C54">
              <w:rPr>
                <w:rFonts w:ascii="Arial" w:hAnsi="Arial" w:cs="Arial"/>
                <w:b/>
                <w:color w:val="000000" w:themeColor="text1"/>
                <w:sz w:val="21"/>
                <w:szCs w:val="21"/>
                <w:highlight w:val="white"/>
              </w:rPr>
              <w:t>а», «б», «в», «г», «д», «е», «ж», «з», «и»</w:t>
            </w:r>
            <w:r w:rsidRPr="00CA7C54">
              <w:rPr>
                <w:rFonts w:ascii="Arial" w:hAnsi="Arial" w:cs="Arial"/>
                <w:color w:val="000000" w:themeColor="text1"/>
                <w:sz w:val="21"/>
                <w:szCs w:val="21"/>
                <w:highlight w:val="white"/>
              </w:rPr>
              <w:t>, наведені на рисунку 14.1 (вбудованих в будівлі/споруди)</w:t>
            </w:r>
          </w:p>
        </w:tc>
        <w:tc>
          <w:tcPr>
            <w:tcW w:w="3685" w:type="dxa"/>
            <w:shd w:val="clear" w:color="auto" w:fill="auto"/>
            <w:vAlign w:val="center"/>
          </w:tcPr>
          <w:p w14:paraId="1151B45D" w14:textId="77777777" w:rsidR="003C4E04" w:rsidRPr="00CA7C54" w:rsidRDefault="001E748C" w:rsidP="00FA1C29">
            <w:pP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 xml:space="preserve">1 </w:t>
            </w:r>
            <w:sdt>
              <w:sdtPr>
                <w:rPr>
                  <w:color w:val="000000" w:themeColor="text1"/>
                  <w:sz w:val="21"/>
                  <w:szCs w:val="21"/>
                </w:rPr>
                <w:tag w:val="goog_rdk_14"/>
                <w:id w:val="1244447725"/>
              </w:sdtPr>
              <w:sdtEndPr/>
              <w:sdtContent>
                <w:r w:rsidRPr="00CA7C54">
                  <w:rPr>
                    <w:rFonts w:ascii="Arial" w:eastAsia="Arial Unicode MS" w:hAnsi="Arial" w:cs="Arial"/>
                    <w:i/>
                    <w:color w:val="000000" w:themeColor="text1"/>
                    <w:sz w:val="21"/>
                    <w:szCs w:val="21"/>
                    <w:highlight w:val="white"/>
                  </w:rPr>
                  <w:t>= ∆Р</w:t>
                </w:r>
              </w:sdtContent>
            </w:sdt>
            <w:r w:rsidRPr="00CA7C54">
              <w:rPr>
                <w:rFonts w:ascii="Arial" w:hAnsi="Arial" w:cs="Arial"/>
                <w:i/>
                <w:color w:val="000000" w:themeColor="text1"/>
                <w:sz w:val="21"/>
                <w:szCs w:val="21"/>
                <w:highlight w:val="white"/>
                <w:vertAlign w:val="subscript"/>
              </w:rPr>
              <w:t xml:space="preserve">ex </w:t>
            </w:r>
          </w:p>
        </w:tc>
      </w:tr>
      <w:tr w:rsidR="00CA7C54" w:rsidRPr="00CA7C54" w14:paraId="18838BD4" w14:textId="77777777" w:rsidTr="004700A0">
        <w:trPr>
          <w:trHeight w:val="555"/>
        </w:trPr>
        <w:tc>
          <w:tcPr>
            <w:tcW w:w="5954" w:type="dxa"/>
            <w:shd w:val="clear" w:color="auto" w:fill="auto"/>
            <w:vAlign w:val="center"/>
          </w:tcPr>
          <w:p w14:paraId="1E87C373"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Схема «к»</w:t>
            </w:r>
            <w:r w:rsidRPr="00CA7C54">
              <w:rPr>
                <w:rFonts w:ascii="Arial" w:hAnsi="Arial" w:cs="Arial"/>
                <w:color w:val="000000" w:themeColor="text1"/>
                <w:sz w:val="21"/>
                <w:szCs w:val="21"/>
                <w:highlight w:val="white"/>
              </w:rPr>
              <w:t>, наведена на рисунку 14.1 (вбудованих в будівлі/споруди під технічним підвалом)</w:t>
            </w:r>
          </w:p>
        </w:tc>
        <w:tc>
          <w:tcPr>
            <w:tcW w:w="3685" w:type="dxa"/>
            <w:shd w:val="clear" w:color="auto" w:fill="auto"/>
            <w:vAlign w:val="center"/>
          </w:tcPr>
          <w:p w14:paraId="5961D05E" w14:textId="77777777" w:rsidR="003C4E04" w:rsidRPr="00CA7C54" w:rsidRDefault="001E748C" w:rsidP="00FA1C29">
            <w:pP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 xml:space="preserve">1 </w:t>
            </w:r>
            <w:sdt>
              <w:sdtPr>
                <w:rPr>
                  <w:color w:val="000000" w:themeColor="text1"/>
                  <w:sz w:val="21"/>
                  <w:szCs w:val="21"/>
                </w:rPr>
                <w:tag w:val="goog_rdk_15"/>
                <w:id w:val="-940825893"/>
              </w:sdtPr>
              <w:sdtEndPr/>
              <w:sdtContent>
                <w:r w:rsidRPr="00CA7C54">
                  <w:rPr>
                    <w:rFonts w:ascii="Arial" w:eastAsia="Arial Unicode MS" w:hAnsi="Arial" w:cs="Arial"/>
                    <w:i/>
                    <w:color w:val="000000" w:themeColor="text1"/>
                    <w:sz w:val="21"/>
                    <w:szCs w:val="21"/>
                    <w:highlight w:val="white"/>
                  </w:rPr>
                  <w:t>= 0,8· ∆Р</w:t>
                </w:r>
              </w:sdtContent>
            </w:sdt>
            <w:r w:rsidRPr="00CA7C54">
              <w:rPr>
                <w:rFonts w:ascii="Arial" w:hAnsi="Arial" w:cs="Arial"/>
                <w:i/>
                <w:color w:val="000000" w:themeColor="text1"/>
                <w:sz w:val="21"/>
                <w:szCs w:val="21"/>
                <w:highlight w:val="white"/>
                <w:vertAlign w:val="subscript"/>
              </w:rPr>
              <w:t>ex</w:t>
            </w:r>
          </w:p>
        </w:tc>
      </w:tr>
      <w:tr w:rsidR="00CA7C54" w:rsidRPr="00CA7C54" w14:paraId="6F5CE393" w14:textId="77777777" w:rsidTr="004700A0">
        <w:trPr>
          <w:trHeight w:val="455"/>
        </w:trPr>
        <w:tc>
          <w:tcPr>
            <w:tcW w:w="5954" w:type="dxa"/>
            <w:shd w:val="clear" w:color="auto" w:fill="auto"/>
            <w:vAlign w:val="center"/>
          </w:tcPr>
          <w:p w14:paraId="09980A27"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Окремо розташовані захисні споруди/СПП</w:t>
            </w:r>
          </w:p>
        </w:tc>
        <w:tc>
          <w:tcPr>
            <w:tcW w:w="3685" w:type="dxa"/>
            <w:shd w:val="clear" w:color="auto" w:fill="auto"/>
            <w:vAlign w:val="center"/>
          </w:tcPr>
          <w:p w14:paraId="28CA2E3F" w14:textId="77777777" w:rsidR="003C4E04" w:rsidRPr="00CA7C54" w:rsidRDefault="001E748C" w:rsidP="00FA1C29">
            <w:pP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 xml:space="preserve">1 </w:t>
            </w:r>
            <w:sdt>
              <w:sdtPr>
                <w:rPr>
                  <w:color w:val="000000" w:themeColor="text1"/>
                  <w:sz w:val="21"/>
                  <w:szCs w:val="21"/>
                </w:rPr>
                <w:tag w:val="goog_rdk_16"/>
                <w:id w:val="-2127233874"/>
              </w:sdtPr>
              <w:sdtEndPr/>
              <w:sdtContent>
                <w:r w:rsidRPr="00CA7C54">
                  <w:rPr>
                    <w:rFonts w:ascii="Arial" w:eastAsia="Arial Unicode MS" w:hAnsi="Arial" w:cs="Arial"/>
                    <w:i/>
                    <w:color w:val="000000" w:themeColor="text1"/>
                    <w:sz w:val="21"/>
                    <w:szCs w:val="21"/>
                    <w:highlight w:val="white"/>
                  </w:rPr>
                  <w:t>= ∆Р</w:t>
                </w:r>
              </w:sdtContent>
            </w:sdt>
            <w:r w:rsidRPr="00CA7C54">
              <w:rPr>
                <w:rFonts w:ascii="Arial" w:hAnsi="Arial" w:cs="Arial"/>
                <w:i/>
                <w:color w:val="000000" w:themeColor="text1"/>
                <w:sz w:val="21"/>
                <w:szCs w:val="21"/>
                <w:highlight w:val="white"/>
                <w:vertAlign w:val="subscript"/>
              </w:rPr>
              <w:t>ex</w:t>
            </w:r>
          </w:p>
        </w:tc>
      </w:tr>
      <w:tr w:rsidR="00CA7C54" w:rsidRPr="00CA7C54" w14:paraId="79EA9039" w14:textId="77777777" w:rsidTr="004700A0">
        <w:trPr>
          <w:trHeight w:val="488"/>
        </w:trPr>
        <w:tc>
          <w:tcPr>
            <w:tcW w:w="5954" w:type="dxa"/>
            <w:shd w:val="clear" w:color="auto" w:fill="auto"/>
            <w:vAlign w:val="center"/>
          </w:tcPr>
          <w:p w14:paraId="5993838C"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Тунелі аварійних виходів</w:t>
            </w:r>
          </w:p>
        </w:tc>
        <w:tc>
          <w:tcPr>
            <w:tcW w:w="3685" w:type="dxa"/>
            <w:shd w:val="clear" w:color="auto" w:fill="auto"/>
            <w:vAlign w:val="center"/>
          </w:tcPr>
          <w:p w14:paraId="0B2A8986" w14:textId="77777777" w:rsidR="003C4E04" w:rsidRPr="00CA7C54" w:rsidRDefault="001E748C" w:rsidP="00FA1C29">
            <w:pP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 xml:space="preserve">1 </w:t>
            </w:r>
            <w:sdt>
              <w:sdtPr>
                <w:rPr>
                  <w:color w:val="000000" w:themeColor="text1"/>
                  <w:sz w:val="21"/>
                  <w:szCs w:val="21"/>
                </w:rPr>
                <w:tag w:val="goog_rdk_17"/>
                <w:id w:val="205923820"/>
              </w:sdtPr>
              <w:sdtEndPr/>
              <w:sdtContent>
                <w:r w:rsidRPr="00CA7C54">
                  <w:rPr>
                    <w:rFonts w:ascii="Arial" w:eastAsia="Arial Unicode MS" w:hAnsi="Arial" w:cs="Arial"/>
                    <w:i/>
                    <w:color w:val="000000" w:themeColor="text1"/>
                    <w:sz w:val="21"/>
                    <w:szCs w:val="21"/>
                    <w:highlight w:val="white"/>
                  </w:rPr>
                  <w:t>= ∆Р</w:t>
                </w:r>
              </w:sdtContent>
            </w:sdt>
            <w:r w:rsidRPr="00CA7C54">
              <w:rPr>
                <w:rFonts w:ascii="Arial" w:hAnsi="Arial" w:cs="Arial"/>
                <w:i/>
                <w:color w:val="000000" w:themeColor="text1"/>
                <w:sz w:val="21"/>
                <w:szCs w:val="21"/>
                <w:highlight w:val="white"/>
                <w:vertAlign w:val="subscript"/>
              </w:rPr>
              <w:t>ex</w:t>
            </w:r>
          </w:p>
        </w:tc>
      </w:tr>
    </w:tbl>
    <w:p w14:paraId="36ABE3E7" w14:textId="77777777" w:rsidR="003C4E04" w:rsidRPr="00CA7C54" w:rsidRDefault="003C4E04" w:rsidP="00FA1C29">
      <w:pPr>
        <w:pBdr>
          <w:top w:val="nil"/>
          <w:left w:val="nil"/>
          <w:bottom w:val="nil"/>
          <w:right w:val="nil"/>
          <w:between w:val="nil"/>
        </w:pBdr>
        <w:spacing w:before="0" w:line="288" w:lineRule="auto"/>
        <w:ind w:right="142" w:firstLine="709"/>
        <w:contextualSpacing/>
        <w:rPr>
          <w:b/>
          <w:color w:val="000000" w:themeColor="text1"/>
          <w:sz w:val="21"/>
          <w:szCs w:val="21"/>
        </w:rPr>
      </w:pPr>
    </w:p>
    <w:p w14:paraId="7B52DEDE" w14:textId="77777777" w:rsidR="003C4E04" w:rsidRPr="00CA7C54" w:rsidRDefault="001E748C" w:rsidP="00FA1C29">
      <w:pPr>
        <w:pBdr>
          <w:top w:val="nil"/>
          <w:left w:val="nil"/>
          <w:bottom w:val="nil"/>
          <w:right w:val="nil"/>
          <w:between w:val="nil"/>
        </w:pBdr>
        <w:spacing w:before="0" w:line="288" w:lineRule="auto"/>
        <w:ind w:right="142" w:firstLine="709"/>
        <w:contextualSpacing/>
        <w:rPr>
          <w:color w:val="000000" w:themeColor="text1"/>
          <w:sz w:val="21"/>
          <w:szCs w:val="21"/>
          <w:highlight w:val="white"/>
        </w:rPr>
      </w:pPr>
      <w:r w:rsidRPr="00CA7C54">
        <w:rPr>
          <w:b/>
          <w:color w:val="000000" w:themeColor="text1"/>
          <w:sz w:val="21"/>
          <w:szCs w:val="21"/>
        </w:rPr>
        <w:t>14.1.2.3</w:t>
      </w:r>
      <w:r w:rsidRPr="00CA7C54">
        <w:rPr>
          <w:color w:val="000000" w:themeColor="text1"/>
          <w:sz w:val="21"/>
          <w:szCs w:val="21"/>
        </w:rPr>
        <w:t xml:space="preserve"> Приведені горизонтальні навантаження </w:t>
      </w:r>
      <w:r w:rsidRPr="00CA7C54">
        <w:rPr>
          <w:i/>
          <w:color w:val="000000" w:themeColor="text1"/>
          <w:sz w:val="21"/>
          <w:szCs w:val="21"/>
        </w:rPr>
        <w:t>Р</w:t>
      </w:r>
      <w:r w:rsidRPr="00CA7C54">
        <w:rPr>
          <w:i/>
          <w:color w:val="000000" w:themeColor="text1"/>
          <w:sz w:val="21"/>
          <w:szCs w:val="21"/>
          <w:vertAlign w:val="subscript"/>
        </w:rPr>
        <w:t>2</w:t>
      </w:r>
      <w:r w:rsidRPr="00CA7C54">
        <w:rPr>
          <w:i/>
          <w:color w:val="000000" w:themeColor="text1"/>
          <w:sz w:val="21"/>
          <w:szCs w:val="21"/>
        </w:rPr>
        <w:t>, Р</w:t>
      </w:r>
      <w:r w:rsidRPr="00CA7C54">
        <w:rPr>
          <w:i/>
          <w:color w:val="000000" w:themeColor="text1"/>
          <w:sz w:val="21"/>
          <w:szCs w:val="21"/>
          <w:vertAlign w:val="subscript"/>
        </w:rPr>
        <w:t>2</w:t>
      </w:r>
      <w:r w:rsidRPr="00CA7C54">
        <w:rPr>
          <w:i/>
          <w:color w:val="000000" w:themeColor="text1"/>
          <w:sz w:val="21"/>
          <w:szCs w:val="21"/>
        </w:rPr>
        <w:t>', Р</w:t>
      </w:r>
      <w:r w:rsidRPr="00CA7C54">
        <w:rPr>
          <w:i/>
          <w:color w:val="000000" w:themeColor="text1"/>
          <w:sz w:val="21"/>
          <w:szCs w:val="21"/>
          <w:vertAlign w:val="subscript"/>
        </w:rPr>
        <w:t>3</w:t>
      </w:r>
      <w:r w:rsidRPr="00CA7C54">
        <w:rPr>
          <w:i/>
          <w:color w:val="000000" w:themeColor="text1"/>
          <w:sz w:val="21"/>
          <w:szCs w:val="21"/>
        </w:rPr>
        <w:t>, Р</w:t>
      </w:r>
      <w:r w:rsidRPr="00CA7C54">
        <w:rPr>
          <w:i/>
          <w:color w:val="000000" w:themeColor="text1"/>
          <w:sz w:val="21"/>
          <w:szCs w:val="21"/>
          <w:vertAlign w:val="subscript"/>
        </w:rPr>
        <w:t>4</w:t>
      </w:r>
      <w:r w:rsidRPr="00CA7C54">
        <w:rPr>
          <w:i/>
          <w:color w:val="000000" w:themeColor="text1"/>
          <w:sz w:val="21"/>
          <w:szCs w:val="21"/>
        </w:rPr>
        <w:t>, Р</w:t>
      </w:r>
      <w:r w:rsidRPr="00CA7C54">
        <w:rPr>
          <w:i/>
          <w:color w:val="000000" w:themeColor="text1"/>
          <w:sz w:val="21"/>
          <w:szCs w:val="21"/>
          <w:vertAlign w:val="subscript"/>
        </w:rPr>
        <w:t>4</w:t>
      </w:r>
      <w:r w:rsidRPr="00CA7C54">
        <w:rPr>
          <w:i/>
          <w:color w:val="000000" w:themeColor="text1"/>
          <w:sz w:val="21"/>
          <w:szCs w:val="21"/>
        </w:rPr>
        <w:t>'</w:t>
      </w:r>
      <w:r w:rsidRPr="00CA7C54">
        <w:rPr>
          <w:color w:val="000000" w:themeColor="text1"/>
          <w:sz w:val="21"/>
          <w:szCs w:val="21"/>
        </w:rPr>
        <w:t>, (кПа), що передаються на зовнішні стіни, слід визнач</w:t>
      </w:r>
      <w:r w:rsidRPr="00CA7C54">
        <w:rPr>
          <w:color w:val="000000" w:themeColor="text1"/>
          <w:sz w:val="21"/>
          <w:szCs w:val="21"/>
          <w:highlight w:val="white"/>
        </w:rPr>
        <w:t>ати за формулами в таблиці 14.2.</w:t>
      </w:r>
    </w:p>
    <w:p w14:paraId="353CF591" w14:textId="77777777" w:rsidR="00FA1C29" w:rsidRPr="00CA7C54" w:rsidRDefault="00FA1C29" w:rsidP="00FA1C29">
      <w:pPr>
        <w:spacing w:before="0" w:line="288" w:lineRule="auto"/>
        <w:contextualSpacing/>
        <w:rPr>
          <w:color w:val="000000" w:themeColor="text1"/>
          <w:sz w:val="21"/>
          <w:szCs w:val="21"/>
          <w:highlight w:val="white"/>
        </w:rPr>
      </w:pPr>
      <w:r w:rsidRPr="00CA7C54">
        <w:rPr>
          <w:color w:val="000000" w:themeColor="text1"/>
          <w:sz w:val="21"/>
          <w:szCs w:val="21"/>
          <w:highlight w:val="white"/>
        </w:rPr>
        <w:br w:type="page"/>
      </w:r>
    </w:p>
    <w:p w14:paraId="7EA58C85" w14:textId="77777777" w:rsidR="003C4E04" w:rsidRPr="00CA7C54" w:rsidRDefault="001E748C" w:rsidP="00FA1C29">
      <w:pPr>
        <w:pBdr>
          <w:top w:val="nil"/>
          <w:left w:val="nil"/>
          <w:bottom w:val="nil"/>
          <w:right w:val="nil"/>
          <w:between w:val="nil"/>
        </w:pBdr>
        <w:spacing w:before="0" w:line="288" w:lineRule="auto"/>
        <w:ind w:right="142"/>
        <w:contextualSpacing/>
        <w:rPr>
          <w:color w:val="000000" w:themeColor="text1"/>
          <w:sz w:val="21"/>
          <w:szCs w:val="21"/>
        </w:rPr>
      </w:pPr>
      <w:r w:rsidRPr="00CA7C54">
        <w:rPr>
          <w:b/>
          <w:color w:val="000000" w:themeColor="text1"/>
          <w:sz w:val="21"/>
          <w:szCs w:val="21"/>
          <w:highlight w:val="white"/>
        </w:rPr>
        <w:lastRenderedPageBreak/>
        <w:t xml:space="preserve">Таблиця 14.2 </w:t>
      </w:r>
      <w:r w:rsidRPr="00CA7C54">
        <w:rPr>
          <w:color w:val="000000" w:themeColor="text1"/>
          <w:sz w:val="21"/>
          <w:szCs w:val="21"/>
          <w:highlight w:val="white"/>
        </w:rPr>
        <w:t>– Горизонтальне привед</w:t>
      </w:r>
      <w:r w:rsidRPr="00CA7C54">
        <w:rPr>
          <w:color w:val="000000" w:themeColor="text1"/>
          <w:sz w:val="21"/>
          <w:szCs w:val="21"/>
        </w:rPr>
        <w:t>ене навантаження на елементи зовнішніх стін</w:t>
      </w:r>
    </w:p>
    <w:tbl>
      <w:tblPr>
        <w:tblStyle w:val="afffffffffffffffffffffffffffffffb"/>
        <w:tblW w:w="952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2"/>
        <w:gridCol w:w="4677"/>
        <w:gridCol w:w="3402"/>
      </w:tblGrid>
      <w:tr w:rsidR="00CA7C54" w:rsidRPr="00CA7C54" w14:paraId="0C446E97" w14:textId="77777777" w:rsidTr="004700A0">
        <w:trPr>
          <w:trHeight w:val="272"/>
          <w:tblHeader/>
        </w:trPr>
        <w:tc>
          <w:tcPr>
            <w:tcW w:w="6119" w:type="dxa"/>
            <w:gridSpan w:val="2"/>
            <w:shd w:val="clear" w:color="auto" w:fill="auto"/>
            <w:vAlign w:val="center"/>
          </w:tcPr>
          <w:p w14:paraId="300CCA25"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Схема прикладання приведеного навантаження</w:t>
            </w:r>
          </w:p>
        </w:tc>
        <w:tc>
          <w:tcPr>
            <w:tcW w:w="3402" w:type="dxa"/>
            <w:shd w:val="clear" w:color="auto" w:fill="auto"/>
          </w:tcPr>
          <w:p w14:paraId="75B3C2C8"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b/>
                <w:color w:val="000000" w:themeColor="text1"/>
                <w:sz w:val="20"/>
                <w:szCs w:val="20"/>
              </w:rPr>
            </w:pPr>
            <w:r w:rsidRPr="00CA7C54">
              <w:rPr>
                <w:rFonts w:ascii="Arial" w:hAnsi="Arial" w:cs="Arial"/>
                <w:b/>
                <w:color w:val="000000" w:themeColor="text1"/>
                <w:sz w:val="20"/>
                <w:szCs w:val="20"/>
              </w:rPr>
              <w:t>Горизонтальне приведене навантаження на елементи зовнішніх стін, кПа</w:t>
            </w:r>
          </w:p>
        </w:tc>
      </w:tr>
      <w:tr w:rsidR="00CA7C54" w:rsidRPr="00CA7C54" w14:paraId="2922521F" w14:textId="77777777" w:rsidTr="004700A0">
        <w:trPr>
          <w:trHeight w:val="263"/>
        </w:trPr>
        <w:tc>
          <w:tcPr>
            <w:tcW w:w="6119" w:type="dxa"/>
            <w:gridSpan w:val="2"/>
            <w:shd w:val="clear" w:color="auto" w:fill="auto"/>
          </w:tcPr>
          <w:p w14:paraId="38535B1E"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r w:rsidRPr="00CA7C54">
              <w:rPr>
                <w:rFonts w:ascii="Arial" w:hAnsi="Arial" w:cs="Arial"/>
                <w:b/>
                <w:color w:val="000000" w:themeColor="text1"/>
                <w:sz w:val="20"/>
                <w:szCs w:val="20"/>
              </w:rPr>
              <w:t>Схеми «а», «в», «г», «к»</w:t>
            </w:r>
            <w:r w:rsidRPr="00CA7C54">
              <w:rPr>
                <w:rFonts w:ascii="Arial" w:hAnsi="Arial" w:cs="Arial"/>
                <w:color w:val="000000" w:themeColor="text1"/>
                <w:sz w:val="20"/>
                <w:szCs w:val="20"/>
              </w:rPr>
              <w:t>, рисунок 14.1</w:t>
            </w:r>
          </w:p>
        </w:tc>
        <w:tc>
          <w:tcPr>
            <w:tcW w:w="3402" w:type="dxa"/>
            <w:shd w:val="clear" w:color="auto" w:fill="auto"/>
            <w:vAlign w:val="center"/>
          </w:tcPr>
          <w:p w14:paraId="70DB5394"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 xml:space="preserve">2 </w:t>
            </w:r>
            <w:r w:rsidRPr="00CA7C54">
              <w:rPr>
                <w:rFonts w:ascii="Arial" w:hAnsi="Arial" w:cs="Arial"/>
                <w:i/>
                <w:color w:val="000000" w:themeColor="text1"/>
                <w:sz w:val="20"/>
                <w:szCs w:val="20"/>
              </w:rPr>
              <w:t>= K</w:t>
            </w:r>
            <w:r w:rsidRPr="00CA7C54">
              <w:rPr>
                <w:rFonts w:ascii="Arial" w:hAnsi="Arial" w:cs="Arial"/>
                <w:i/>
                <w:color w:val="000000" w:themeColor="text1"/>
                <w:sz w:val="20"/>
                <w:szCs w:val="20"/>
                <w:vertAlign w:val="subscript"/>
              </w:rPr>
              <w:t>σ</w:t>
            </w:r>
            <w:sdt>
              <w:sdtPr>
                <w:rPr>
                  <w:color w:val="000000" w:themeColor="text1"/>
                  <w:sz w:val="20"/>
                  <w:szCs w:val="20"/>
                </w:rPr>
                <w:tag w:val="goog_rdk_18"/>
                <w:id w:val="702059191"/>
              </w:sdtPr>
              <w:sdtEndPr/>
              <w:sdtContent>
                <w:r w:rsidRPr="00CA7C54">
                  <w:rPr>
                    <w:rFonts w:ascii="Arial" w:eastAsia="Arial Unicode MS" w:hAnsi="Arial" w:cs="Arial"/>
                    <w:i/>
                    <w:color w:val="000000" w:themeColor="text1"/>
                    <w:sz w:val="20"/>
                    <w:szCs w:val="20"/>
                  </w:rPr>
                  <w:t xml:space="preserve"> ∆Р</w:t>
                </w:r>
              </w:sdtContent>
            </w:sdt>
            <w:r w:rsidRPr="00CA7C54">
              <w:rPr>
                <w:rFonts w:ascii="Arial" w:hAnsi="Arial" w:cs="Arial"/>
                <w:i/>
                <w:color w:val="000000" w:themeColor="text1"/>
                <w:sz w:val="20"/>
                <w:szCs w:val="20"/>
                <w:vertAlign w:val="subscript"/>
              </w:rPr>
              <w:t>ex</w:t>
            </w:r>
          </w:p>
        </w:tc>
      </w:tr>
      <w:tr w:rsidR="00CA7C54" w:rsidRPr="00CA7C54" w14:paraId="0F9526A2" w14:textId="77777777" w:rsidTr="004700A0">
        <w:trPr>
          <w:trHeight w:val="767"/>
        </w:trPr>
        <w:tc>
          <w:tcPr>
            <w:tcW w:w="6119" w:type="dxa"/>
            <w:gridSpan w:val="2"/>
            <w:shd w:val="clear" w:color="auto" w:fill="auto"/>
          </w:tcPr>
          <w:p w14:paraId="24B544C2"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r w:rsidRPr="00CA7C54">
              <w:rPr>
                <w:rFonts w:ascii="Arial" w:hAnsi="Arial" w:cs="Arial"/>
                <w:b/>
                <w:color w:val="000000" w:themeColor="text1"/>
                <w:sz w:val="20"/>
                <w:szCs w:val="20"/>
              </w:rPr>
              <w:t>Схема «б»</w:t>
            </w:r>
            <w:r w:rsidRPr="00CA7C54">
              <w:rPr>
                <w:rFonts w:ascii="Arial" w:hAnsi="Arial" w:cs="Arial"/>
                <w:color w:val="000000" w:themeColor="text1"/>
                <w:sz w:val="20"/>
                <w:szCs w:val="20"/>
              </w:rPr>
              <w:t>, рисунок 14.1 (на стiни, що вiдокремлюють укриття вiд примикаючих примiщень пiдвалiв, не захищених вiд повітряної ударної хвилi)</w:t>
            </w:r>
          </w:p>
        </w:tc>
        <w:tc>
          <w:tcPr>
            <w:tcW w:w="3402" w:type="dxa"/>
            <w:shd w:val="clear" w:color="auto" w:fill="auto"/>
            <w:vAlign w:val="center"/>
          </w:tcPr>
          <w:p w14:paraId="591B839E" w14:textId="77777777" w:rsidR="003C4E04" w:rsidRPr="00CA7C54" w:rsidRDefault="001E748C" w:rsidP="00FA1C29">
            <w:pP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 xml:space="preserve">2 </w:t>
            </w:r>
            <w:sdt>
              <w:sdtPr>
                <w:rPr>
                  <w:color w:val="000000" w:themeColor="text1"/>
                  <w:sz w:val="20"/>
                  <w:szCs w:val="20"/>
                </w:rPr>
                <w:tag w:val="goog_rdk_19"/>
                <w:id w:val="-907375533"/>
              </w:sdtPr>
              <w:sdtEndPr/>
              <w:sdtContent>
                <w:r w:rsidRPr="00CA7C54">
                  <w:rPr>
                    <w:rFonts w:ascii="Arial" w:eastAsia="Arial Unicode MS" w:hAnsi="Arial" w:cs="Arial"/>
                    <w:i/>
                    <w:color w:val="000000" w:themeColor="text1"/>
                    <w:sz w:val="20"/>
                    <w:szCs w:val="20"/>
                  </w:rPr>
                  <w:t>= 0,8·∆Р</w:t>
                </w:r>
              </w:sdtContent>
            </w:sdt>
            <w:r w:rsidRPr="00CA7C54">
              <w:rPr>
                <w:rFonts w:ascii="Arial" w:hAnsi="Arial" w:cs="Arial"/>
                <w:i/>
                <w:color w:val="000000" w:themeColor="text1"/>
                <w:sz w:val="20"/>
                <w:szCs w:val="20"/>
                <w:vertAlign w:val="subscript"/>
              </w:rPr>
              <w:t>ex</w:t>
            </w:r>
          </w:p>
        </w:tc>
      </w:tr>
      <w:tr w:rsidR="00CA7C54" w:rsidRPr="00CA7C54" w14:paraId="5D609180" w14:textId="77777777" w:rsidTr="004700A0">
        <w:trPr>
          <w:trHeight w:val="583"/>
        </w:trPr>
        <w:tc>
          <w:tcPr>
            <w:tcW w:w="6119" w:type="dxa"/>
            <w:gridSpan w:val="2"/>
            <w:shd w:val="clear" w:color="auto" w:fill="auto"/>
          </w:tcPr>
          <w:p w14:paraId="67F7CD58"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r w:rsidRPr="00CA7C54">
              <w:rPr>
                <w:rFonts w:ascii="Arial" w:hAnsi="Arial" w:cs="Arial"/>
                <w:b/>
                <w:color w:val="000000" w:themeColor="text1"/>
                <w:sz w:val="20"/>
                <w:szCs w:val="20"/>
              </w:rPr>
              <w:t>Схема «е»</w:t>
            </w:r>
            <w:r w:rsidRPr="00CA7C54">
              <w:rPr>
                <w:rFonts w:ascii="Arial" w:hAnsi="Arial" w:cs="Arial"/>
                <w:color w:val="000000" w:themeColor="text1"/>
                <w:sz w:val="20"/>
                <w:szCs w:val="20"/>
              </w:rPr>
              <w:t>, рисунок 14.1 (на елементи зовнішніх стін, розташованих вище рівня горизонту ґрунтових вод)</w:t>
            </w:r>
          </w:p>
        </w:tc>
        <w:tc>
          <w:tcPr>
            <w:tcW w:w="3402" w:type="dxa"/>
            <w:shd w:val="clear" w:color="auto" w:fill="auto"/>
            <w:vAlign w:val="center"/>
          </w:tcPr>
          <w:p w14:paraId="288DA786"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 xml:space="preserve">2 </w:t>
            </w:r>
            <w:sdt>
              <w:sdtPr>
                <w:rPr>
                  <w:color w:val="000000" w:themeColor="text1"/>
                  <w:sz w:val="20"/>
                  <w:szCs w:val="20"/>
                </w:rPr>
                <w:tag w:val="goog_rdk_20"/>
                <w:id w:val="-1409615260"/>
              </w:sdtPr>
              <w:sdtEndPr/>
              <w:sdtContent>
                <w:r w:rsidRPr="00CA7C54">
                  <w:rPr>
                    <w:rFonts w:ascii="Arial" w:eastAsia="Arial Unicode MS" w:hAnsi="Arial" w:cs="Arial"/>
                    <w:i/>
                    <w:color w:val="000000" w:themeColor="text1"/>
                    <w:sz w:val="20"/>
                    <w:szCs w:val="20"/>
                  </w:rPr>
                  <w:t>= 1,2  Kσ ×∆Р</w:t>
                </w:r>
              </w:sdtContent>
            </w:sdt>
            <w:r w:rsidRPr="00CA7C54">
              <w:rPr>
                <w:rFonts w:ascii="Arial" w:hAnsi="Arial" w:cs="Arial"/>
                <w:i/>
                <w:color w:val="000000" w:themeColor="text1"/>
                <w:sz w:val="20"/>
                <w:szCs w:val="20"/>
                <w:vertAlign w:val="subscript"/>
              </w:rPr>
              <w:t>ex</w:t>
            </w:r>
          </w:p>
        </w:tc>
      </w:tr>
      <w:tr w:rsidR="00CA7C54" w:rsidRPr="00CA7C54" w14:paraId="04B99D81" w14:textId="77777777" w:rsidTr="004700A0">
        <w:trPr>
          <w:trHeight w:val="509"/>
        </w:trPr>
        <w:tc>
          <w:tcPr>
            <w:tcW w:w="6119" w:type="dxa"/>
            <w:gridSpan w:val="2"/>
            <w:shd w:val="clear" w:color="auto" w:fill="auto"/>
          </w:tcPr>
          <w:p w14:paraId="5CBAC2D3"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r w:rsidRPr="00CA7C54">
              <w:rPr>
                <w:rFonts w:ascii="Arial" w:hAnsi="Arial" w:cs="Arial"/>
                <w:b/>
                <w:color w:val="000000" w:themeColor="text1"/>
                <w:sz w:val="20"/>
                <w:szCs w:val="20"/>
              </w:rPr>
              <w:t>Схема «е»</w:t>
            </w:r>
            <w:r w:rsidRPr="00CA7C54">
              <w:rPr>
                <w:rFonts w:ascii="Arial" w:hAnsi="Arial" w:cs="Arial"/>
                <w:color w:val="000000" w:themeColor="text1"/>
                <w:sz w:val="20"/>
                <w:szCs w:val="20"/>
              </w:rPr>
              <w:t>, рисунок 14.1 (на елементи зовнішніх стін, розташованих нижче рівня горизонту ґрунтових вод)</w:t>
            </w:r>
          </w:p>
        </w:tc>
        <w:tc>
          <w:tcPr>
            <w:tcW w:w="3402" w:type="dxa"/>
            <w:shd w:val="clear" w:color="auto" w:fill="auto"/>
            <w:vAlign w:val="center"/>
          </w:tcPr>
          <w:p w14:paraId="03D10501"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2</w:t>
            </w:r>
            <w:r w:rsidRPr="00CA7C54">
              <w:rPr>
                <w:rFonts w:ascii="Arial" w:hAnsi="Arial" w:cs="Arial"/>
                <w:i/>
                <w:color w:val="000000" w:themeColor="text1"/>
                <w:sz w:val="20"/>
                <w:szCs w:val="20"/>
                <w:vertAlign w:val="superscript"/>
              </w:rPr>
              <w:t>’</w:t>
            </w:r>
            <w:sdt>
              <w:sdtPr>
                <w:rPr>
                  <w:color w:val="000000" w:themeColor="text1"/>
                  <w:sz w:val="20"/>
                  <w:szCs w:val="20"/>
                </w:rPr>
                <w:tag w:val="goog_rdk_21"/>
                <w:id w:val="1058292827"/>
              </w:sdtPr>
              <w:sdtEndPr/>
              <w:sdtContent>
                <w:r w:rsidRPr="00CA7C54">
                  <w:rPr>
                    <w:rFonts w:ascii="Arial" w:eastAsia="Arial Unicode MS" w:hAnsi="Arial" w:cs="Arial"/>
                    <w:i/>
                    <w:color w:val="000000" w:themeColor="text1"/>
                    <w:sz w:val="20"/>
                    <w:szCs w:val="20"/>
                  </w:rPr>
                  <w:t>=  ∆Р</w:t>
                </w:r>
              </w:sdtContent>
            </w:sdt>
            <w:r w:rsidRPr="00CA7C54">
              <w:rPr>
                <w:rFonts w:ascii="Arial" w:hAnsi="Arial" w:cs="Arial"/>
                <w:i/>
                <w:color w:val="000000" w:themeColor="text1"/>
                <w:sz w:val="20"/>
                <w:szCs w:val="20"/>
                <w:vertAlign w:val="subscript"/>
              </w:rPr>
              <w:t>ex</w:t>
            </w:r>
          </w:p>
        </w:tc>
      </w:tr>
      <w:tr w:rsidR="00CA7C54" w:rsidRPr="00CA7C54" w14:paraId="136AC5B6" w14:textId="77777777" w:rsidTr="004700A0">
        <w:trPr>
          <w:trHeight w:val="165"/>
        </w:trPr>
        <w:tc>
          <w:tcPr>
            <w:tcW w:w="6119" w:type="dxa"/>
            <w:gridSpan w:val="2"/>
            <w:shd w:val="clear" w:color="auto" w:fill="auto"/>
          </w:tcPr>
          <w:p w14:paraId="5FDC22CC"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Схема «г»</w:t>
            </w:r>
            <w:r w:rsidRPr="00CA7C54">
              <w:rPr>
                <w:rFonts w:ascii="Arial" w:hAnsi="Arial" w:cs="Arial"/>
                <w:color w:val="000000" w:themeColor="text1"/>
                <w:sz w:val="20"/>
                <w:szCs w:val="20"/>
              </w:rPr>
              <w:t>, рисунок 14.1</w:t>
            </w:r>
          </w:p>
        </w:tc>
        <w:tc>
          <w:tcPr>
            <w:tcW w:w="3402" w:type="dxa"/>
            <w:shd w:val="clear" w:color="auto" w:fill="auto"/>
            <w:vAlign w:val="center"/>
          </w:tcPr>
          <w:p w14:paraId="1B2FCA26"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 xml:space="preserve">3 </w:t>
            </w:r>
            <w:r w:rsidRPr="00CA7C54">
              <w:rPr>
                <w:rFonts w:ascii="Arial" w:hAnsi="Arial" w:cs="Arial"/>
                <w:i/>
                <w:color w:val="000000" w:themeColor="text1"/>
                <w:sz w:val="20"/>
                <w:szCs w:val="20"/>
              </w:rPr>
              <w:t>= K</w:t>
            </w:r>
            <w:r w:rsidRPr="00CA7C54">
              <w:rPr>
                <w:rFonts w:ascii="Arial" w:hAnsi="Arial" w:cs="Arial"/>
                <w:i/>
                <w:color w:val="000000" w:themeColor="text1"/>
                <w:sz w:val="20"/>
                <w:szCs w:val="20"/>
                <w:vertAlign w:val="subscript"/>
              </w:rPr>
              <w:t xml:space="preserve">σ </w:t>
            </w:r>
            <w:r w:rsidRPr="00CA7C54">
              <w:rPr>
                <w:rFonts w:ascii="Arial" w:hAnsi="Arial" w:cs="Arial"/>
                <w:i/>
                <w:color w:val="000000" w:themeColor="text1"/>
                <w:sz w:val="20"/>
                <w:szCs w:val="20"/>
              </w:rPr>
              <w:t>× К</w:t>
            </w:r>
            <w:r w:rsidRPr="00CA7C54">
              <w:rPr>
                <w:rFonts w:ascii="Arial" w:hAnsi="Arial" w:cs="Arial"/>
                <w:i/>
                <w:color w:val="000000" w:themeColor="text1"/>
                <w:sz w:val="20"/>
                <w:szCs w:val="20"/>
                <w:vertAlign w:val="subscript"/>
              </w:rPr>
              <w:t>від</w:t>
            </w:r>
            <w:sdt>
              <w:sdtPr>
                <w:rPr>
                  <w:color w:val="000000" w:themeColor="text1"/>
                  <w:sz w:val="20"/>
                  <w:szCs w:val="20"/>
                </w:rPr>
                <w:tag w:val="goog_rdk_22"/>
                <w:id w:val="-1666621568"/>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p>
        </w:tc>
      </w:tr>
      <w:tr w:rsidR="00CA7C54" w:rsidRPr="00CA7C54" w14:paraId="7E08CBBF" w14:textId="77777777" w:rsidTr="004700A0">
        <w:trPr>
          <w:trHeight w:val="995"/>
        </w:trPr>
        <w:tc>
          <w:tcPr>
            <w:tcW w:w="6119" w:type="dxa"/>
            <w:gridSpan w:val="2"/>
            <w:shd w:val="clear" w:color="auto" w:fill="auto"/>
          </w:tcPr>
          <w:p w14:paraId="022F898C"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Схема «д»</w:t>
            </w:r>
            <w:r w:rsidRPr="00CA7C54">
              <w:rPr>
                <w:rFonts w:ascii="Arial" w:hAnsi="Arial" w:cs="Arial"/>
                <w:color w:val="000000" w:themeColor="text1"/>
                <w:sz w:val="20"/>
                <w:szCs w:val="20"/>
              </w:rPr>
              <w:t xml:space="preserve">, рисунок 14.1 (для окремо розташованих захисних споруд та вбудованих захисних споруд в будівлі і споруди, стіни яких мають площу прорізів 10% і більше, та висотою виступної </w:t>
            </w:r>
            <w:r w:rsidRPr="00CA7C54">
              <w:rPr>
                <w:rFonts w:ascii="Arial" w:hAnsi="Arial" w:cs="Arial"/>
                <w:color w:val="000000" w:themeColor="text1"/>
                <w:spacing w:val="-6"/>
                <w:sz w:val="20"/>
                <w:szCs w:val="20"/>
              </w:rPr>
              <w:t>частини стін захисної споруди над поверхнею землі 1,5 м і менше)</w:t>
            </w:r>
          </w:p>
        </w:tc>
        <w:tc>
          <w:tcPr>
            <w:tcW w:w="3402" w:type="dxa"/>
            <w:shd w:val="clear" w:color="auto" w:fill="auto"/>
            <w:vAlign w:val="center"/>
          </w:tcPr>
          <w:p w14:paraId="74BC7CB3"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4</w:t>
            </w:r>
            <w:sdt>
              <w:sdtPr>
                <w:rPr>
                  <w:color w:val="000000" w:themeColor="text1"/>
                  <w:sz w:val="20"/>
                  <w:szCs w:val="20"/>
                </w:rPr>
                <w:tag w:val="goog_rdk_23"/>
                <w:id w:val="128989733"/>
              </w:sdtPr>
              <w:sdtEndPr/>
              <w:sdtContent>
                <w:r w:rsidRPr="00CA7C54">
                  <w:rPr>
                    <w:rFonts w:ascii="Arial" w:eastAsia="Arial Unicode MS" w:hAnsi="Arial" w:cs="Arial"/>
                    <w:i/>
                    <w:color w:val="000000" w:themeColor="text1"/>
                    <w:sz w:val="20"/>
                    <w:szCs w:val="20"/>
                  </w:rPr>
                  <w:t>= ∆Р</w:t>
                </w:r>
              </w:sdtContent>
            </w:sdt>
            <w:r w:rsidRPr="00CA7C54">
              <w:rPr>
                <w:rFonts w:ascii="Arial" w:hAnsi="Arial" w:cs="Arial"/>
                <w:i/>
                <w:color w:val="000000" w:themeColor="text1"/>
                <w:sz w:val="20"/>
                <w:szCs w:val="20"/>
                <w:vertAlign w:val="subscript"/>
              </w:rPr>
              <w:t>ex</w:t>
            </w:r>
            <w:sdt>
              <w:sdtPr>
                <w:rPr>
                  <w:color w:val="000000" w:themeColor="text1"/>
                  <w:sz w:val="20"/>
                  <w:szCs w:val="20"/>
                </w:rPr>
                <w:tag w:val="goog_rdk_24"/>
                <w:id w:val="-410782035"/>
              </w:sdtPr>
              <w:sdtEndPr/>
              <w:sdtContent>
                <w:r w:rsidRPr="00CA7C54">
                  <w:rPr>
                    <w:rFonts w:ascii="Arial" w:eastAsia="Arial Unicode MS" w:hAnsi="Arial" w:cs="Arial"/>
                    <w:i/>
                    <w:color w:val="000000" w:themeColor="text1"/>
                    <w:sz w:val="20"/>
                    <w:szCs w:val="20"/>
                  </w:rPr>
                  <w:t xml:space="preserve">  + 2,5·∆Р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vertAlign w:val="superscript"/>
              </w:rPr>
              <w:t xml:space="preserve"> 2</w:t>
            </w:r>
            <w:sdt>
              <w:sdtPr>
                <w:rPr>
                  <w:color w:val="000000" w:themeColor="text1"/>
                  <w:sz w:val="20"/>
                  <w:szCs w:val="20"/>
                </w:rPr>
                <w:tag w:val="goog_rdk_25"/>
                <w:id w:val="-941767331"/>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rPr>
              <w:t xml:space="preserve"> + 720)</w:t>
            </w:r>
          </w:p>
        </w:tc>
      </w:tr>
      <w:tr w:rsidR="00CA7C54" w:rsidRPr="00CA7C54" w14:paraId="61531756" w14:textId="77777777" w:rsidTr="004700A0">
        <w:trPr>
          <w:trHeight w:val="1100"/>
        </w:trPr>
        <w:tc>
          <w:tcPr>
            <w:tcW w:w="6119" w:type="dxa"/>
            <w:gridSpan w:val="2"/>
            <w:shd w:val="clear" w:color="auto" w:fill="auto"/>
          </w:tcPr>
          <w:p w14:paraId="327D64BC"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Схема «д»</w:t>
            </w:r>
            <w:r w:rsidRPr="00CA7C54">
              <w:rPr>
                <w:rFonts w:ascii="Arial" w:hAnsi="Arial" w:cs="Arial"/>
                <w:color w:val="000000" w:themeColor="text1"/>
                <w:sz w:val="20"/>
                <w:szCs w:val="20"/>
              </w:rPr>
              <w:t xml:space="preserve">, рисунок 14.1 (для окремо розташованих захисних споруд та вбудованих захисних споруд в будівлі і споруди, стіни яких мають площу прорізів менше 10%, та висотою виступної </w:t>
            </w:r>
            <w:r w:rsidRPr="00CA7C54">
              <w:rPr>
                <w:rFonts w:ascii="Arial" w:hAnsi="Arial" w:cs="Arial"/>
                <w:color w:val="000000" w:themeColor="text1"/>
                <w:spacing w:val="-6"/>
                <w:sz w:val="20"/>
                <w:szCs w:val="20"/>
              </w:rPr>
              <w:t>частини стін захисної споруди над поверхнею землі 1,5 м і менше)</w:t>
            </w:r>
          </w:p>
        </w:tc>
        <w:tc>
          <w:tcPr>
            <w:tcW w:w="3402" w:type="dxa"/>
            <w:shd w:val="clear" w:color="auto" w:fill="auto"/>
            <w:vAlign w:val="center"/>
          </w:tcPr>
          <w:p w14:paraId="0F8E4E00"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4</w:t>
            </w:r>
            <w:sdt>
              <w:sdtPr>
                <w:rPr>
                  <w:color w:val="000000" w:themeColor="text1"/>
                  <w:sz w:val="20"/>
                  <w:szCs w:val="20"/>
                </w:rPr>
                <w:tag w:val="goog_rdk_26"/>
                <w:id w:val="-390888135"/>
              </w:sdtPr>
              <w:sdtEndPr/>
              <w:sdtContent>
                <w:r w:rsidRPr="00CA7C54">
                  <w:rPr>
                    <w:rFonts w:ascii="Arial" w:eastAsia="Arial Unicode MS" w:hAnsi="Arial" w:cs="Arial"/>
                    <w:i/>
                    <w:color w:val="000000" w:themeColor="text1"/>
                    <w:sz w:val="20"/>
                    <w:szCs w:val="20"/>
                  </w:rPr>
                  <w:t>= 2·∆Р</w:t>
                </w:r>
              </w:sdtContent>
            </w:sdt>
            <w:r w:rsidRPr="00CA7C54">
              <w:rPr>
                <w:rFonts w:ascii="Arial" w:hAnsi="Arial" w:cs="Arial"/>
                <w:i/>
                <w:color w:val="000000" w:themeColor="text1"/>
                <w:sz w:val="20"/>
                <w:szCs w:val="20"/>
                <w:vertAlign w:val="subscript"/>
              </w:rPr>
              <w:t>ex</w:t>
            </w:r>
            <w:sdt>
              <w:sdtPr>
                <w:rPr>
                  <w:color w:val="000000" w:themeColor="text1"/>
                  <w:sz w:val="20"/>
                  <w:szCs w:val="20"/>
                </w:rPr>
                <w:tag w:val="goog_rdk_27"/>
                <w:id w:val="774830616"/>
              </w:sdtPr>
              <w:sdtEndPr/>
              <w:sdtContent>
                <w:r w:rsidRPr="00CA7C54">
                  <w:rPr>
                    <w:rFonts w:ascii="Arial" w:eastAsia="Arial Unicode MS" w:hAnsi="Arial" w:cs="Arial"/>
                    <w:i/>
                    <w:color w:val="000000" w:themeColor="text1"/>
                    <w:sz w:val="20"/>
                    <w:szCs w:val="20"/>
                  </w:rPr>
                  <w:t xml:space="preserve">  + 6·∆Р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vertAlign w:val="superscript"/>
              </w:rPr>
              <w:t xml:space="preserve"> 2</w:t>
            </w:r>
            <w:sdt>
              <w:sdtPr>
                <w:rPr>
                  <w:color w:val="000000" w:themeColor="text1"/>
                  <w:sz w:val="20"/>
                  <w:szCs w:val="20"/>
                </w:rPr>
                <w:tag w:val="goog_rdk_28"/>
                <w:id w:val="-654453111"/>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rPr>
              <w:t xml:space="preserve"> + 720)</w:t>
            </w:r>
          </w:p>
        </w:tc>
      </w:tr>
      <w:tr w:rsidR="00CA7C54" w:rsidRPr="00CA7C54" w14:paraId="05E7B080" w14:textId="77777777" w:rsidTr="004700A0">
        <w:trPr>
          <w:trHeight w:val="636"/>
        </w:trPr>
        <w:tc>
          <w:tcPr>
            <w:tcW w:w="6119" w:type="dxa"/>
            <w:gridSpan w:val="2"/>
            <w:shd w:val="clear" w:color="auto" w:fill="auto"/>
          </w:tcPr>
          <w:p w14:paraId="4BB32711"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Схема «ж»</w:t>
            </w:r>
            <w:r w:rsidRPr="00CA7C54">
              <w:rPr>
                <w:rFonts w:ascii="Arial" w:hAnsi="Arial" w:cs="Arial"/>
                <w:color w:val="000000" w:themeColor="text1"/>
                <w:sz w:val="20"/>
                <w:szCs w:val="20"/>
              </w:rPr>
              <w:t>, рисунок 14.1 (для захисних споруд з висотою виступної частини стін захисної споруди над поверхнею землі більше</w:t>
            </w:r>
            <w:r w:rsidR="00B36628" w:rsidRPr="00CA7C54">
              <w:rPr>
                <w:rFonts w:ascii="Arial" w:hAnsi="Arial" w:cs="Arial"/>
                <w:color w:val="000000" w:themeColor="text1"/>
                <w:sz w:val="20"/>
                <w:szCs w:val="20"/>
              </w:rPr>
              <w:t xml:space="preserve"> ніж</w:t>
            </w:r>
            <w:r w:rsidRPr="00CA7C54">
              <w:rPr>
                <w:rFonts w:ascii="Arial" w:hAnsi="Arial" w:cs="Arial"/>
                <w:color w:val="000000" w:themeColor="text1"/>
                <w:sz w:val="20"/>
                <w:szCs w:val="20"/>
              </w:rPr>
              <w:t xml:space="preserve"> 1,5 м)</w:t>
            </w:r>
          </w:p>
        </w:tc>
        <w:tc>
          <w:tcPr>
            <w:tcW w:w="3402" w:type="dxa"/>
            <w:shd w:val="clear" w:color="auto" w:fill="auto"/>
            <w:vAlign w:val="center"/>
          </w:tcPr>
          <w:p w14:paraId="32EE9570"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4</w:t>
            </w:r>
            <w:sdt>
              <w:sdtPr>
                <w:rPr>
                  <w:color w:val="000000" w:themeColor="text1"/>
                  <w:sz w:val="20"/>
                  <w:szCs w:val="20"/>
                </w:rPr>
                <w:tag w:val="goog_rdk_29"/>
                <w:id w:val="-1041279610"/>
              </w:sdtPr>
              <w:sdtEndPr/>
              <w:sdtContent>
                <w:r w:rsidRPr="00CA7C54">
                  <w:rPr>
                    <w:rFonts w:ascii="Arial" w:eastAsia="Arial Unicode MS" w:hAnsi="Arial" w:cs="Arial"/>
                    <w:i/>
                    <w:color w:val="000000" w:themeColor="text1"/>
                    <w:sz w:val="20"/>
                    <w:szCs w:val="20"/>
                  </w:rPr>
                  <w:t>= 2·∆Р</w:t>
                </w:r>
              </w:sdtContent>
            </w:sdt>
            <w:r w:rsidRPr="00CA7C54">
              <w:rPr>
                <w:rFonts w:ascii="Arial" w:hAnsi="Arial" w:cs="Arial"/>
                <w:i/>
                <w:color w:val="000000" w:themeColor="text1"/>
                <w:sz w:val="20"/>
                <w:szCs w:val="20"/>
                <w:vertAlign w:val="subscript"/>
              </w:rPr>
              <w:t>ex</w:t>
            </w:r>
            <w:sdt>
              <w:sdtPr>
                <w:rPr>
                  <w:color w:val="000000" w:themeColor="text1"/>
                  <w:sz w:val="20"/>
                  <w:szCs w:val="20"/>
                </w:rPr>
                <w:tag w:val="goog_rdk_30"/>
                <w:id w:val="1405647543"/>
              </w:sdtPr>
              <w:sdtEndPr/>
              <w:sdtContent>
                <w:r w:rsidRPr="00CA7C54">
                  <w:rPr>
                    <w:rFonts w:ascii="Arial" w:eastAsia="Arial Unicode MS" w:hAnsi="Arial" w:cs="Arial"/>
                    <w:i/>
                    <w:color w:val="000000" w:themeColor="text1"/>
                    <w:sz w:val="20"/>
                    <w:szCs w:val="20"/>
                  </w:rPr>
                  <w:t xml:space="preserve">  + 6·∆Р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vertAlign w:val="superscript"/>
              </w:rPr>
              <w:t xml:space="preserve"> 2</w:t>
            </w:r>
            <w:sdt>
              <w:sdtPr>
                <w:rPr>
                  <w:color w:val="000000" w:themeColor="text1"/>
                  <w:sz w:val="20"/>
                  <w:szCs w:val="20"/>
                </w:rPr>
                <w:tag w:val="goog_rdk_31"/>
                <w:id w:val="529842120"/>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rPr>
              <w:t xml:space="preserve"> + 720)</w:t>
            </w:r>
          </w:p>
        </w:tc>
      </w:tr>
      <w:tr w:rsidR="00CA7C54" w:rsidRPr="00CA7C54" w14:paraId="3B02F1BC" w14:textId="77777777" w:rsidTr="004700A0">
        <w:trPr>
          <w:trHeight w:val="878"/>
        </w:trPr>
        <w:tc>
          <w:tcPr>
            <w:tcW w:w="6119" w:type="dxa"/>
            <w:gridSpan w:val="2"/>
            <w:shd w:val="clear" w:color="auto" w:fill="auto"/>
          </w:tcPr>
          <w:p w14:paraId="246AC491"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Схеми «з», «и»</w:t>
            </w:r>
            <w:r w:rsidRPr="00CA7C54">
              <w:rPr>
                <w:rFonts w:ascii="Arial" w:hAnsi="Arial" w:cs="Arial"/>
                <w:color w:val="000000" w:themeColor="text1"/>
                <w:sz w:val="20"/>
                <w:szCs w:val="20"/>
              </w:rPr>
              <w:t>, рисунок 14.1 (для вбудованих захисних споруд, що знаходяться за огороджувальними конструкцiями першого поверху будівлі або споруди, при площi прорiзiв стiн будівлі до 50%)</w:t>
            </w:r>
          </w:p>
        </w:tc>
        <w:tc>
          <w:tcPr>
            <w:tcW w:w="3402" w:type="dxa"/>
            <w:shd w:val="clear" w:color="auto" w:fill="auto"/>
            <w:vAlign w:val="center"/>
          </w:tcPr>
          <w:p w14:paraId="2F03ACA5"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4</w:t>
            </w:r>
            <w:sdt>
              <w:sdtPr>
                <w:rPr>
                  <w:color w:val="000000" w:themeColor="text1"/>
                  <w:sz w:val="20"/>
                  <w:szCs w:val="20"/>
                </w:rPr>
                <w:tag w:val="goog_rdk_32"/>
                <w:id w:val="-997271127"/>
              </w:sdtPr>
              <w:sdtEndPr/>
              <w:sdtContent>
                <w:r w:rsidRPr="00CA7C54">
                  <w:rPr>
                    <w:rFonts w:ascii="Arial" w:eastAsia="Arial Unicode MS" w:hAnsi="Arial" w:cs="Arial"/>
                    <w:i/>
                    <w:color w:val="000000" w:themeColor="text1"/>
                    <w:sz w:val="20"/>
                    <w:szCs w:val="20"/>
                  </w:rPr>
                  <w:t>= ∆Р</w:t>
                </w:r>
              </w:sdtContent>
            </w:sdt>
            <w:r w:rsidRPr="00CA7C54">
              <w:rPr>
                <w:rFonts w:ascii="Arial" w:hAnsi="Arial" w:cs="Arial"/>
                <w:i/>
                <w:color w:val="000000" w:themeColor="text1"/>
                <w:sz w:val="20"/>
                <w:szCs w:val="20"/>
                <w:vertAlign w:val="subscript"/>
              </w:rPr>
              <w:t>ex</w:t>
            </w:r>
            <w:sdt>
              <w:sdtPr>
                <w:rPr>
                  <w:color w:val="000000" w:themeColor="text1"/>
                  <w:sz w:val="20"/>
                  <w:szCs w:val="20"/>
                </w:rPr>
                <w:tag w:val="goog_rdk_33"/>
                <w:id w:val="-1850947385"/>
              </w:sdtPr>
              <w:sdtEndPr/>
              <w:sdtContent>
                <w:r w:rsidRPr="00CA7C54">
                  <w:rPr>
                    <w:rFonts w:ascii="Arial" w:eastAsia="Arial Unicode MS" w:hAnsi="Arial" w:cs="Arial"/>
                    <w:i/>
                    <w:color w:val="000000" w:themeColor="text1"/>
                    <w:sz w:val="20"/>
                    <w:szCs w:val="20"/>
                  </w:rPr>
                  <w:t xml:space="preserve">  + 2,5·∆Р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vertAlign w:val="superscript"/>
              </w:rPr>
              <w:t xml:space="preserve"> 2</w:t>
            </w:r>
            <w:sdt>
              <w:sdtPr>
                <w:rPr>
                  <w:color w:val="000000" w:themeColor="text1"/>
                  <w:sz w:val="20"/>
                  <w:szCs w:val="20"/>
                </w:rPr>
                <w:tag w:val="goog_rdk_34"/>
                <w:id w:val="-815024800"/>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rPr>
              <w:t xml:space="preserve"> + 720)</w:t>
            </w:r>
          </w:p>
        </w:tc>
      </w:tr>
      <w:tr w:rsidR="00CA7C54" w:rsidRPr="00CA7C54" w14:paraId="18DF2933" w14:textId="77777777" w:rsidTr="004700A0">
        <w:trPr>
          <w:trHeight w:val="1399"/>
        </w:trPr>
        <w:tc>
          <w:tcPr>
            <w:tcW w:w="6119" w:type="dxa"/>
            <w:gridSpan w:val="2"/>
            <w:shd w:val="clear" w:color="auto" w:fill="auto"/>
          </w:tcPr>
          <w:p w14:paraId="7B00912F"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Схеми з, и</w:t>
            </w:r>
            <w:r w:rsidRPr="00CA7C54">
              <w:rPr>
                <w:rFonts w:ascii="Arial" w:hAnsi="Arial" w:cs="Arial"/>
                <w:color w:val="000000" w:themeColor="text1"/>
                <w:sz w:val="20"/>
                <w:szCs w:val="20"/>
                <w:highlight w:val="white"/>
              </w:rPr>
              <w:t>, рисунок 14.1 (для вбудованих захисних споруд, що знаходяться за огороджувальними конструкцiями першого поверху будівлі або споруди, при площi прорiзiв бiльше</w:t>
            </w:r>
            <w:r w:rsidR="00A4436E" w:rsidRPr="00CA7C54">
              <w:rPr>
                <w:rFonts w:ascii="Arial" w:hAnsi="Arial" w:cs="Arial"/>
                <w:color w:val="000000" w:themeColor="text1"/>
                <w:sz w:val="20"/>
                <w:szCs w:val="20"/>
                <w:highlight w:val="white"/>
              </w:rPr>
              <w:t xml:space="preserve"> ніж</w:t>
            </w:r>
            <w:r w:rsidRPr="00CA7C54">
              <w:rPr>
                <w:rFonts w:ascii="Arial" w:hAnsi="Arial" w:cs="Arial"/>
                <w:color w:val="000000" w:themeColor="text1"/>
                <w:sz w:val="20"/>
                <w:szCs w:val="20"/>
                <w:highlight w:val="white"/>
              </w:rPr>
              <w:t xml:space="preserve"> 50%, а також для стiн, якi знаходяться за легкоруйнiвними конструкцiями)</w:t>
            </w:r>
          </w:p>
        </w:tc>
        <w:tc>
          <w:tcPr>
            <w:tcW w:w="3402" w:type="dxa"/>
            <w:shd w:val="clear" w:color="auto" w:fill="auto"/>
            <w:vAlign w:val="center"/>
          </w:tcPr>
          <w:p w14:paraId="5FCEBABF"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highlight w:val="white"/>
              </w:rPr>
            </w:pPr>
            <w:r w:rsidRPr="00CA7C54">
              <w:rPr>
                <w:rFonts w:ascii="Arial" w:hAnsi="Arial" w:cs="Arial"/>
                <w:i/>
                <w:color w:val="000000" w:themeColor="text1"/>
                <w:sz w:val="20"/>
                <w:szCs w:val="20"/>
                <w:highlight w:val="white"/>
              </w:rPr>
              <w:t>Р</w:t>
            </w:r>
            <w:r w:rsidRPr="00CA7C54">
              <w:rPr>
                <w:rFonts w:ascii="Arial" w:hAnsi="Arial" w:cs="Arial"/>
                <w:i/>
                <w:color w:val="000000" w:themeColor="text1"/>
                <w:sz w:val="20"/>
                <w:szCs w:val="20"/>
                <w:highlight w:val="white"/>
                <w:vertAlign w:val="subscript"/>
              </w:rPr>
              <w:t>4</w:t>
            </w:r>
            <w:sdt>
              <w:sdtPr>
                <w:rPr>
                  <w:color w:val="000000" w:themeColor="text1"/>
                  <w:sz w:val="20"/>
                  <w:szCs w:val="20"/>
                </w:rPr>
                <w:tag w:val="goog_rdk_35"/>
                <w:id w:val="-1763215898"/>
              </w:sdtPr>
              <w:sdtEndPr/>
              <w:sdtContent>
                <w:r w:rsidRPr="00CA7C54">
                  <w:rPr>
                    <w:rFonts w:ascii="Arial" w:eastAsia="Arial Unicode MS" w:hAnsi="Arial" w:cs="Arial"/>
                    <w:i/>
                    <w:color w:val="000000" w:themeColor="text1"/>
                    <w:sz w:val="20"/>
                    <w:szCs w:val="20"/>
                    <w:highlight w:val="white"/>
                  </w:rPr>
                  <w:t>= 2·∆Р</w:t>
                </w:r>
              </w:sdtContent>
            </w:sdt>
            <w:r w:rsidRPr="00CA7C54">
              <w:rPr>
                <w:rFonts w:ascii="Arial" w:hAnsi="Arial" w:cs="Arial"/>
                <w:i/>
                <w:color w:val="000000" w:themeColor="text1"/>
                <w:sz w:val="20"/>
                <w:szCs w:val="20"/>
                <w:highlight w:val="white"/>
                <w:vertAlign w:val="subscript"/>
              </w:rPr>
              <w:t>ex</w:t>
            </w:r>
            <w:sdt>
              <w:sdtPr>
                <w:rPr>
                  <w:color w:val="000000" w:themeColor="text1"/>
                  <w:sz w:val="20"/>
                  <w:szCs w:val="20"/>
                </w:rPr>
                <w:tag w:val="goog_rdk_36"/>
                <w:id w:val="1434330968"/>
              </w:sdtPr>
              <w:sdtEndPr/>
              <w:sdtContent>
                <w:r w:rsidRPr="00CA7C54">
                  <w:rPr>
                    <w:rFonts w:ascii="Arial" w:eastAsia="Arial Unicode MS" w:hAnsi="Arial" w:cs="Arial"/>
                    <w:i/>
                    <w:color w:val="000000" w:themeColor="text1"/>
                    <w:sz w:val="20"/>
                    <w:szCs w:val="20"/>
                    <w:highlight w:val="white"/>
                  </w:rPr>
                  <w:t xml:space="preserve"> + 6·∆Р</w:t>
                </w:r>
              </w:sdtContent>
            </w:sdt>
            <w:r w:rsidRPr="00CA7C54">
              <w:rPr>
                <w:rFonts w:ascii="Arial" w:hAnsi="Arial" w:cs="Arial"/>
                <w:i/>
                <w:color w:val="000000" w:themeColor="text1"/>
                <w:sz w:val="20"/>
                <w:szCs w:val="20"/>
                <w:highlight w:val="white"/>
                <w:vertAlign w:val="subscript"/>
              </w:rPr>
              <w:t>ex</w:t>
            </w:r>
            <w:r w:rsidRPr="00CA7C54">
              <w:rPr>
                <w:rFonts w:ascii="Arial" w:hAnsi="Arial" w:cs="Arial"/>
                <w:i/>
                <w:color w:val="000000" w:themeColor="text1"/>
                <w:sz w:val="20"/>
                <w:szCs w:val="20"/>
                <w:highlight w:val="white"/>
                <w:vertAlign w:val="superscript"/>
              </w:rPr>
              <w:t xml:space="preserve"> 2</w:t>
            </w:r>
            <w:sdt>
              <w:sdtPr>
                <w:rPr>
                  <w:color w:val="000000" w:themeColor="text1"/>
                  <w:sz w:val="20"/>
                  <w:szCs w:val="20"/>
                </w:rPr>
                <w:tag w:val="goog_rdk_37"/>
                <w:id w:val="-1513833920"/>
              </w:sdtPr>
              <w:sdtEndPr/>
              <w:sdtContent>
                <w:r w:rsidRPr="00CA7C54">
                  <w:rPr>
                    <w:rFonts w:ascii="Arial" w:eastAsia="Arial Unicode MS" w:hAnsi="Arial" w:cs="Arial"/>
                    <w:i/>
                    <w:color w:val="000000" w:themeColor="text1"/>
                    <w:sz w:val="20"/>
                    <w:szCs w:val="20"/>
                    <w:highlight w:val="white"/>
                  </w:rPr>
                  <w:t>/(∆Р</w:t>
                </w:r>
              </w:sdtContent>
            </w:sdt>
            <w:r w:rsidRPr="00CA7C54">
              <w:rPr>
                <w:rFonts w:ascii="Arial" w:hAnsi="Arial" w:cs="Arial"/>
                <w:i/>
                <w:color w:val="000000" w:themeColor="text1"/>
                <w:sz w:val="20"/>
                <w:szCs w:val="20"/>
                <w:highlight w:val="white"/>
                <w:vertAlign w:val="subscript"/>
              </w:rPr>
              <w:t>ex</w:t>
            </w:r>
            <w:r w:rsidRPr="00CA7C54">
              <w:rPr>
                <w:rFonts w:ascii="Arial" w:hAnsi="Arial" w:cs="Arial"/>
                <w:i/>
                <w:color w:val="000000" w:themeColor="text1"/>
                <w:sz w:val="20"/>
                <w:szCs w:val="20"/>
                <w:highlight w:val="white"/>
              </w:rPr>
              <w:t xml:space="preserve"> + 720)</w:t>
            </w:r>
          </w:p>
        </w:tc>
      </w:tr>
      <w:tr w:rsidR="00CA7C54" w:rsidRPr="00CA7C54" w14:paraId="335914D7" w14:textId="77777777" w:rsidTr="004700A0">
        <w:trPr>
          <w:trHeight w:val="181"/>
        </w:trPr>
        <w:tc>
          <w:tcPr>
            <w:tcW w:w="6119" w:type="dxa"/>
            <w:gridSpan w:val="2"/>
            <w:tcBorders>
              <w:bottom w:val="single" w:sz="4" w:space="0" w:color="000000"/>
            </w:tcBorders>
            <w:shd w:val="clear" w:color="auto" w:fill="auto"/>
          </w:tcPr>
          <w:p w14:paraId="443C4E03"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Схеми д, ж, з, и</w:t>
            </w:r>
            <w:r w:rsidRPr="00CA7C54">
              <w:rPr>
                <w:rFonts w:ascii="Arial" w:hAnsi="Arial" w:cs="Arial"/>
                <w:color w:val="000000" w:themeColor="text1"/>
                <w:sz w:val="20"/>
                <w:szCs w:val="20"/>
                <w:highlight w:val="white"/>
              </w:rPr>
              <w:t>, рисунок 14.1</w:t>
            </w:r>
          </w:p>
        </w:tc>
        <w:tc>
          <w:tcPr>
            <w:tcW w:w="3402" w:type="dxa"/>
            <w:tcBorders>
              <w:bottom w:val="single" w:sz="4" w:space="0" w:color="000000"/>
            </w:tcBorders>
            <w:shd w:val="clear" w:color="auto" w:fill="auto"/>
            <w:vAlign w:val="center"/>
          </w:tcPr>
          <w:p w14:paraId="5889A3AD"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highlight w:val="white"/>
              </w:rPr>
            </w:pPr>
            <w:r w:rsidRPr="00CA7C54">
              <w:rPr>
                <w:rFonts w:ascii="Arial" w:hAnsi="Arial" w:cs="Arial"/>
                <w:i/>
                <w:color w:val="000000" w:themeColor="text1"/>
                <w:sz w:val="20"/>
                <w:szCs w:val="20"/>
                <w:highlight w:val="white"/>
              </w:rPr>
              <w:t>Р</w:t>
            </w:r>
            <w:r w:rsidRPr="00CA7C54">
              <w:rPr>
                <w:rFonts w:ascii="Arial" w:hAnsi="Arial" w:cs="Arial"/>
                <w:i/>
                <w:color w:val="000000" w:themeColor="text1"/>
                <w:sz w:val="20"/>
                <w:szCs w:val="20"/>
                <w:highlight w:val="white"/>
                <w:vertAlign w:val="subscript"/>
              </w:rPr>
              <w:t>4</w:t>
            </w:r>
            <w:r w:rsidRPr="00CA7C54">
              <w:rPr>
                <w:rFonts w:ascii="Arial" w:hAnsi="Arial" w:cs="Arial"/>
                <w:i/>
                <w:color w:val="000000" w:themeColor="text1"/>
                <w:sz w:val="20"/>
                <w:szCs w:val="20"/>
                <w:highlight w:val="white"/>
                <w:vertAlign w:val="superscript"/>
              </w:rPr>
              <w:t>’</w:t>
            </w:r>
            <w:r w:rsidRPr="00CA7C54">
              <w:rPr>
                <w:rFonts w:ascii="Arial" w:hAnsi="Arial" w:cs="Arial"/>
                <w:i/>
                <w:color w:val="000000" w:themeColor="text1"/>
                <w:sz w:val="20"/>
                <w:szCs w:val="20"/>
                <w:highlight w:val="white"/>
              </w:rPr>
              <w:t>= K</w:t>
            </w:r>
            <w:r w:rsidRPr="00CA7C54">
              <w:rPr>
                <w:rFonts w:ascii="Arial" w:hAnsi="Arial" w:cs="Arial"/>
                <w:i/>
                <w:color w:val="000000" w:themeColor="text1"/>
                <w:sz w:val="20"/>
                <w:szCs w:val="20"/>
                <w:highlight w:val="white"/>
                <w:vertAlign w:val="subscript"/>
              </w:rPr>
              <w:t>σ</w:t>
            </w:r>
            <w:r w:rsidRPr="00CA7C54">
              <w:rPr>
                <w:rFonts w:ascii="Arial" w:hAnsi="Arial" w:cs="Arial"/>
                <w:i/>
                <w:color w:val="000000" w:themeColor="text1"/>
                <w:sz w:val="20"/>
                <w:szCs w:val="20"/>
                <w:highlight w:val="white"/>
              </w:rPr>
              <w:t xml:space="preserve"> · Р</w:t>
            </w:r>
            <w:r w:rsidRPr="00CA7C54">
              <w:rPr>
                <w:rFonts w:ascii="Arial" w:hAnsi="Arial" w:cs="Arial"/>
                <w:i/>
                <w:color w:val="000000" w:themeColor="text1"/>
                <w:sz w:val="20"/>
                <w:szCs w:val="20"/>
                <w:highlight w:val="white"/>
                <w:vertAlign w:val="subscript"/>
              </w:rPr>
              <w:t>4</w:t>
            </w:r>
          </w:p>
        </w:tc>
      </w:tr>
      <w:tr w:rsidR="00CA7C54" w:rsidRPr="00CA7C54" w14:paraId="30487ED8" w14:textId="77777777" w:rsidTr="004700A0">
        <w:trPr>
          <w:trHeight w:val="219"/>
        </w:trPr>
        <w:tc>
          <w:tcPr>
            <w:tcW w:w="1442" w:type="dxa"/>
            <w:tcBorders>
              <w:top w:val="single" w:sz="4" w:space="0" w:color="000000"/>
              <w:left w:val="single" w:sz="4" w:space="0" w:color="000000"/>
              <w:bottom w:val="nil"/>
              <w:right w:val="nil"/>
            </w:tcBorders>
            <w:shd w:val="clear" w:color="auto" w:fill="auto"/>
          </w:tcPr>
          <w:p w14:paraId="7B8152A5"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Примітка 1.</w:t>
            </w:r>
          </w:p>
        </w:tc>
        <w:tc>
          <w:tcPr>
            <w:tcW w:w="8079" w:type="dxa"/>
            <w:gridSpan w:val="2"/>
            <w:tcBorders>
              <w:top w:val="single" w:sz="4" w:space="0" w:color="000000"/>
              <w:left w:val="nil"/>
              <w:bottom w:val="nil"/>
              <w:right w:val="single" w:sz="4" w:space="0" w:color="000000"/>
            </w:tcBorders>
            <w:shd w:val="clear" w:color="auto" w:fill="auto"/>
          </w:tcPr>
          <w:p w14:paraId="2B4C7C47"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K</w:t>
            </w:r>
            <w:r w:rsidRPr="00CA7C54">
              <w:rPr>
                <w:rFonts w:ascii="Arial" w:hAnsi="Arial" w:cs="Arial"/>
                <w:color w:val="000000" w:themeColor="text1"/>
                <w:sz w:val="20"/>
                <w:szCs w:val="20"/>
                <w:highlight w:val="white"/>
                <w:vertAlign w:val="subscript"/>
              </w:rPr>
              <w:t>σ</w:t>
            </w:r>
            <w:r w:rsidRPr="00CA7C54">
              <w:rPr>
                <w:rFonts w:ascii="Arial" w:hAnsi="Arial" w:cs="Arial"/>
                <w:color w:val="000000" w:themeColor="text1"/>
                <w:sz w:val="20"/>
                <w:szCs w:val="20"/>
                <w:highlight w:val="white"/>
              </w:rPr>
              <w:t xml:space="preserve"> – коефіцієнт, що приймається за таблицею 14.3</w:t>
            </w:r>
          </w:p>
        </w:tc>
      </w:tr>
      <w:tr w:rsidR="00CA7C54" w:rsidRPr="00CA7C54" w14:paraId="20B75E91" w14:textId="77777777" w:rsidTr="004700A0">
        <w:trPr>
          <w:trHeight w:val="335"/>
        </w:trPr>
        <w:tc>
          <w:tcPr>
            <w:tcW w:w="1442" w:type="dxa"/>
            <w:tcBorders>
              <w:top w:val="nil"/>
              <w:left w:val="single" w:sz="4" w:space="0" w:color="000000"/>
              <w:bottom w:val="nil"/>
              <w:right w:val="nil"/>
            </w:tcBorders>
            <w:shd w:val="clear" w:color="auto" w:fill="auto"/>
          </w:tcPr>
          <w:p w14:paraId="6836F025"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Примітка 2.</w:t>
            </w:r>
          </w:p>
        </w:tc>
        <w:tc>
          <w:tcPr>
            <w:tcW w:w="8079" w:type="dxa"/>
            <w:gridSpan w:val="2"/>
            <w:tcBorders>
              <w:top w:val="nil"/>
              <w:left w:val="nil"/>
              <w:bottom w:val="nil"/>
              <w:right w:val="single" w:sz="4" w:space="0" w:color="000000"/>
            </w:tcBorders>
            <w:shd w:val="clear" w:color="auto" w:fill="auto"/>
          </w:tcPr>
          <w:p w14:paraId="1EA7A6D1"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К</w:t>
            </w:r>
            <w:r w:rsidRPr="00CA7C54">
              <w:rPr>
                <w:rFonts w:ascii="Arial" w:hAnsi="Arial" w:cs="Arial"/>
                <w:color w:val="000000" w:themeColor="text1"/>
                <w:sz w:val="20"/>
                <w:szCs w:val="20"/>
                <w:highlight w:val="white"/>
                <w:vertAlign w:val="subscript"/>
              </w:rPr>
              <w:t>від</w:t>
            </w:r>
            <w:r w:rsidRPr="00CA7C54">
              <w:rPr>
                <w:rFonts w:ascii="Arial" w:hAnsi="Arial" w:cs="Arial"/>
                <w:color w:val="000000" w:themeColor="text1"/>
                <w:sz w:val="20"/>
                <w:szCs w:val="20"/>
                <w:highlight w:val="white"/>
              </w:rPr>
              <w:t xml:space="preserve"> – коефіцієнт, що враховує відбиття повітряної ударної хвилі і приймається за таблицею 14.4</w:t>
            </w:r>
          </w:p>
        </w:tc>
      </w:tr>
      <w:tr w:rsidR="00CA7C54" w:rsidRPr="00CA7C54" w14:paraId="303A02D3" w14:textId="77777777" w:rsidTr="004700A0">
        <w:trPr>
          <w:trHeight w:val="320"/>
        </w:trPr>
        <w:tc>
          <w:tcPr>
            <w:tcW w:w="1442" w:type="dxa"/>
            <w:tcBorders>
              <w:top w:val="nil"/>
              <w:left w:val="single" w:sz="4" w:space="0" w:color="000000"/>
              <w:bottom w:val="single" w:sz="4" w:space="0" w:color="000000"/>
              <w:right w:val="nil"/>
            </w:tcBorders>
            <w:shd w:val="clear" w:color="auto" w:fill="auto"/>
          </w:tcPr>
          <w:p w14:paraId="35B3B4D2"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Примітка 3.</w:t>
            </w:r>
          </w:p>
        </w:tc>
        <w:tc>
          <w:tcPr>
            <w:tcW w:w="8079" w:type="dxa"/>
            <w:gridSpan w:val="2"/>
            <w:tcBorders>
              <w:top w:val="nil"/>
              <w:left w:val="nil"/>
              <w:bottom w:val="single" w:sz="4" w:space="0" w:color="000000"/>
              <w:right w:val="single" w:sz="4" w:space="0" w:color="000000"/>
            </w:tcBorders>
            <w:shd w:val="clear" w:color="auto" w:fill="auto"/>
          </w:tcPr>
          <w:p w14:paraId="4A2CB574"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Тут i далi пiд легкоруйнiвними конструкцiями слiд приймати зовнiшнi огороджувальнi конструкцiї, вага 1 м² яких не перевищує 1 кН</w:t>
            </w:r>
            <w:r w:rsidR="004700A0">
              <w:rPr>
                <w:rFonts w:ascii="Arial" w:hAnsi="Arial" w:cs="Arial"/>
                <w:color w:val="000000" w:themeColor="text1"/>
                <w:sz w:val="20"/>
                <w:szCs w:val="20"/>
                <w:highlight w:val="white"/>
              </w:rPr>
              <w:t>.</w:t>
            </w:r>
          </w:p>
        </w:tc>
      </w:tr>
    </w:tbl>
    <w:p w14:paraId="3C8B30C5" w14:textId="77777777" w:rsidR="003C4E04" w:rsidRPr="00CA7C54" w:rsidRDefault="001E748C">
      <w:pPr>
        <w:pBdr>
          <w:top w:val="nil"/>
          <w:left w:val="nil"/>
          <w:bottom w:val="nil"/>
          <w:right w:val="nil"/>
          <w:between w:val="nil"/>
        </w:pBdr>
        <w:spacing w:line="240" w:lineRule="auto"/>
        <w:ind w:right="141" w:firstLine="0"/>
        <w:jc w:val="center"/>
        <w:rPr>
          <w:b/>
          <w:color w:val="000000" w:themeColor="text1"/>
        </w:rPr>
      </w:pPr>
      <w:r w:rsidRPr="00CA7C54">
        <w:rPr>
          <w:noProof/>
          <w:color w:val="000000" w:themeColor="text1"/>
          <w:lang w:eastAsia="uk-UA"/>
        </w:rPr>
        <w:lastRenderedPageBreak/>
        <w:drawing>
          <wp:inline distT="0" distB="0" distL="0" distR="0" wp14:anchorId="59109ECC" wp14:editId="6DA8E55A">
            <wp:extent cx="5867400" cy="5791200"/>
            <wp:effectExtent l="0" t="0" r="0" b="0"/>
            <wp:docPr id="21305244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3"/>
                    <a:srcRect l="8057" t="2998" r="7985" b="13210"/>
                    <a:stretch>
                      <a:fillRect/>
                    </a:stretch>
                  </pic:blipFill>
                  <pic:spPr>
                    <a:xfrm>
                      <a:off x="0" y="0"/>
                      <a:ext cx="5877017" cy="5800692"/>
                    </a:xfrm>
                    <a:prstGeom prst="rect">
                      <a:avLst/>
                    </a:prstGeom>
                    <a:ln/>
                  </pic:spPr>
                </pic:pic>
              </a:graphicData>
            </a:graphic>
          </wp:inline>
        </w:drawing>
      </w:r>
    </w:p>
    <w:p w14:paraId="42DAC06C" w14:textId="77777777" w:rsidR="003C4E04" w:rsidRPr="00CA7C54" w:rsidRDefault="001E748C">
      <w:pPr>
        <w:pBdr>
          <w:top w:val="nil"/>
          <w:left w:val="nil"/>
          <w:bottom w:val="nil"/>
          <w:right w:val="nil"/>
          <w:between w:val="nil"/>
        </w:pBdr>
        <w:spacing w:after="120" w:line="240" w:lineRule="auto"/>
        <w:ind w:right="142" w:firstLine="0"/>
        <w:jc w:val="center"/>
        <w:rPr>
          <w:color w:val="000000" w:themeColor="text1"/>
          <w:sz w:val="21"/>
          <w:szCs w:val="21"/>
        </w:rPr>
      </w:pPr>
      <w:r w:rsidRPr="00CA7C54">
        <w:rPr>
          <w:b/>
          <w:color w:val="000000" w:themeColor="text1"/>
          <w:sz w:val="21"/>
          <w:szCs w:val="21"/>
        </w:rPr>
        <w:t>Рисунок 14.1</w:t>
      </w:r>
      <w:r w:rsidRPr="00CA7C54">
        <w:rPr>
          <w:color w:val="000000" w:themeColor="text1"/>
          <w:sz w:val="21"/>
          <w:szCs w:val="21"/>
        </w:rPr>
        <w:t xml:space="preserve"> –</w:t>
      </w:r>
      <w:r w:rsidRPr="00CA7C54">
        <w:rPr>
          <w:color w:val="000000" w:themeColor="text1"/>
          <w:spacing w:val="-6"/>
          <w:sz w:val="21"/>
          <w:szCs w:val="21"/>
        </w:rPr>
        <w:t>Схеми прикладання приведених навантажень на конструкції захисних споруд та СПП</w:t>
      </w:r>
    </w:p>
    <w:tbl>
      <w:tblPr>
        <w:tblStyle w:val="afffffffffffffffffffffffffffffffc"/>
        <w:tblW w:w="9214" w:type="dxa"/>
        <w:tblBorders>
          <w:top w:val="nil"/>
          <w:left w:val="nil"/>
          <w:bottom w:val="nil"/>
          <w:right w:val="nil"/>
          <w:insideH w:val="nil"/>
          <w:insideV w:val="nil"/>
        </w:tblBorders>
        <w:tblLayout w:type="fixed"/>
        <w:tblLook w:val="0400" w:firstRow="0" w:lastRow="0" w:firstColumn="0" w:lastColumn="0" w:noHBand="0" w:noVBand="1"/>
      </w:tblPr>
      <w:tblGrid>
        <w:gridCol w:w="1219"/>
        <w:gridCol w:w="7995"/>
      </w:tblGrid>
      <w:tr w:rsidR="003C4E04" w:rsidRPr="00CA7C54" w14:paraId="42B30DC9" w14:textId="77777777" w:rsidTr="00326D96">
        <w:tc>
          <w:tcPr>
            <w:tcW w:w="1219" w:type="dxa"/>
            <w:shd w:val="clear" w:color="auto" w:fill="auto"/>
          </w:tcPr>
          <w:p w14:paraId="5D14B451" w14:textId="77777777" w:rsidR="003C4E04" w:rsidRPr="00CA7C54" w:rsidRDefault="001E748C">
            <w:pPr>
              <w:spacing w:before="0" w:line="216" w:lineRule="auto"/>
              <w:ind w:right="-169" w:firstLine="0"/>
              <w:jc w:val="left"/>
              <w:rPr>
                <w:rFonts w:ascii="Arial" w:hAnsi="Arial" w:cs="Arial"/>
                <w:b/>
                <w:color w:val="000000" w:themeColor="text1"/>
                <w:sz w:val="20"/>
                <w:szCs w:val="20"/>
              </w:rPr>
            </w:pPr>
            <w:r w:rsidRPr="00CA7C54">
              <w:rPr>
                <w:rFonts w:ascii="Arial" w:hAnsi="Arial" w:cs="Arial"/>
                <w:b/>
                <w:color w:val="000000" w:themeColor="text1"/>
                <w:sz w:val="20"/>
                <w:szCs w:val="20"/>
              </w:rPr>
              <w:t>Примітка.</w:t>
            </w:r>
          </w:p>
        </w:tc>
        <w:tc>
          <w:tcPr>
            <w:tcW w:w="7995" w:type="dxa"/>
            <w:shd w:val="clear" w:color="auto" w:fill="auto"/>
          </w:tcPr>
          <w:p w14:paraId="7E567365" w14:textId="77777777" w:rsidR="003C4E04" w:rsidRPr="00CA7C54" w:rsidRDefault="001E748C">
            <w:pPr>
              <w:pBdr>
                <w:top w:val="nil"/>
                <w:left w:val="nil"/>
                <w:bottom w:val="nil"/>
                <w:right w:val="nil"/>
                <w:between w:val="nil"/>
              </w:pBdr>
              <w:spacing w:before="60" w:line="216" w:lineRule="auto"/>
              <w:ind w:firstLine="0"/>
              <w:rPr>
                <w:rFonts w:ascii="Arial" w:hAnsi="Arial" w:cs="Arial"/>
                <w:color w:val="000000" w:themeColor="text1"/>
                <w:sz w:val="20"/>
                <w:szCs w:val="20"/>
              </w:rPr>
            </w:pPr>
            <w:r w:rsidRPr="00CA7C54">
              <w:rPr>
                <w:rFonts w:ascii="Arial" w:hAnsi="Arial" w:cs="Arial"/>
                <w:i/>
                <w:color w:val="000000" w:themeColor="text1"/>
                <w:sz w:val="20"/>
                <w:szCs w:val="20"/>
              </w:rPr>
              <w:t>Схема «а», «б»</w:t>
            </w:r>
            <w:r w:rsidRPr="00CA7C54">
              <w:rPr>
                <w:rFonts w:ascii="Arial" w:hAnsi="Arial" w:cs="Arial"/>
                <w:color w:val="000000" w:themeColor="text1"/>
                <w:sz w:val="20"/>
                <w:szCs w:val="20"/>
              </w:rPr>
              <w:t xml:space="preserve"> – відповідно при повному заглибленні вбудованої захисної споруди / СПП і з примиканням до приміщення у підвальному поверсі, не захищеного від повітряної ударної хвилі;</w:t>
            </w:r>
          </w:p>
          <w:p w14:paraId="5595E014" w14:textId="77777777" w:rsidR="003C4E04" w:rsidRPr="00CA7C54" w:rsidRDefault="001E748C">
            <w:pPr>
              <w:pBdr>
                <w:top w:val="nil"/>
                <w:left w:val="nil"/>
                <w:bottom w:val="nil"/>
                <w:right w:val="nil"/>
                <w:between w:val="nil"/>
              </w:pBdr>
              <w:spacing w:before="60" w:line="216" w:lineRule="auto"/>
              <w:ind w:firstLine="0"/>
              <w:rPr>
                <w:rFonts w:ascii="Arial" w:hAnsi="Arial" w:cs="Arial"/>
                <w:color w:val="000000" w:themeColor="text1"/>
                <w:sz w:val="20"/>
                <w:szCs w:val="20"/>
              </w:rPr>
            </w:pPr>
            <w:r w:rsidRPr="00CA7C54">
              <w:rPr>
                <w:rFonts w:ascii="Arial" w:hAnsi="Arial" w:cs="Arial"/>
                <w:i/>
                <w:color w:val="000000" w:themeColor="text1"/>
                <w:sz w:val="20"/>
                <w:szCs w:val="20"/>
              </w:rPr>
              <w:t>Схема «в», «г»</w:t>
            </w:r>
            <w:r w:rsidRPr="00CA7C54">
              <w:rPr>
                <w:rFonts w:ascii="Arial" w:hAnsi="Arial" w:cs="Arial"/>
                <w:color w:val="000000" w:themeColor="text1"/>
                <w:sz w:val="20"/>
                <w:szCs w:val="20"/>
              </w:rPr>
              <w:t xml:space="preserve">  – при неповному заглибленні захисної споруди / СПП, які обваловані грунтом, з виносом бровки укосу на відстань b</w:t>
            </w:r>
            <w:r w:rsidRPr="00CA7C54">
              <w:rPr>
                <w:rFonts w:ascii="Arial" w:hAnsi="Arial" w:cs="Arial"/>
                <w:color w:val="000000" w:themeColor="text1"/>
                <w:sz w:val="20"/>
                <w:szCs w:val="20"/>
                <w:vertAlign w:val="subscript"/>
              </w:rPr>
              <w:t>o</w:t>
            </w:r>
            <w:r w:rsidRPr="00CA7C54">
              <w:rPr>
                <w:rFonts w:ascii="Arial" w:hAnsi="Arial" w:cs="Arial"/>
                <w:color w:val="000000" w:themeColor="text1"/>
                <w:sz w:val="20"/>
                <w:szCs w:val="20"/>
              </w:rPr>
              <w:t xml:space="preserve"> відповідно більше (в) та менше (г) відношення (h1 + h2)/n</w:t>
            </w:r>
            <w:r w:rsidRPr="00CA7C54">
              <w:rPr>
                <w:rFonts w:ascii="Arial" w:hAnsi="Arial" w:cs="Arial"/>
                <w:color w:val="000000" w:themeColor="text1"/>
                <w:sz w:val="20"/>
                <w:szCs w:val="20"/>
                <w:vertAlign w:val="subscript"/>
              </w:rPr>
              <w:t>o</w:t>
            </w:r>
            <w:r w:rsidRPr="00CA7C54">
              <w:rPr>
                <w:rFonts w:ascii="Arial" w:hAnsi="Arial" w:cs="Arial"/>
                <w:color w:val="000000" w:themeColor="text1"/>
                <w:sz w:val="20"/>
                <w:szCs w:val="20"/>
              </w:rPr>
              <w:t>;</w:t>
            </w:r>
          </w:p>
          <w:p w14:paraId="71C238CD" w14:textId="77777777" w:rsidR="003C4E04" w:rsidRPr="00CA7C54" w:rsidRDefault="001E748C">
            <w:pPr>
              <w:pBdr>
                <w:top w:val="nil"/>
                <w:left w:val="nil"/>
                <w:bottom w:val="nil"/>
                <w:right w:val="nil"/>
                <w:between w:val="nil"/>
              </w:pBdr>
              <w:spacing w:before="60" w:line="216" w:lineRule="auto"/>
              <w:ind w:firstLine="0"/>
              <w:rPr>
                <w:rFonts w:ascii="Arial" w:hAnsi="Arial" w:cs="Arial"/>
                <w:color w:val="000000" w:themeColor="text1"/>
                <w:sz w:val="20"/>
                <w:szCs w:val="20"/>
              </w:rPr>
            </w:pPr>
            <w:r w:rsidRPr="00CA7C54">
              <w:rPr>
                <w:rFonts w:ascii="Arial" w:hAnsi="Arial" w:cs="Arial"/>
                <w:i/>
                <w:color w:val="000000" w:themeColor="text1"/>
                <w:sz w:val="20"/>
                <w:szCs w:val="20"/>
              </w:rPr>
              <w:t>Схема «д»</w:t>
            </w:r>
            <w:r w:rsidRPr="00CA7C54">
              <w:rPr>
                <w:rFonts w:ascii="Arial" w:hAnsi="Arial" w:cs="Arial"/>
                <w:color w:val="000000" w:themeColor="text1"/>
                <w:sz w:val="20"/>
                <w:szCs w:val="20"/>
              </w:rPr>
              <w:t>– при  неповному заглибленні захисної споруди / СПП з відкритими ділянками стін (h &lt; 1,5 м);</w:t>
            </w:r>
          </w:p>
          <w:p w14:paraId="430A12FF" w14:textId="77777777" w:rsidR="003C4E04" w:rsidRPr="00CA7C54" w:rsidRDefault="001E748C">
            <w:pPr>
              <w:pBdr>
                <w:top w:val="nil"/>
                <w:left w:val="nil"/>
                <w:bottom w:val="nil"/>
                <w:right w:val="nil"/>
                <w:between w:val="nil"/>
              </w:pBdr>
              <w:spacing w:before="60" w:line="216" w:lineRule="auto"/>
              <w:ind w:firstLine="33"/>
              <w:rPr>
                <w:rFonts w:ascii="Arial" w:hAnsi="Arial" w:cs="Arial"/>
                <w:color w:val="000000" w:themeColor="text1"/>
                <w:sz w:val="20"/>
                <w:szCs w:val="20"/>
              </w:rPr>
            </w:pPr>
            <w:r w:rsidRPr="00CA7C54">
              <w:rPr>
                <w:rFonts w:ascii="Arial" w:hAnsi="Arial" w:cs="Arial"/>
                <w:i/>
                <w:color w:val="000000" w:themeColor="text1"/>
                <w:sz w:val="20"/>
                <w:szCs w:val="20"/>
              </w:rPr>
              <w:t>Схема «е»</w:t>
            </w:r>
            <w:r w:rsidRPr="00CA7C54">
              <w:rPr>
                <w:rFonts w:ascii="Arial" w:hAnsi="Arial" w:cs="Arial"/>
                <w:color w:val="000000" w:themeColor="text1"/>
                <w:sz w:val="20"/>
                <w:szCs w:val="20"/>
              </w:rPr>
              <w:t xml:space="preserve"> – при повному заглибленні захисної споруди / СПП та при рівні грунтових вод вище відмітки підлоги сховища; ж  – для захисних споруд, вбудованих у перші поверхи будівель / споруд, при суміщенні стін захисної споруди та будівлі (споруди);</w:t>
            </w:r>
          </w:p>
          <w:p w14:paraId="7487AAA8" w14:textId="77777777" w:rsidR="003C4E04" w:rsidRPr="00CA7C54" w:rsidRDefault="001E748C">
            <w:pPr>
              <w:pBdr>
                <w:top w:val="nil"/>
                <w:left w:val="nil"/>
                <w:bottom w:val="nil"/>
                <w:right w:val="nil"/>
                <w:between w:val="nil"/>
              </w:pBdr>
              <w:spacing w:before="60" w:line="216" w:lineRule="auto"/>
              <w:ind w:firstLine="33"/>
              <w:rPr>
                <w:rFonts w:ascii="Arial" w:hAnsi="Arial" w:cs="Arial"/>
                <w:color w:val="000000" w:themeColor="text1"/>
                <w:sz w:val="20"/>
                <w:szCs w:val="20"/>
              </w:rPr>
            </w:pPr>
            <w:r w:rsidRPr="00CA7C54">
              <w:rPr>
                <w:rFonts w:ascii="Arial" w:hAnsi="Arial" w:cs="Arial"/>
                <w:i/>
                <w:color w:val="000000" w:themeColor="text1"/>
                <w:sz w:val="20"/>
                <w:szCs w:val="20"/>
              </w:rPr>
              <w:t>Схема «з»</w:t>
            </w:r>
            <w:r w:rsidRPr="00CA7C54">
              <w:rPr>
                <w:rFonts w:ascii="Arial" w:hAnsi="Arial" w:cs="Arial"/>
                <w:color w:val="000000" w:themeColor="text1"/>
                <w:sz w:val="20"/>
                <w:szCs w:val="20"/>
              </w:rPr>
              <w:t xml:space="preserve"> – з примиканням стін до внутрішніх приміщень будівлі (споруди);</w:t>
            </w:r>
          </w:p>
          <w:p w14:paraId="13AAF010" w14:textId="77777777" w:rsidR="003C4E04" w:rsidRPr="00CA7C54" w:rsidRDefault="001E748C">
            <w:pPr>
              <w:pBdr>
                <w:top w:val="nil"/>
                <w:left w:val="nil"/>
                <w:bottom w:val="nil"/>
                <w:right w:val="nil"/>
                <w:between w:val="nil"/>
              </w:pBdr>
              <w:spacing w:before="60" w:line="216" w:lineRule="auto"/>
              <w:ind w:firstLine="33"/>
              <w:rPr>
                <w:rFonts w:ascii="Arial" w:hAnsi="Arial" w:cs="Arial"/>
                <w:color w:val="000000" w:themeColor="text1"/>
                <w:sz w:val="20"/>
                <w:szCs w:val="20"/>
              </w:rPr>
            </w:pPr>
            <w:r w:rsidRPr="00CA7C54">
              <w:rPr>
                <w:rFonts w:ascii="Arial" w:hAnsi="Arial" w:cs="Arial"/>
                <w:i/>
                <w:color w:val="000000" w:themeColor="text1"/>
                <w:sz w:val="20"/>
                <w:szCs w:val="20"/>
              </w:rPr>
              <w:t xml:space="preserve">Схема «и» </w:t>
            </w:r>
            <w:r w:rsidRPr="00CA7C54">
              <w:rPr>
                <w:rFonts w:ascii="Arial" w:hAnsi="Arial" w:cs="Arial"/>
                <w:color w:val="000000" w:themeColor="text1"/>
                <w:sz w:val="20"/>
                <w:szCs w:val="20"/>
              </w:rPr>
              <w:t>– при розташуванні  захисної споруди всередині об’єму поверху;</w:t>
            </w:r>
          </w:p>
          <w:p w14:paraId="1FC84133" w14:textId="77777777" w:rsidR="003C4E04" w:rsidRPr="00CA7C54" w:rsidRDefault="001E748C">
            <w:pPr>
              <w:pBdr>
                <w:top w:val="nil"/>
                <w:left w:val="nil"/>
                <w:bottom w:val="nil"/>
                <w:right w:val="nil"/>
                <w:between w:val="nil"/>
              </w:pBdr>
              <w:spacing w:before="60" w:line="216" w:lineRule="auto"/>
              <w:ind w:firstLine="33"/>
              <w:rPr>
                <w:rFonts w:ascii="Arial" w:hAnsi="Arial" w:cs="Arial"/>
                <w:color w:val="000000" w:themeColor="text1"/>
                <w:sz w:val="20"/>
                <w:szCs w:val="20"/>
              </w:rPr>
            </w:pPr>
            <w:r w:rsidRPr="00CA7C54">
              <w:rPr>
                <w:rFonts w:ascii="Arial" w:hAnsi="Arial" w:cs="Arial"/>
                <w:i/>
                <w:color w:val="000000" w:themeColor="text1"/>
                <w:sz w:val="20"/>
                <w:szCs w:val="20"/>
              </w:rPr>
              <w:t>Схема «к»</w:t>
            </w:r>
            <w:r w:rsidRPr="00CA7C54">
              <w:rPr>
                <w:rFonts w:ascii="Arial" w:hAnsi="Arial" w:cs="Arial"/>
                <w:color w:val="000000" w:themeColor="text1"/>
                <w:sz w:val="20"/>
                <w:szCs w:val="20"/>
              </w:rPr>
              <w:t xml:space="preserve"> – при розташуванні захисної споруди під приміщеннями у підвальних та цокольних поверхах.</w:t>
            </w:r>
          </w:p>
          <w:p w14:paraId="6079FB85" w14:textId="77777777" w:rsidR="00326D96" w:rsidRPr="00CA7C54" w:rsidRDefault="00326D96">
            <w:pPr>
              <w:pBdr>
                <w:top w:val="nil"/>
                <w:left w:val="nil"/>
                <w:bottom w:val="nil"/>
                <w:right w:val="nil"/>
                <w:between w:val="nil"/>
              </w:pBdr>
              <w:spacing w:before="60" w:line="216" w:lineRule="auto"/>
              <w:ind w:firstLine="33"/>
              <w:rPr>
                <w:rFonts w:ascii="Arial" w:hAnsi="Arial" w:cs="Arial"/>
                <w:color w:val="000000" w:themeColor="text1"/>
                <w:sz w:val="20"/>
                <w:szCs w:val="20"/>
              </w:rPr>
            </w:pPr>
          </w:p>
        </w:tc>
      </w:tr>
    </w:tbl>
    <w:p w14:paraId="6A24A425" w14:textId="77777777" w:rsidR="00293FA8" w:rsidRPr="00CA7C54" w:rsidRDefault="00293FA8" w:rsidP="00326D96">
      <w:pPr>
        <w:pBdr>
          <w:top w:val="nil"/>
          <w:left w:val="nil"/>
          <w:bottom w:val="nil"/>
          <w:right w:val="nil"/>
          <w:between w:val="nil"/>
        </w:pBdr>
        <w:spacing w:before="0" w:line="288" w:lineRule="auto"/>
        <w:ind w:right="142"/>
        <w:contextualSpacing/>
        <w:rPr>
          <w:b/>
          <w:color w:val="000000" w:themeColor="text1"/>
          <w:sz w:val="21"/>
          <w:szCs w:val="21"/>
          <w:highlight w:val="white"/>
        </w:rPr>
      </w:pPr>
    </w:p>
    <w:p w14:paraId="1ABA0E43" w14:textId="77777777" w:rsidR="00293FA8" w:rsidRPr="00CA7C54" w:rsidRDefault="00293FA8">
      <w:pPr>
        <w:suppressAutoHyphens w:val="0"/>
        <w:rPr>
          <w:b/>
          <w:color w:val="000000" w:themeColor="text1"/>
          <w:sz w:val="21"/>
          <w:szCs w:val="21"/>
          <w:highlight w:val="white"/>
        </w:rPr>
      </w:pPr>
      <w:r w:rsidRPr="00CA7C54">
        <w:rPr>
          <w:b/>
          <w:color w:val="000000" w:themeColor="text1"/>
          <w:sz w:val="21"/>
          <w:szCs w:val="21"/>
          <w:highlight w:val="white"/>
        </w:rPr>
        <w:br w:type="page"/>
      </w:r>
    </w:p>
    <w:p w14:paraId="6EC1EC9D"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lastRenderedPageBreak/>
        <w:t xml:space="preserve">Таблиця 14.3 </w:t>
      </w:r>
      <w:r w:rsidRPr="00CA7C54">
        <w:rPr>
          <w:color w:val="000000" w:themeColor="text1"/>
          <w:sz w:val="21"/>
          <w:szCs w:val="21"/>
          <w:highlight w:val="white"/>
        </w:rPr>
        <w:t xml:space="preserve">– Коефіцієнт </w:t>
      </w:r>
      <w:r w:rsidRPr="00CA7C54">
        <w:rPr>
          <w:i/>
          <w:color w:val="000000" w:themeColor="text1"/>
          <w:sz w:val="21"/>
          <w:szCs w:val="21"/>
          <w:highlight w:val="white"/>
        </w:rPr>
        <w:t>К</w:t>
      </w:r>
      <w:r w:rsidRPr="00CA7C54">
        <w:rPr>
          <w:i/>
          <w:color w:val="000000" w:themeColor="text1"/>
          <w:sz w:val="21"/>
          <w:szCs w:val="21"/>
          <w:highlight w:val="white"/>
          <w:vertAlign w:val="subscript"/>
        </w:rPr>
        <w:t>σ</w:t>
      </w:r>
    </w:p>
    <w:tbl>
      <w:tblPr>
        <w:tblStyle w:val="afffffffffffffffffffffffffffffffd"/>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0"/>
        <w:gridCol w:w="2268"/>
      </w:tblGrid>
      <w:tr w:rsidR="00CA7C54" w:rsidRPr="00CA7C54" w14:paraId="126339AC" w14:textId="77777777" w:rsidTr="004700A0">
        <w:trPr>
          <w:trHeight w:val="646"/>
        </w:trPr>
        <w:tc>
          <w:tcPr>
            <w:tcW w:w="7230" w:type="dxa"/>
            <w:shd w:val="clear" w:color="auto" w:fill="auto"/>
          </w:tcPr>
          <w:p w14:paraId="209F3FCB" w14:textId="77777777" w:rsidR="003C4E04" w:rsidRPr="00CA7C54" w:rsidRDefault="001E748C" w:rsidP="00326D96">
            <w:pPr>
              <w:pBdr>
                <w:top w:val="nil"/>
                <w:left w:val="nil"/>
                <w:bottom w:val="nil"/>
                <w:right w:val="nil"/>
                <w:between w:val="nil"/>
              </w:pBdr>
              <w:spacing w:before="0" w:line="288" w:lineRule="auto"/>
              <w:ind w:right="141"/>
              <w:contextualSpacing/>
              <w:jc w:val="center"/>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Характеристика</w:t>
            </w:r>
            <w:r w:rsidR="00B36628" w:rsidRPr="00CA7C54">
              <w:rPr>
                <w:rFonts w:ascii="Arial" w:hAnsi="Arial" w:cs="Arial"/>
                <w:b/>
                <w:color w:val="000000" w:themeColor="text1"/>
                <w:sz w:val="21"/>
                <w:szCs w:val="21"/>
                <w:highlight w:val="white"/>
              </w:rPr>
              <w:t xml:space="preserve"> ґрунтів </w:t>
            </w:r>
            <w:r w:rsidRPr="00CA7C54">
              <w:rPr>
                <w:rFonts w:ascii="Arial" w:hAnsi="Arial" w:cs="Arial"/>
                <w:b/>
                <w:color w:val="000000" w:themeColor="text1"/>
                <w:sz w:val="21"/>
                <w:szCs w:val="21"/>
                <w:highlight w:val="white"/>
              </w:rPr>
              <w:t>згідно з нормами на про</w:t>
            </w:r>
            <w:r w:rsidR="00D11A1E" w:rsidRPr="00CA7C54">
              <w:rPr>
                <w:rFonts w:ascii="Arial" w:hAnsi="Arial" w:cs="Arial"/>
                <w:b/>
                <w:color w:val="000000" w:themeColor="text1"/>
                <w:sz w:val="21"/>
                <w:szCs w:val="21"/>
                <w:highlight w:val="white"/>
              </w:rPr>
              <w:t>є</w:t>
            </w:r>
            <w:r w:rsidRPr="00CA7C54">
              <w:rPr>
                <w:rFonts w:ascii="Arial" w:hAnsi="Arial" w:cs="Arial"/>
                <w:b/>
                <w:color w:val="000000" w:themeColor="text1"/>
                <w:sz w:val="21"/>
                <w:szCs w:val="21"/>
                <w:highlight w:val="white"/>
              </w:rPr>
              <w:t>ктування основбудівель / споруд</w:t>
            </w:r>
          </w:p>
        </w:tc>
        <w:tc>
          <w:tcPr>
            <w:tcW w:w="2268" w:type="dxa"/>
            <w:shd w:val="clear" w:color="auto" w:fill="auto"/>
          </w:tcPr>
          <w:p w14:paraId="185F12DC"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 xml:space="preserve">Коефіцієнт </w:t>
            </w:r>
            <w:r w:rsidRPr="00CA7C54">
              <w:rPr>
                <w:rFonts w:ascii="Arial" w:hAnsi="Arial" w:cs="Arial"/>
                <w:b/>
                <w:i/>
                <w:color w:val="000000" w:themeColor="text1"/>
                <w:sz w:val="21"/>
                <w:szCs w:val="21"/>
                <w:highlight w:val="white"/>
              </w:rPr>
              <w:t>К</w:t>
            </w:r>
            <w:r w:rsidRPr="00CA7C54">
              <w:rPr>
                <w:rFonts w:ascii="Arial" w:hAnsi="Arial" w:cs="Arial"/>
                <w:b/>
                <w:i/>
                <w:color w:val="000000" w:themeColor="text1"/>
                <w:sz w:val="21"/>
                <w:szCs w:val="21"/>
                <w:highlight w:val="white"/>
                <w:vertAlign w:val="subscript"/>
              </w:rPr>
              <w:t>σ</w:t>
            </w:r>
          </w:p>
        </w:tc>
      </w:tr>
      <w:tr w:rsidR="00CA7C54" w:rsidRPr="00CA7C54" w14:paraId="3AE4D227" w14:textId="77777777" w:rsidTr="004700A0">
        <w:tc>
          <w:tcPr>
            <w:tcW w:w="7230" w:type="dxa"/>
            <w:shd w:val="clear" w:color="auto" w:fill="auto"/>
            <w:vAlign w:val="center"/>
          </w:tcPr>
          <w:p w14:paraId="03A8345C" w14:textId="77777777" w:rsidR="003C4E04" w:rsidRPr="00CA7C54" w:rsidRDefault="001E748C" w:rsidP="00326D96">
            <w:pPr>
              <w:pBdr>
                <w:top w:val="nil"/>
                <w:left w:val="nil"/>
                <w:bottom w:val="nil"/>
                <w:right w:val="nil"/>
                <w:between w:val="nil"/>
              </w:pBdr>
              <w:spacing w:before="0" w:line="288" w:lineRule="auto"/>
              <w:ind w:right="142" w:firstLine="0"/>
              <w:contextualSpacing/>
              <w:jc w:val="left"/>
              <w:rPr>
                <w:rFonts w:ascii="Arial" w:hAnsi="Arial" w:cs="Arial"/>
                <w:b/>
                <w:color w:val="000000" w:themeColor="text1"/>
                <w:sz w:val="21"/>
                <w:szCs w:val="21"/>
                <w:highlight w:val="white"/>
              </w:rPr>
            </w:pPr>
            <w:r w:rsidRPr="00CA7C54">
              <w:rPr>
                <w:rFonts w:ascii="Arial" w:hAnsi="Arial" w:cs="Arial"/>
                <w:color w:val="000000" w:themeColor="text1"/>
                <w:sz w:val="21"/>
                <w:szCs w:val="21"/>
                <w:highlight w:val="white"/>
              </w:rPr>
              <w:t xml:space="preserve">Пiски з коефіцієнтом водонасичення </w:t>
            </w:r>
            <w:r w:rsidRPr="00CA7C54">
              <w:rPr>
                <w:rFonts w:ascii="Arial" w:hAnsi="Arial" w:cs="Arial"/>
                <w:i/>
                <w:color w:val="000000" w:themeColor="text1"/>
                <w:sz w:val="21"/>
                <w:szCs w:val="21"/>
                <w:highlight w:val="white"/>
              </w:rPr>
              <w:t>S</w:t>
            </w:r>
            <w:r w:rsidRPr="00CA7C54">
              <w:rPr>
                <w:rFonts w:ascii="Arial" w:hAnsi="Arial" w:cs="Arial"/>
                <w:i/>
                <w:color w:val="000000" w:themeColor="text1"/>
                <w:sz w:val="21"/>
                <w:szCs w:val="21"/>
                <w:highlight w:val="white"/>
                <w:vertAlign w:val="subscript"/>
              </w:rPr>
              <w:t>r</w:t>
            </w:r>
            <w:r w:rsidRPr="00CA7C54">
              <w:rPr>
                <w:rFonts w:ascii="Arial" w:hAnsi="Arial" w:cs="Arial"/>
                <w:i/>
                <w:color w:val="000000" w:themeColor="text1"/>
                <w:sz w:val="21"/>
                <w:szCs w:val="21"/>
                <w:highlight w:val="white"/>
              </w:rPr>
              <w:t>&lt; 0,5</w:t>
            </w:r>
          </w:p>
        </w:tc>
        <w:tc>
          <w:tcPr>
            <w:tcW w:w="2268" w:type="dxa"/>
            <w:shd w:val="clear" w:color="auto" w:fill="auto"/>
            <w:vAlign w:val="center"/>
          </w:tcPr>
          <w:p w14:paraId="66ED5BBA"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b/>
                <w:color w:val="000000" w:themeColor="text1"/>
                <w:sz w:val="21"/>
                <w:szCs w:val="21"/>
                <w:highlight w:val="white"/>
              </w:rPr>
            </w:pPr>
            <w:r w:rsidRPr="00CA7C54">
              <w:rPr>
                <w:rFonts w:ascii="Arial" w:hAnsi="Arial" w:cs="Arial"/>
                <w:color w:val="000000" w:themeColor="text1"/>
                <w:sz w:val="21"/>
                <w:szCs w:val="21"/>
                <w:highlight w:val="white"/>
              </w:rPr>
              <w:t>0,4</w:t>
            </w:r>
          </w:p>
        </w:tc>
      </w:tr>
      <w:tr w:rsidR="00CA7C54" w:rsidRPr="00CA7C54" w14:paraId="0082E817" w14:textId="77777777" w:rsidTr="004700A0">
        <w:tc>
          <w:tcPr>
            <w:tcW w:w="7230" w:type="dxa"/>
            <w:shd w:val="clear" w:color="auto" w:fill="auto"/>
            <w:vAlign w:val="center"/>
          </w:tcPr>
          <w:p w14:paraId="775EE500" w14:textId="77777777" w:rsidR="003C4E04" w:rsidRPr="00CA7C54" w:rsidRDefault="001E748C" w:rsidP="00326D96">
            <w:pPr>
              <w:pBdr>
                <w:top w:val="nil"/>
                <w:left w:val="nil"/>
                <w:bottom w:val="nil"/>
                <w:right w:val="nil"/>
                <w:between w:val="nil"/>
              </w:pBdr>
              <w:spacing w:before="0" w:line="288" w:lineRule="auto"/>
              <w:ind w:right="142"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Пiски з коефіцієнтом водонасичення </w:t>
            </w:r>
            <w:r w:rsidRPr="00CA7C54">
              <w:rPr>
                <w:rFonts w:ascii="Arial" w:hAnsi="Arial" w:cs="Arial"/>
                <w:i/>
                <w:color w:val="000000" w:themeColor="text1"/>
                <w:sz w:val="21"/>
                <w:szCs w:val="21"/>
                <w:highlight w:val="white"/>
              </w:rPr>
              <w:t>0,5 &lt; S</w:t>
            </w:r>
            <w:r w:rsidRPr="00CA7C54">
              <w:rPr>
                <w:rFonts w:ascii="Arial" w:hAnsi="Arial" w:cs="Arial"/>
                <w:i/>
                <w:color w:val="000000" w:themeColor="text1"/>
                <w:sz w:val="21"/>
                <w:szCs w:val="21"/>
                <w:highlight w:val="white"/>
                <w:vertAlign w:val="subscript"/>
              </w:rPr>
              <w:t>r</w:t>
            </w:r>
            <w:r w:rsidRPr="00CA7C54">
              <w:rPr>
                <w:rFonts w:ascii="Arial" w:hAnsi="Arial" w:cs="Arial"/>
                <w:i/>
                <w:color w:val="000000" w:themeColor="text1"/>
                <w:sz w:val="21"/>
                <w:szCs w:val="21"/>
                <w:highlight w:val="white"/>
              </w:rPr>
              <w:t>&lt; 0,8</w:t>
            </w:r>
            <w:r w:rsidRPr="00CA7C54">
              <w:rPr>
                <w:rFonts w:ascii="Arial" w:hAnsi="Arial" w:cs="Arial"/>
                <w:color w:val="000000" w:themeColor="text1"/>
                <w:sz w:val="21"/>
                <w:szCs w:val="21"/>
                <w:highlight w:val="white"/>
              </w:rPr>
              <w:t>; супiски з показником текучостi I</w:t>
            </w:r>
            <w:r w:rsidRPr="00CA7C54">
              <w:rPr>
                <w:rFonts w:ascii="Arial" w:hAnsi="Arial" w:cs="Arial"/>
                <w:color w:val="000000" w:themeColor="text1"/>
                <w:sz w:val="21"/>
                <w:szCs w:val="21"/>
                <w:highlight w:val="white"/>
                <w:vertAlign w:val="subscript"/>
              </w:rPr>
              <w:t>L</w:t>
            </w:r>
            <w:r w:rsidRPr="00CA7C54">
              <w:rPr>
                <w:rFonts w:ascii="Arial" w:hAnsi="Arial" w:cs="Arial"/>
                <w:i/>
                <w:color w:val="000000" w:themeColor="text1"/>
                <w:sz w:val="21"/>
                <w:szCs w:val="21"/>
                <w:highlight w:val="white"/>
              </w:rPr>
              <w:t>&lt; 1</w:t>
            </w:r>
            <w:r w:rsidRPr="00CA7C54">
              <w:rPr>
                <w:rFonts w:ascii="Arial" w:hAnsi="Arial" w:cs="Arial"/>
                <w:color w:val="000000" w:themeColor="text1"/>
                <w:sz w:val="21"/>
                <w:szCs w:val="21"/>
                <w:highlight w:val="white"/>
              </w:rPr>
              <w:t>; суглинки та глини з показниками текучостi I</w:t>
            </w:r>
            <w:r w:rsidRPr="00CA7C54">
              <w:rPr>
                <w:rFonts w:ascii="Arial" w:hAnsi="Arial" w:cs="Arial"/>
                <w:color w:val="000000" w:themeColor="text1"/>
                <w:sz w:val="21"/>
                <w:szCs w:val="21"/>
                <w:highlight w:val="white"/>
                <w:vertAlign w:val="subscript"/>
              </w:rPr>
              <w:t>L</w:t>
            </w:r>
            <w:r w:rsidRPr="00CA7C54">
              <w:rPr>
                <w:rFonts w:ascii="Arial" w:hAnsi="Arial" w:cs="Arial"/>
                <w:i/>
                <w:color w:val="000000" w:themeColor="text1"/>
                <w:sz w:val="21"/>
                <w:szCs w:val="21"/>
                <w:highlight w:val="white"/>
              </w:rPr>
              <w:t>&lt; 0,75</w:t>
            </w:r>
          </w:p>
        </w:tc>
        <w:tc>
          <w:tcPr>
            <w:tcW w:w="2268" w:type="dxa"/>
            <w:shd w:val="clear" w:color="auto" w:fill="auto"/>
            <w:vAlign w:val="center"/>
          </w:tcPr>
          <w:p w14:paraId="0E84321B"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0,5</w:t>
            </w:r>
          </w:p>
        </w:tc>
      </w:tr>
      <w:tr w:rsidR="00CA7C54" w:rsidRPr="00CA7C54" w14:paraId="1D62DA40" w14:textId="77777777" w:rsidTr="004700A0">
        <w:tc>
          <w:tcPr>
            <w:tcW w:w="7230" w:type="dxa"/>
            <w:shd w:val="clear" w:color="auto" w:fill="auto"/>
            <w:vAlign w:val="center"/>
          </w:tcPr>
          <w:p w14:paraId="390E6943" w14:textId="77777777" w:rsidR="003C4E04" w:rsidRPr="00CA7C54" w:rsidRDefault="001E748C" w:rsidP="00326D96">
            <w:pPr>
              <w:pBdr>
                <w:top w:val="nil"/>
                <w:left w:val="nil"/>
                <w:bottom w:val="nil"/>
                <w:right w:val="nil"/>
                <w:between w:val="nil"/>
              </w:pBdr>
              <w:spacing w:before="0" w:line="288" w:lineRule="auto"/>
              <w:ind w:right="142"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Суглинки та глини з показниками текучостi </w:t>
            </w:r>
            <w:r w:rsidRPr="00CA7C54">
              <w:rPr>
                <w:rFonts w:ascii="Arial" w:hAnsi="Arial" w:cs="Arial"/>
                <w:i/>
                <w:color w:val="000000" w:themeColor="text1"/>
                <w:sz w:val="21"/>
                <w:szCs w:val="21"/>
                <w:highlight w:val="white"/>
              </w:rPr>
              <w:t>0,75&lt;I</w:t>
            </w:r>
            <w:r w:rsidRPr="00CA7C54">
              <w:rPr>
                <w:rFonts w:ascii="Arial" w:hAnsi="Arial" w:cs="Arial"/>
                <w:i/>
                <w:color w:val="000000" w:themeColor="text1"/>
                <w:sz w:val="21"/>
                <w:szCs w:val="21"/>
                <w:highlight w:val="white"/>
                <w:vertAlign w:val="subscript"/>
              </w:rPr>
              <w:t>L</w:t>
            </w:r>
            <w:r w:rsidRPr="00CA7C54">
              <w:rPr>
                <w:rFonts w:ascii="Arial" w:hAnsi="Arial" w:cs="Arial"/>
                <w:i/>
                <w:color w:val="000000" w:themeColor="text1"/>
                <w:sz w:val="21"/>
                <w:szCs w:val="21"/>
                <w:highlight w:val="white"/>
              </w:rPr>
              <w:t>&lt; 1</w:t>
            </w:r>
          </w:p>
        </w:tc>
        <w:tc>
          <w:tcPr>
            <w:tcW w:w="2268" w:type="dxa"/>
            <w:shd w:val="clear" w:color="auto" w:fill="auto"/>
            <w:vAlign w:val="center"/>
          </w:tcPr>
          <w:p w14:paraId="78E8FDF0"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0,6</w:t>
            </w:r>
          </w:p>
        </w:tc>
      </w:tr>
      <w:tr w:rsidR="00CA7C54" w:rsidRPr="00CA7C54" w14:paraId="2AAA76D2" w14:textId="77777777" w:rsidTr="004700A0">
        <w:tc>
          <w:tcPr>
            <w:tcW w:w="7230" w:type="dxa"/>
            <w:shd w:val="clear" w:color="auto" w:fill="auto"/>
            <w:vAlign w:val="center"/>
          </w:tcPr>
          <w:p w14:paraId="745B78AD" w14:textId="77777777" w:rsidR="003C4E04" w:rsidRPr="00CA7C54" w:rsidRDefault="001E748C" w:rsidP="00326D96">
            <w:pPr>
              <w:pBdr>
                <w:top w:val="nil"/>
                <w:left w:val="nil"/>
                <w:bottom w:val="nil"/>
                <w:right w:val="nil"/>
                <w:between w:val="nil"/>
              </w:pBdr>
              <w:spacing w:before="0" w:line="288" w:lineRule="auto"/>
              <w:ind w:right="142"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Водонасиченi грунти (нижче рiвня грунтових вод); пiски з коефіцієнтом водонасичення </w:t>
            </w:r>
            <w:r w:rsidRPr="00CA7C54">
              <w:rPr>
                <w:rFonts w:ascii="Arial" w:hAnsi="Arial" w:cs="Arial"/>
                <w:i/>
                <w:color w:val="000000" w:themeColor="text1"/>
                <w:sz w:val="21"/>
                <w:szCs w:val="21"/>
                <w:highlight w:val="white"/>
              </w:rPr>
              <w:t>S</w:t>
            </w:r>
            <w:r w:rsidRPr="00CA7C54">
              <w:rPr>
                <w:rFonts w:ascii="Arial" w:hAnsi="Arial" w:cs="Arial"/>
                <w:i/>
                <w:color w:val="000000" w:themeColor="text1"/>
                <w:sz w:val="21"/>
                <w:szCs w:val="21"/>
                <w:highlight w:val="white"/>
                <w:vertAlign w:val="subscript"/>
              </w:rPr>
              <w:t>r</w:t>
            </w:r>
            <w:r w:rsidRPr="00CA7C54">
              <w:rPr>
                <w:rFonts w:ascii="Arial" w:hAnsi="Arial" w:cs="Arial"/>
                <w:i/>
                <w:color w:val="000000" w:themeColor="text1"/>
                <w:sz w:val="21"/>
                <w:szCs w:val="21"/>
                <w:highlight w:val="white"/>
              </w:rPr>
              <w:t>&gt; 0,8</w:t>
            </w:r>
            <w:r w:rsidRPr="00CA7C54">
              <w:rPr>
                <w:rFonts w:ascii="Arial" w:hAnsi="Arial" w:cs="Arial"/>
                <w:color w:val="000000" w:themeColor="text1"/>
                <w:sz w:val="21"/>
                <w:szCs w:val="21"/>
                <w:highlight w:val="white"/>
              </w:rPr>
              <w:t xml:space="preserve">; супiски, суглинки i глини з показниками текучостi </w:t>
            </w:r>
            <w:r w:rsidRPr="00CA7C54">
              <w:rPr>
                <w:rFonts w:ascii="Arial" w:hAnsi="Arial" w:cs="Arial"/>
                <w:i/>
                <w:color w:val="000000" w:themeColor="text1"/>
                <w:sz w:val="21"/>
                <w:szCs w:val="21"/>
                <w:highlight w:val="white"/>
              </w:rPr>
              <w:t>I</w:t>
            </w:r>
            <w:r w:rsidRPr="00CA7C54">
              <w:rPr>
                <w:rFonts w:ascii="Arial" w:hAnsi="Arial" w:cs="Arial"/>
                <w:i/>
                <w:color w:val="000000" w:themeColor="text1"/>
                <w:sz w:val="21"/>
                <w:szCs w:val="21"/>
                <w:highlight w:val="white"/>
                <w:vertAlign w:val="subscript"/>
              </w:rPr>
              <w:t>L</w:t>
            </w:r>
            <w:r w:rsidRPr="00CA7C54">
              <w:rPr>
                <w:rFonts w:ascii="Arial" w:hAnsi="Arial" w:cs="Arial"/>
                <w:i/>
                <w:color w:val="000000" w:themeColor="text1"/>
                <w:sz w:val="21"/>
                <w:szCs w:val="21"/>
                <w:highlight w:val="white"/>
              </w:rPr>
              <w:t xml:space="preserve">&gt; 1; </w:t>
            </w:r>
            <w:r w:rsidRPr="00CA7C54">
              <w:rPr>
                <w:rFonts w:ascii="Arial" w:hAnsi="Arial" w:cs="Arial"/>
                <w:color w:val="000000" w:themeColor="text1"/>
                <w:sz w:val="21"/>
                <w:szCs w:val="21"/>
                <w:highlight w:val="white"/>
              </w:rPr>
              <w:t>скельні грунти</w:t>
            </w:r>
          </w:p>
        </w:tc>
        <w:tc>
          <w:tcPr>
            <w:tcW w:w="2268" w:type="dxa"/>
            <w:shd w:val="clear" w:color="auto" w:fill="auto"/>
            <w:vAlign w:val="center"/>
          </w:tcPr>
          <w:p w14:paraId="74318439"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1,0</w:t>
            </w:r>
          </w:p>
        </w:tc>
      </w:tr>
    </w:tbl>
    <w:p w14:paraId="689D105B" w14:textId="77777777" w:rsidR="003C4E04" w:rsidRPr="00CA7C54" w:rsidRDefault="003C4E04" w:rsidP="00326D96">
      <w:pPr>
        <w:pBdr>
          <w:top w:val="nil"/>
          <w:left w:val="nil"/>
          <w:bottom w:val="nil"/>
          <w:right w:val="nil"/>
          <w:between w:val="nil"/>
        </w:pBdr>
        <w:spacing w:before="0" w:line="288" w:lineRule="auto"/>
        <w:ind w:right="141" w:firstLine="0"/>
        <w:contextualSpacing/>
        <w:rPr>
          <w:b/>
          <w:color w:val="000000" w:themeColor="text1"/>
          <w:sz w:val="21"/>
          <w:szCs w:val="21"/>
          <w:highlight w:val="white"/>
        </w:rPr>
      </w:pPr>
    </w:p>
    <w:p w14:paraId="6C896A7E" w14:textId="77777777" w:rsidR="003C4E04" w:rsidRPr="00CA7C54" w:rsidRDefault="001E748C" w:rsidP="00326D96">
      <w:pPr>
        <w:pBdr>
          <w:top w:val="nil"/>
          <w:left w:val="nil"/>
          <w:bottom w:val="nil"/>
          <w:right w:val="nil"/>
          <w:between w:val="nil"/>
        </w:pBdr>
        <w:spacing w:before="0" w:line="288" w:lineRule="auto"/>
        <w:ind w:right="142"/>
        <w:contextualSpacing/>
        <w:rPr>
          <w:b/>
          <w:color w:val="000000" w:themeColor="text1"/>
          <w:sz w:val="21"/>
          <w:szCs w:val="21"/>
          <w:highlight w:val="white"/>
        </w:rPr>
      </w:pPr>
      <w:r w:rsidRPr="00CA7C54">
        <w:rPr>
          <w:b/>
          <w:color w:val="000000" w:themeColor="text1"/>
          <w:sz w:val="21"/>
          <w:szCs w:val="21"/>
          <w:highlight w:val="white"/>
        </w:rPr>
        <w:t>Таблиця 14.4</w:t>
      </w:r>
      <w:r w:rsidRPr="00CA7C54">
        <w:rPr>
          <w:color w:val="000000" w:themeColor="text1"/>
          <w:sz w:val="21"/>
          <w:szCs w:val="21"/>
          <w:highlight w:val="white"/>
        </w:rPr>
        <w:t xml:space="preserve"> –Коефiцiєнт </w:t>
      </w:r>
      <w:r w:rsidRPr="00CA7C54">
        <w:rPr>
          <w:i/>
          <w:color w:val="000000" w:themeColor="text1"/>
          <w:sz w:val="21"/>
          <w:szCs w:val="21"/>
          <w:highlight w:val="white"/>
        </w:rPr>
        <w:t>К</w:t>
      </w:r>
      <w:r w:rsidRPr="00CA7C54">
        <w:rPr>
          <w:i/>
          <w:color w:val="000000" w:themeColor="text1"/>
          <w:sz w:val="21"/>
          <w:szCs w:val="21"/>
          <w:highlight w:val="white"/>
          <w:vertAlign w:val="subscript"/>
        </w:rPr>
        <w:t>від</w:t>
      </w:r>
    </w:p>
    <w:tbl>
      <w:tblPr>
        <w:tblStyle w:val="afffffffffffffffffffffffffffffffe"/>
        <w:tblW w:w="9498" w:type="dxa"/>
        <w:tblInd w:w="-5" w:type="dxa"/>
        <w:tblLayout w:type="fixed"/>
        <w:tblLook w:val="0000" w:firstRow="0" w:lastRow="0" w:firstColumn="0" w:lastColumn="0" w:noHBand="0" w:noVBand="0"/>
      </w:tblPr>
      <w:tblGrid>
        <w:gridCol w:w="4536"/>
        <w:gridCol w:w="1276"/>
        <w:gridCol w:w="1276"/>
        <w:gridCol w:w="1276"/>
        <w:gridCol w:w="1134"/>
      </w:tblGrid>
      <w:tr w:rsidR="00CA7C54" w:rsidRPr="00CA7C54" w14:paraId="706F590C" w14:textId="77777777" w:rsidTr="004700A0">
        <w:trPr>
          <w:trHeight w:val="387"/>
        </w:trPr>
        <w:tc>
          <w:tcPr>
            <w:tcW w:w="4536" w:type="dxa"/>
            <w:tcBorders>
              <w:top w:val="single" w:sz="4" w:space="0" w:color="000000"/>
              <w:left w:val="single" w:sz="4" w:space="0" w:color="000000"/>
              <w:bottom w:val="single" w:sz="4" w:space="0" w:color="000000"/>
            </w:tcBorders>
            <w:shd w:val="clear" w:color="auto" w:fill="auto"/>
            <w:vAlign w:val="center"/>
          </w:tcPr>
          <w:p w14:paraId="6EC75224"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Ухил укосiв обвалування</w:t>
            </w:r>
          </w:p>
        </w:tc>
        <w:tc>
          <w:tcPr>
            <w:tcW w:w="1276" w:type="dxa"/>
            <w:tcBorders>
              <w:top w:val="single" w:sz="4" w:space="0" w:color="000000"/>
              <w:left w:val="single" w:sz="4" w:space="0" w:color="000000"/>
              <w:bottom w:val="single" w:sz="4" w:space="0" w:color="000000"/>
            </w:tcBorders>
            <w:shd w:val="clear" w:color="auto" w:fill="auto"/>
            <w:vAlign w:val="center"/>
          </w:tcPr>
          <w:p w14:paraId="6FA71E58"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1:5</w:t>
            </w:r>
          </w:p>
        </w:tc>
        <w:tc>
          <w:tcPr>
            <w:tcW w:w="1276" w:type="dxa"/>
            <w:tcBorders>
              <w:top w:val="single" w:sz="4" w:space="0" w:color="000000"/>
              <w:left w:val="single" w:sz="4" w:space="0" w:color="000000"/>
              <w:bottom w:val="single" w:sz="4" w:space="0" w:color="000000"/>
            </w:tcBorders>
            <w:shd w:val="clear" w:color="auto" w:fill="auto"/>
            <w:vAlign w:val="center"/>
          </w:tcPr>
          <w:p w14:paraId="79440C2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1:4</w:t>
            </w:r>
          </w:p>
        </w:tc>
        <w:tc>
          <w:tcPr>
            <w:tcW w:w="1276" w:type="dxa"/>
            <w:tcBorders>
              <w:top w:val="single" w:sz="4" w:space="0" w:color="000000"/>
              <w:left w:val="single" w:sz="4" w:space="0" w:color="000000"/>
              <w:bottom w:val="single" w:sz="4" w:space="0" w:color="000000"/>
            </w:tcBorders>
            <w:shd w:val="clear" w:color="auto" w:fill="auto"/>
            <w:vAlign w:val="center"/>
          </w:tcPr>
          <w:p w14:paraId="42923910"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3E40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1:2</w:t>
            </w:r>
          </w:p>
        </w:tc>
      </w:tr>
      <w:tr w:rsidR="00CA7C54" w:rsidRPr="00CA7C54" w14:paraId="5AB7FABF" w14:textId="77777777" w:rsidTr="004700A0">
        <w:trPr>
          <w:trHeight w:val="225"/>
        </w:trPr>
        <w:tc>
          <w:tcPr>
            <w:tcW w:w="4536" w:type="dxa"/>
            <w:tcBorders>
              <w:top w:val="single" w:sz="4" w:space="0" w:color="000000"/>
              <w:left w:val="single" w:sz="4" w:space="0" w:color="000000"/>
              <w:bottom w:val="single" w:sz="4" w:space="0" w:color="000000"/>
            </w:tcBorders>
            <w:shd w:val="clear" w:color="auto" w:fill="auto"/>
            <w:vAlign w:val="center"/>
          </w:tcPr>
          <w:p w14:paraId="7AB81B44"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Коефiцiєнт </w:t>
            </w:r>
            <w:r w:rsidRPr="00CA7C54">
              <w:rPr>
                <w:rFonts w:ascii="Arial" w:hAnsi="Arial" w:cs="Arial"/>
                <w:i/>
                <w:color w:val="000000" w:themeColor="text1"/>
                <w:sz w:val="21"/>
                <w:szCs w:val="21"/>
                <w:highlight w:val="white"/>
              </w:rPr>
              <w:t>К</w:t>
            </w:r>
            <w:r w:rsidRPr="00CA7C54">
              <w:rPr>
                <w:rFonts w:ascii="Arial" w:hAnsi="Arial" w:cs="Arial"/>
                <w:i/>
                <w:color w:val="000000" w:themeColor="text1"/>
                <w:sz w:val="21"/>
                <w:szCs w:val="21"/>
                <w:highlight w:val="white"/>
                <w:vertAlign w:val="subscript"/>
              </w:rPr>
              <w:t>від</w:t>
            </w:r>
          </w:p>
        </w:tc>
        <w:tc>
          <w:tcPr>
            <w:tcW w:w="1276" w:type="dxa"/>
            <w:tcBorders>
              <w:top w:val="single" w:sz="4" w:space="0" w:color="000000"/>
              <w:left w:val="single" w:sz="4" w:space="0" w:color="000000"/>
              <w:bottom w:val="single" w:sz="4" w:space="0" w:color="000000"/>
            </w:tcBorders>
            <w:shd w:val="clear" w:color="auto" w:fill="auto"/>
            <w:vAlign w:val="center"/>
          </w:tcPr>
          <w:p w14:paraId="03FAEDED"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1,0</w:t>
            </w:r>
          </w:p>
        </w:tc>
        <w:tc>
          <w:tcPr>
            <w:tcW w:w="1276" w:type="dxa"/>
            <w:tcBorders>
              <w:top w:val="single" w:sz="4" w:space="0" w:color="000000"/>
              <w:left w:val="single" w:sz="4" w:space="0" w:color="000000"/>
              <w:bottom w:val="single" w:sz="4" w:space="0" w:color="000000"/>
            </w:tcBorders>
            <w:shd w:val="clear" w:color="auto" w:fill="auto"/>
            <w:vAlign w:val="center"/>
          </w:tcPr>
          <w:p w14:paraId="4C86581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1,1</w:t>
            </w:r>
          </w:p>
        </w:tc>
        <w:tc>
          <w:tcPr>
            <w:tcW w:w="1276" w:type="dxa"/>
            <w:tcBorders>
              <w:top w:val="single" w:sz="4" w:space="0" w:color="000000"/>
              <w:left w:val="single" w:sz="4" w:space="0" w:color="000000"/>
              <w:bottom w:val="single" w:sz="4" w:space="0" w:color="000000"/>
            </w:tcBorders>
            <w:shd w:val="clear" w:color="auto" w:fill="auto"/>
            <w:vAlign w:val="center"/>
          </w:tcPr>
          <w:p w14:paraId="58ED5C2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4B45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1,3</w:t>
            </w:r>
          </w:p>
        </w:tc>
      </w:tr>
    </w:tbl>
    <w:p w14:paraId="5F1B5C9C" w14:textId="77777777" w:rsidR="003C4E04" w:rsidRPr="00CA7C54" w:rsidRDefault="003C4E04" w:rsidP="00326D96">
      <w:pPr>
        <w:spacing w:before="0" w:line="288" w:lineRule="auto"/>
        <w:contextualSpacing/>
        <w:rPr>
          <w:color w:val="000000" w:themeColor="text1"/>
          <w:sz w:val="21"/>
          <w:szCs w:val="21"/>
          <w:highlight w:val="white"/>
        </w:rPr>
      </w:pPr>
    </w:p>
    <w:p w14:paraId="37BCA3BD"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t>14.1.2.4</w:t>
      </w:r>
      <w:r w:rsidRPr="00CA7C54">
        <w:rPr>
          <w:color w:val="000000" w:themeColor="text1"/>
          <w:sz w:val="21"/>
          <w:szCs w:val="21"/>
          <w:highlight w:val="white"/>
        </w:rPr>
        <w:t xml:space="preserve"> Приведене вертикальне навантаження (поздовжнє зусилля) на колони, внутрішні та зовнішні стіни визначається розрахунком і залежить від приведеного навантаження на покриття, яке визначається за  14.1.2.2 цих </w:t>
      </w:r>
      <w:r w:rsidR="0018400C" w:rsidRPr="00CA7C54">
        <w:rPr>
          <w:color w:val="000000" w:themeColor="text1"/>
          <w:sz w:val="21"/>
          <w:szCs w:val="21"/>
          <w:highlight w:val="white"/>
        </w:rPr>
        <w:t>н</w:t>
      </w:r>
      <w:r w:rsidRPr="00CA7C54">
        <w:rPr>
          <w:color w:val="000000" w:themeColor="text1"/>
          <w:sz w:val="21"/>
          <w:szCs w:val="21"/>
          <w:highlight w:val="white"/>
        </w:rPr>
        <w:t>орм.</w:t>
      </w:r>
    </w:p>
    <w:p w14:paraId="5AE2660C"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t>14.1.2.5</w:t>
      </w:r>
      <w:r w:rsidRPr="00CA7C54">
        <w:rPr>
          <w:color w:val="000000" w:themeColor="text1"/>
          <w:sz w:val="21"/>
          <w:szCs w:val="21"/>
          <w:highlight w:val="white"/>
        </w:rPr>
        <w:t xml:space="preserve"> Приведене вертикальне навантаження </w:t>
      </w:r>
      <w:r w:rsidRPr="00CA7C54">
        <w:rPr>
          <w:i/>
          <w:color w:val="000000" w:themeColor="text1"/>
          <w:sz w:val="21"/>
          <w:szCs w:val="21"/>
          <w:highlight w:val="white"/>
        </w:rPr>
        <w:t>Р</w:t>
      </w:r>
      <w:r w:rsidRPr="00CA7C54">
        <w:rPr>
          <w:i/>
          <w:color w:val="000000" w:themeColor="text1"/>
          <w:sz w:val="21"/>
          <w:szCs w:val="21"/>
          <w:highlight w:val="white"/>
          <w:vertAlign w:val="subscript"/>
        </w:rPr>
        <w:t>5</w:t>
      </w:r>
      <w:r w:rsidRPr="00CA7C54">
        <w:rPr>
          <w:i/>
          <w:color w:val="000000" w:themeColor="text1"/>
          <w:sz w:val="21"/>
          <w:szCs w:val="21"/>
          <w:highlight w:val="white"/>
        </w:rPr>
        <w:t>, Р</w:t>
      </w:r>
      <w:r w:rsidRPr="00CA7C54">
        <w:rPr>
          <w:i/>
          <w:color w:val="000000" w:themeColor="text1"/>
          <w:sz w:val="21"/>
          <w:szCs w:val="21"/>
          <w:highlight w:val="white"/>
          <w:vertAlign w:val="subscript"/>
        </w:rPr>
        <w:t>6</w:t>
      </w:r>
      <w:r w:rsidRPr="00CA7C54">
        <w:rPr>
          <w:color w:val="000000" w:themeColor="text1"/>
          <w:sz w:val="21"/>
          <w:szCs w:val="21"/>
          <w:highlight w:val="white"/>
        </w:rPr>
        <w:t xml:space="preserve"> (кПа), що передається на фундаменти, слід визначати за формулами в таблиці 14.5</w:t>
      </w:r>
    </w:p>
    <w:p w14:paraId="3A71B2C7" w14:textId="77777777" w:rsidR="003C4E04" w:rsidRPr="00CA7C54" w:rsidRDefault="003C4E04" w:rsidP="00326D96">
      <w:pPr>
        <w:pBdr>
          <w:top w:val="nil"/>
          <w:left w:val="nil"/>
          <w:bottom w:val="nil"/>
          <w:right w:val="nil"/>
          <w:between w:val="nil"/>
        </w:pBdr>
        <w:spacing w:before="0" w:line="288" w:lineRule="auto"/>
        <w:ind w:right="142"/>
        <w:contextualSpacing/>
        <w:rPr>
          <w:color w:val="000000" w:themeColor="text1"/>
          <w:sz w:val="21"/>
          <w:szCs w:val="21"/>
          <w:highlight w:val="white"/>
        </w:rPr>
      </w:pPr>
    </w:p>
    <w:p w14:paraId="36E43CA8" w14:textId="77777777" w:rsidR="003C4E04" w:rsidRPr="00CA7C54" w:rsidRDefault="001E748C" w:rsidP="00326D96">
      <w:pPr>
        <w:pBdr>
          <w:top w:val="nil"/>
          <w:left w:val="nil"/>
          <w:bottom w:val="nil"/>
          <w:right w:val="nil"/>
          <w:between w:val="nil"/>
        </w:pBdr>
        <w:spacing w:before="0" w:line="288" w:lineRule="auto"/>
        <w:ind w:right="142"/>
        <w:contextualSpacing/>
        <w:rPr>
          <w:b/>
          <w:color w:val="000000" w:themeColor="text1"/>
          <w:sz w:val="21"/>
          <w:szCs w:val="21"/>
        </w:rPr>
      </w:pPr>
      <w:r w:rsidRPr="00CA7C54">
        <w:rPr>
          <w:b/>
          <w:color w:val="000000" w:themeColor="text1"/>
          <w:sz w:val="21"/>
          <w:szCs w:val="21"/>
          <w:highlight w:val="white"/>
        </w:rPr>
        <w:t xml:space="preserve">Таблиця 14.5 </w:t>
      </w:r>
      <w:r w:rsidRPr="00CA7C54">
        <w:rPr>
          <w:color w:val="000000" w:themeColor="text1"/>
          <w:sz w:val="21"/>
          <w:szCs w:val="21"/>
          <w:highlight w:val="white"/>
        </w:rPr>
        <w:t>– Вертикальне приведене навантаження н</w:t>
      </w:r>
      <w:r w:rsidRPr="00CA7C54">
        <w:rPr>
          <w:color w:val="000000" w:themeColor="text1"/>
          <w:sz w:val="21"/>
          <w:szCs w:val="21"/>
        </w:rPr>
        <w:t>а фундаменти</w:t>
      </w:r>
    </w:p>
    <w:tbl>
      <w:tblPr>
        <w:tblStyle w:val="affffffffffffffffffffffffffffffff"/>
        <w:tblW w:w="952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2"/>
        <w:gridCol w:w="3969"/>
      </w:tblGrid>
      <w:tr w:rsidR="00CA7C54" w:rsidRPr="00CA7C54" w14:paraId="0098F567" w14:textId="77777777" w:rsidTr="004700A0">
        <w:trPr>
          <w:trHeight w:val="272"/>
          <w:tblHeader/>
        </w:trPr>
        <w:tc>
          <w:tcPr>
            <w:tcW w:w="5552" w:type="dxa"/>
            <w:shd w:val="clear" w:color="auto" w:fill="auto"/>
            <w:vAlign w:val="center"/>
          </w:tcPr>
          <w:p w14:paraId="6CF7D3F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b/>
                <w:color w:val="000000" w:themeColor="text1"/>
                <w:sz w:val="21"/>
                <w:szCs w:val="21"/>
              </w:rPr>
              <w:t xml:space="preserve">Схема прикладання приведеного навантаження </w:t>
            </w:r>
          </w:p>
        </w:tc>
        <w:tc>
          <w:tcPr>
            <w:tcW w:w="3969" w:type="dxa"/>
            <w:shd w:val="clear" w:color="auto" w:fill="auto"/>
          </w:tcPr>
          <w:p w14:paraId="7A8CA4B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b/>
                <w:color w:val="000000" w:themeColor="text1"/>
                <w:sz w:val="21"/>
                <w:szCs w:val="21"/>
                <w:vertAlign w:val="superscript"/>
              </w:rPr>
            </w:pPr>
            <w:r w:rsidRPr="00CA7C54">
              <w:rPr>
                <w:rFonts w:ascii="Arial" w:hAnsi="Arial" w:cs="Arial"/>
                <w:b/>
                <w:color w:val="000000" w:themeColor="text1"/>
                <w:sz w:val="21"/>
                <w:szCs w:val="21"/>
              </w:rPr>
              <w:t>Вертикальне приведене навантаження на фундаменти, кПа</w:t>
            </w:r>
          </w:p>
        </w:tc>
      </w:tr>
      <w:tr w:rsidR="00CA7C54" w:rsidRPr="00CA7C54" w14:paraId="5FC8A2A5" w14:textId="77777777" w:rsidTr="004700A0">
        <w:trPr>
          <w:trHeight w:val="965"/>
        </w:trPr>
        <w:tc>
          <w:tcPr>
            <w:tcW w:w="5552" w:type="dxa"/>
            <w:shd w:val="clear" w:color="auto" w:fill="auto"/>
          </w:tcPr>
          <w:p w14:paraId="070B24F2"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b/>
                <w:color w:val="000000" w:themeColor="text1"/>
                <w:sz w:val="21"/>
                <w:szCs w:val="21"/>
              </w:rPr>
              <w:t>Схема «е»</w:t>
            </w:r>
            <w:r w:rsidRPr="00CA7C54">
              <w:rPr>
                <w:rFonts w:ascii="Arial" w:hAnsi="Arial" w:cs="Arial"/>
                <w:color w:val="000000" w:themeColor="text1"/>
                <w:sz w:val="21"/>
                <w:szCs w:val="21"/>
              </w:rPr>
              <w:t>, рисунок 14.1 (за умови, що товщина шару нескельного грунту пiд фундаментною плитою дорiвнює або бiльше величини заглиблення споруди у грунт)</w:t>
            </w:r>
          </w:p>
        </w:tc>
        <w:tc>
          <w:tcPr>
            <w:tcW w:w="3969" w:type="dxa"/>
            <w:shd w:val="clear" w:color="auto" w:fill="auto"/>
            <w:vAlign w:val="center"/>
          </w:tcPr>
          <w:p w14:paraId="5195180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rPr>
            </w:pPr>
            <w:r w:rsidRPr="00CA7C54">
              <w:rPr>
                <w:rFonts w:ascii="Arial" w:hAnsi="Arial" w:cs="Arial"/>
                <w:i/>
                <w:color w:val="000000" w:themeColor="text1"/>
                <w:sz w:val="21"/>
                <w:szCs w:val="21"/>
              </w:rPr>
              <w:t>Р</w:t>
            </w:r>
            <w:r w:rsidRPr="00CA7C54">
              <w:rPr>
                <w:rFonts w:ascii="Arial" w:hAnsi="Arial" w:cs="Arial"/>
                <w:i/>
                <w:color w:val="000000" w:themeColor="text1"/>
                <w:sz w:val="21"/>
                <w:szCs w:val="21"/>
                <w:vertAlign w:val="subscript"/>
              </w:rPr>
              <w:t xml:space="preserve">5 </w:t>
            </w:r>
            <w:sdt>
              <w:sdtPr>
                <w:rPr>
                  <w:color w:val="000000" w:themeColor="text1"/>
                  <w:sz w:val="21"/>
                  <w:szCs w:val="21"/>
                </w:rPr>
                <w:tag w:val="goog_rdk_38"/>
                <w:id w:val="-1848704513"/>
              </w:sdtPr>
              <w:sdtEndPr/>
              <w:sdtContent>
                <w:r w:rsidRPr="00CA7C54">
                  <w:rPr>
                    <w:rFonts w:ascii="Arial" w:eastAsia="Arial Unicode MS" w:hAnsi="Arial" w:cs="Arial"/>
                    <w:i/>
                    <w:color w:val="000000" w:themeColor="text1"/>
                    <w:sz w:val="21"/>
                    <w:szCs w:val="21"/>
                  </w:rPr>
                  <w:t>= ∆Р</w:t>
                </w:r>
              </w:sdtContent>
            </w:sdt>
            <w:r w:rsidRPr="00CA7C54">
              <w:rPr>
                <w:rFonts w:ascii="Arial" w:hAnsi="Arial" w:cs="Arial"/>
                <w:i/>
                <w:color w:val="000000" w:themeColor="text1"/>
                <w:sz w:val="21"/>
                <w:szCs w:val="21"/>
                <w:vertAlign w:val="subscript"/>
              </w:rPr>
              <w:t>ex</w:t>
            </w:r>
          </w:p>
        </w:tc>
      </w:tr>
      <w:tr w:rsidR="00CA7C54" w:rsidRPr="00CA7C54" w14:paraId="02AB50C6" w14:textId="77777777" w:rsidTr="004700A0">
        <w:trPr>
          <w:trHeight w:val="976"/>
        </w:trPr>
        <w:tc>
          <w:tcPr>
            <w:tcW w:w="5552" w:type="dxa"/>
            <w:shd w:val="clear" w:color="auto" w:fill="auto"/>
          </w:tcPr>
          <w:p w14:paraId="2F147619"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b/>
                <w:color w:val="000000" w:themeColor="text1"/>
                <w:sz w:val="21"/>
                <w:szCs w:val="21"/>
              </w:rPr>
              <w:t>Схема «е»</w:t>
            </w:r>
            <w:r w:rsidRPr="00CA7C54">
              <w:rPr>
                <w:rFonts w:ascii="Arial" w:hAnsi="Arial" w:cs="Arial"/>
                <w:color w:val="000000" w:themeColor="text1"/>
                <w:sz w:val="21"/>
                <w:szCs w:val="21"/>
              </w:rPr>
              <w:t>, рисунок 14.1 (за умови, що товщина шару нескельного ґрунту вiд низу фундаментної плити до скелi менше величини заглиблення споруди)</w:t>
            </w:r>
          </w:p>
        </w:tc>
        <w:tc>
          <w:tcPr>
            <w:tcW w:w="3969" w:type="dxa"/>
            <w:shd w:val="clear" w:color="auto" w:fill="auto"/>
            <w:vAlign w:val="center"/>
          </w:tcPr>
          <w:p w14:paraId="3F0374F9"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rPr>
            </w:pPr>
            <w:r w:rsidRPr="00CA7C54">
              <w:rPr>
                <w:rFonts w:ascii="Arial" w:hAnsi="Arial" w:cs="Arial"/>
                <w:i/>
                <w:color w:val="000000" w:themeColor="text1"/>
                <w:sz w:val="21"/>
                <w:szCs w:val="21"/>
              </w:rPr>
              <w:t>Р</w:t>
            </w:r>
            <w:r w:rsidRPr="00CA7C54">
              <w:rPr>
                <w:rFonts w:ascii="Arial" w:hAnsi="Arial" w:cs="Arial"/>
                <w:i/>
                <w:color w:val="000000" w:themeColor="text1"/>
                <w:sz w:val="21"/>
                <w:szCs w:val="21"/>
                <w:vertAlign w:val="subscript"/>
              </w:rPr>
              <w:t xml:space="preserve">5 </w:t>
            </w:r>
            <w:sdt>
              <w:sdtPr>
                <w:rPr>
                  <w:color w:val="000000" w:themeColor="text1"/>
                  <w:sz w:val="21"/>
                  <w:szCs w:val="21"/>
                </w:rPr>
                <w:tag w:val="goog_rdk_39"/>
                <w:id w:val="-499665540"/>
              </w:sdtPr>
              <w:sdtEndPr/>
              <w:sdtContent>
                <w:r w:rsidRPr="00CA7C54">
                  <w:rPr>
                    <w:rFonts w:ascii="Arial" w:eastAsia="Arial Unicode MS" w:hAnsi="Arial" w:cs="Arial"/>
                    <w:i/>
                    <w:color w:val="000000" w:themeColor="text1"/>
                    <w:sz w:val="21"/>
                    <w:szCs w:val="21"/>
                  </w:rPr>
                  <w:t>= 1,2 · ∆Р</w:t>
                </w:r>
              </w:sdtContent>
            </w:sdt>
            <w:r w:rsidRPr="00CA7C54">
              <w:rPr>
                <w:rFonts w:ascii="Arial" w:hAnsi="Arial" w:cs="Arial"/>
                <w:i/>
                <w:color w:val="000000" w:themeColor="text1"/>
                <w:sz w:val="21"/>
                <w:szCs w:val="21"/>
                <w:vertAlign w:val="subscript"/>
              </w:rPr>
              <w:t>ex</w:t>
            </w:r>
          </w:p>
        </w:tc>
      </w:tr>
      <w:tr w:rsidR="003C4E04" w:rsidRPr="00CA7C54" w14:paraId="3E2B90C6" w14:textId="77777777" w:rsidTr="004700A0">
        <w:trPr>
          <w:trHeight w:val="1348"/>
        </w:trPr>
        <w:tc>
          <w:tcPr>
            <w:tcW w:w="5552" w:type="dxa"/>
            <w:shd w:val="clear" w:color="auto" w:fill="auto"/>
          </w:tcPr>
          <w:p w14:paraId="01466705"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b/>
                <w:color w:val="000000" w:themeColor="text1"/>
                <w:sz w:val="21"/>
                <w:szCs w:val="21"/>
              </w:rPr>
            </w:pPr>
            <w:r w:rsidRPr="00CA7C54">
              <w:rPr>
                <w:rFonts w:ascii="Arial" w:hAnsi="Arial" w:cs="Arial"/>
                <w:b/>
                <w:color w:val="000000" w:themeColor="text1"/>
                <w:sz w:val="21"/>
                <w:szCs w:val="21"/>
              </w:rPr>
              <w:t>Стрічкові та окремо стоячі фундаменти</w:t>
            </w:r>
          </w:p>
        </w:tc>
        <w:tc>
          <w:tcPr>
            <w:tcW w:w="3969" w:type="dxa"/>
            <w:shd w:val="clear" w:color="auto" w:fill="auto"/>
            <w:vAlign w:val="center"/>
          </w:tcPr>
          <w:p w14:paraId="04EAC8F2" w14:textId="77777777" w:rsidR="003C4E04" w:rsidRPr="00CA7C54" w:rsidRDefault="001E748C" w:rsidP="00E72B41">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i/>
                <w:color w:val="000000" w:themeColor="text1"/>
                <w:sz w:val="21"/>
                <w:szCs w:val="21"/>
              </w:rPr>
              <w:t>Р</w:t>
            </w:r>
            <w:r w:rsidRPr="00CA7C54">
              <w:rPr>
                <w:rFonts w:ascii="Arial" w:hAnsi="Arial" w:cs="Arial"/>
                <w:i/>
                <w:color w:val="000000" w:themeColor="text1"/>
                <w:sz w:val="21"/>
                <w:szCs w:val="21"/>
                <w:vertAlign w:val="subscript"/>
              </w:rPr>
              <w:t>6</w:t>
            </w:r>
            <w:r w:rsidRPr="00CA7C54">
              <w:rPr>
                <w:rFonts w:ascii="Arial" w:hAnsi="Arial" w:cs="Arial"/>
                <w:color w:val="000000" w:themeColor="text1"/>
                <w:sz w:val="21"/>
                <w:szCs w:val="21"/>
              </w:rPr>
              <w:t>навантаження відпору грунту, що визначається розрахунком в залежності вiд приведеного вертикального навантаження на покриття, стiни, колони та площi фундаментiв</w:t>
            </w:r>
          </w:p>
        </w:tc>
      </w:tr>
    </w:tbl>
    <w:p w14:paraId="285DD0BB" w14:textId="77777777" w:rsidR="003C4E04" w:rsidRPr="00CA7C54" w:rsidRDefault="003C4E04" w:rsidP="00326D96">
      <w:pPr>
        <w:pBdr>
          <w:top w:val="nil"/>
          <w:left w:val="nil"/>
          <w:bottom w:val="nil"/>
          <w:right w:val="nil"/>
          <w:between w:val="nil"/>
        </w:pBdr>
        <w:spacing w:before="0" w:line="288" w:lineRule="auto"/>
        <w:ind w:firstLine="709"/>
        <w:contextualSpacing/>
        <w:rPr>
          <w:rFonts w:eastAsia="Times New Roman"/>
          <w:color w:val="000000" w:themeColor="text1"/>
          <w:sz w:val="21"/>
          <w:szCs w:val="21"/>
        </w:rPr>
      </w:pPr>
    </w:p>
    <w:p w14:paraId="321D68F5" w14:textId="77777777" w:rsidR="00924A37"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t>14.1.2.6</w:t>
      </w:r>
      <w:r w:rsidRPr="00CA7C54">
        <w:rPr>
          <w:color w:val="000000" w:themeColor="text1"/>
          <w:sz w:val="21"/>
          <w:szCs w:val="21"/>
          <w:highlight w:val="white"/>
        </w:rPr>
        <w:t xml:space="preserve"> Приведене навантаження на входи та аварійні виходи захисних споруд слід визначати за формулами в таблиці 14.6</w:t>
      </w:r>
      <w:r w:rsidR="00924A37" w:rsidRPr="00CA7C54">
        <w:rPr>
          <w:color w:val="000000" w:themeColor="text1"/>
          <w:sz w:val="21"/>
          <w:szCs w:val="21"/>
          <w:highlight w:val="white"/>
        </w:rPr>
        <w:br w:type="page"/>
      </w:r>
    </w:p>
    <w:p w14:paraId="2D503C5F"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rPr>
      </w:pPr>
      <w:r w:rsidRPr="00CA7C54">
        <w:rPr>
          <w:b/>
          <w:color w:val="000000" w:themeColor="text1"/>
          <w:sz w:val="21"/>
          <w:szCs w:val="21"/>
          <w:highlight w:val="white"/>
        </w:rPr>
        <w:lastRenderedPageBreak/>
        <w:t xml:space="preserve">Таблиця 14.6 </w:t>
      </w:r>
      <w:r w:rsidRPr="00CA7C54">
        <w:rPr>
          <w:color w:val="000000" w:themeColor="text1"/>
          <w:sz w:val="21"/>
          <w:szCs w:val="21"/>
          <w:highlight w:val="white"/>
        </w:rPr>
        <w:t>– Привед</w:t>
      </w:r>
      <w:r w:rsidRPr="00CA7C54">
        <w:rPr>
          <w:color w:val="000000" w:themeColor="text1"/>
          <w:sz w:val="21"/>
          <w:szCs w:val="21"/>
        </w:rPr>
        <w:t>ені навантаження на елементи входів та аварійних виходів</w:t>
      </w:r>
    </w:p>
    <w:tbl>
      <w:tblPr>
        <w:tblStyle w:val="affffffffffffffffffffffffffffffff0"/>
        <w:tblW w:w="923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0"/>
        <w:gridCol w:w="4394"/>
        <w:gridCol w:w="3544"/>
      </w:tblGrid>
      <w:tr w:rsidR="00CA7C54" w:rsidRPr="00CA7C54" w14:paraId="72E8AAD7" w14:textId="77777777" w:rsidTr="004700A0">
        <w:trPr>
          <w:trHeight w:val="457"/>
          <w:tblHeader/>
        </w:trPr>
        <w:tc>
          <w:tcPr>
            <w:tcW w:w="5694" w:type="dxa"/>
            <w:gridSpan w:val="2"/>
            <w:shd w:val="clear" w:color="auto" w:fill="auto"/>
            <w:vAlign w:val="center"/>
          </w:tcPr>
          <w:p w14:paraId="7A28D948"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Найменування елемента</w:t>
            </w:r>
          </w:p>
        </w:tc>
        <w:tc>
          <w:tcPr>
            <w:tcW w:w="3544" w:type="dxa"/>
            <w:shd w:val="clear" w:color="auto" w:fill="auto"/>
            <w:vAlign w:val="center"/>
          </w:tcPr>
          <w:p w14:paraId="0C24980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Приведені навантаження на елементи входів та аварійних виходів, кПа</w:t>
            </w:r>
          </w:p>
        </w:tc>
      </w:tr>
      <w:tr w:rsidR="00CA7C54" w:rsidRPr="00CA7C54" w14:paraId="79924AD8" w14:textId="77777777" w:rsidTr="004700A0">
        <w:trPr>
          <w:trHeight w:val="1033"/>
        </w:trPr>
        <w:tc>
          <w:tcPr>
            <w:tcW w:w="5694" w:type="dxa"/>
            <w:gridSpan w:val="2"/>
            <w:shd w:val="clear" w:color="auto" w:fill="auto"/>
            <w:vAlign w:val="center"/>
          </w:tcPr>
          <w:p w14:paraId="62EEEEB1"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Горизонтальне навантаження на дiлянки зовнiшнiх стiн захисних споруд та СПП у мiсцях розташування входів i на першi (зовнiшнi) захисно-герметичнi дверi (ворота) та захисні двері ПРУ та СПП</w:t>
            </w:r>
          </w:p>
        </w:tc>
        <w:tc>
          <w:tcPr>
            <w:tcW w:w="3544" w:type="dxa"/>
            <w:shd w:val="clear" w:color="auto" w:fill="auto"/>
            <w:vAlign w:val="center"/>
          </w:tcPr>
          <w:p w14:paraId="0347EE6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 K</w:t>
            </w:r>
            <w:r w:rsidRPr="00CA7C54">
              <w:rPr>
                <w:rFonts w:ascii="Arial" w:hAnsi="Arial" w:cs="Arial"/>
                <w:i/>
                <w:color w:val="000000" w:themeColor="text1"/>
                <w:sz w:val="21"/>
                <w:szCs w:val="21"/>
                <w:highlight w:val="white"/>
                <w:vertAlign w:val="subscript"/>
              </w:rPr>
              <w:t>в</w:t>
            </w:r>
            <w:sdt>
              <w:sdtPr>
                <w:rPr>
                  <w:color w:val="000000" w:themeColor="text1"/>
                  <w:sz w:val="21"/>
                  <w:szCs w:val="21"/>
                </w:rPr>
                <w:tag w:val="goog_rdk_40"/>
                <w:id w:val="-1225291584"/>
              </w:sdtPr>
              <w:sdtEndPr/>
              <w:sdtContent>
                <w:r w:rsidRPr="00CA7C54">
                  <w:rPr>
                    <w:rFonts w:ascii="Arial" w:eastAsia="Arial Unicode MS" w:hAnsi="Arial" w:cs="Arial"/>
                    <w:i/>
                    <w:color w:val="000000" w:themeColor="text1"/>
                    <w:sz w:val="21"/>
                    <w:szCs w:val="21"/>
                    <w:highlight w:val="white"/>
                  </w:rPr>
                  <w:t xml:space="preserve"> · ∆Р</w:t>
                </w:r>
              </w:sdtContent>
            </w:sdt>
            <w:r w:rsidRPr="00CA7C54">
              <w:rPr>
                <w:rFonts w:ascii="Arial" w:hAnsi="Arial" w:cs="Arial"/>
                <w:i/>
                <w:color w:val="000000" w:themeColor="text1"/>
                <w:sz w:val="21"/>
                <w:szCs w:val="21"/>
                <w:highlight w:val="white"/>
                <w:vertAlign w:val="subscript"/>
              </w:rPr>
              <w:t>ex</w:t>
            </w:r>
          </w:p>
        </w:tc>
      </w:tr>
      <w:tr w:rsidR="00CA7C54" w:rsidRPr="00CA7C54" w14:paraId="52A5AA04" w14:textId="77777777" w:rsidTr="004700A0">
        <w:trPr>
          <w:trHeight w:val="215"/>
        </w:trPr>
        <w:tc>
          <w:tcPr>
            <w:tcW w:w="5694" w:type="dxa"/>
            <w:gridSpan w:val="2"/>
            <w:shd w:val="clear" w:color="auto" w:fill="auto"/>
            <w:vAlign w:val="center"/>
          </w:tcPr>
          <w:p w14:paraId="7C4E47B7"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на внутрішні боки тамбур-шлюзів</w:t>
            </w:r>
          </w:p>
        </w:tc>
        <w:tc>
          <w:tcPr>
            <w:tcW w:w="3544" w:type="dxa"/>
            <w:shd w:val="clear" w:color="auto" w:fill="auto"/>
            <w:vAlign w:val="center"/>
          </w:tcPr>
          <w:p w14:paraId="62222300"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 0,8 · Р</w:t>
            </w:r>
            <w:r w:rsidRPr="00CA7C54">
              <w:rPr>
                <w:rFonts w:ascii="Arial" w:hAnsi="Arial" w:cs="Arial"/>
                <w:i/>
                <w:color w:val="000000" w:themeColor="text1"/>
                <w:sz w:val="21"/>
                <w:szCs w:val="21"/>
                <w:highlight w:val="white"/>
                <w:vertAlign w:val="subscript"/>
              </w:rPr>
              <w:t>ст</w:t>
            </w:r>
          </w:p>
        </w:tc>
      </w:tr>
      <w:tr w:rsidR="00CA7C54" w:rsidRPr="00CA7C54" w14:paraId="1840BB36" w14:textId="77777777" w:rsidTr="004700A0">
        <w:trPr>
          <w:trHeight w:val="462"/>
        </w:trPr>
        <w:tc>
          <w:tcPr>
            <w:tcW w:w="5694" w:type="dxa"/>
            <w:gridSpan w:val="2"/>
            <w:shd w:val="clear" w:color="auto" w:fill="auto"/>
            <w:vAlign w:val="center"/>
          </w:tcPr>
          <w:p w14:paraId="38782E53" w14:textId="77777777" w:rsidR="00E44EE0"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на внутрішні боки тамбурів (для сховищ та СПП із захисними властивостями сховищ класу А-ІІ та</w:t>
            </w:r>
          </w:p>
          <w:p w14:paraId="7595FBF1"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 А-ІІІ класів)</w:t>
            </w:r>
          </w:p>
        </w:tc>
        <w:tc>
          <w:tcPr>
            <w:tcW w:w="3544" w:type="dxa"/>
            <w:shd w:val="clear" w:color="auto" w:fill="auto"/>
            <w:vAlign w:val="center"/>
          </w:tcPr>
          <w:p w14:paraId="15EF4BEF"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Р=25 кПа</w:t>
            </w:r>
          </w:p>
        </w:tc>
      </w:tr>
      <w:tr w:rsidR="00CA7C54" w:rsidRPr="00CA7C54" w14:paraId="184A5E35" w14:textId="77777777" w:rsidTr="004700A0">
        <w:trPr>
          <w:trHeight w:val="699"/>
        </w:trPr>
        <w:tc>
          <w:tcPr>
            <w:tcW w:w="5694" w:type="dxa"/>
            <w:gridSpan w:val="2"/>
            <w:shd w:val="clear" w:color="auto" w:fill="auto"/>
            <w:vAlign w:val="center"/>
          </w:tcPr>
          <w:p w14:paraId="065AC09E"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на внутрішні боки тамбурів (для сховищ та СПП із захисними властивостями сховищ класу А-ІV класу, ПРУ та СПП із захисними властивостями ПРУ групи П-1, П-2, П-3, П-4, П-5, П-6)</w:t>
            </w:r>
          </w:p>
        </w:tc>
        <w:tc>
          <w:tcPr>
            <w:tcW w:w="3544" w:type="dxa"/>
            <w:shd w:val="clear" w:color="auto" w:fill="auto"/>
            <w:vAlign w:val="center"/>
          </w:tcPr>
          <w:p w14:paraId="629C112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Р=15 кПа</w:t>
            </w:r>
          </w:p>
        </w:tc>
      </w:tr>
      <w:tr w:rsidR="00CA7C54" w:rsidRPr="00CA7C54" w14:paraId="0F149A3D" w14:textId="77777777" w:rsidTr="004700A0">
        <w:trPr>
          <w:trHeight w:val="954"/>
        </w:trPr>
        <w:tc>
          <w:tcPr>
            <w:tcW w:w="5694" w:type="dxa"/>
            <w:gridSpan w:val="2"/>
            <w:shd w:val="clear" w:color="auto" w:fill="auto"/>
          </w:tcPr>
          <w:p w14:paraId="780CDFB5"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від дії повітряної ударної хвилі на конструкції аварійного виходу зсередини, запро</w:t>
            </w:r>
            <w:r w:rsidR="00E44EE0" w:rsidRPr="00CA7C54">
              <w:rPr>
                <w:rFonts w:ascii="Arial" w:hAnsi="Arial" w:cs="Arial"/>
                <w:color w:val="000000" w:themeColor="text1"/>
                <w:sz w:val="21"/>
                <w:szCs w:val="21"/>
                <w:highlight w:val="white"/>
              </w:rPr>
              <w:t>є</w:t>
            </w:r>
            <w:r w:rsidRPr="00CA7C54">
              <w:rPr>
                <w:rFonts w:ascii="Arial" w:hAnsi="Arial" w:cs="Arial"/>
                <w:color w:val="000000" w:themeColor="text1"/>
                <w:sz w:val="21"/>
                <w:szCs w:val="21"/>
                <w:highlight w:val="white"/>
              </w:rPr>
              <w:t>ктованого у вигляді захищеного оголовка з шахтою і тунелем, а також на ділянку стіни у місці примикання виходу</w:t>
            </w:r>
          </w:p>
        </w:tc>
        <w:tc>
          <w:tcPr>
            <w:tcW w:w="3544" w:type="dxa"/>
            <w:shd w:val="clear" w:color="auto" w:fill="auto"/>
            <w:vAlign w:val="center"/>
          </w:tcPr>
          <w:p w14:paraId="20EF156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sdt>
              <w:sdtPr>
                <w:rPr>
                  <w:color w:val="000000" w:themeColor="text1"/>
                  <w:sz w:val="21"/>
                  <w:szCs w:val="21"/>
                </w:rPr>
                <w:tag w:val="goog_rdk_41"/>
                <w:id w:val="-2046829458"/>
              </w:sdtPr>
              <w:sdtEndPr/>
              <w:sdtContent>
                <w:r w:rsidRPr="00CA7C54">
                  <w:rPr>
                    <w:rFonts w:ascii="Arial" w:eastAsia="Arial Unicode MS" w:hAnsi="Arial" w:cs="Arial"/>
                    <w:i/>
                    <w:color w:val="000000" w:themeColor="text1"/>
                    <w:sz w:val="21"/>
                    <w:szCs w:val="21"/>
                    <w:highlight w:val="white"/>
                  </w:rPr>
                  <w:t>= 1,6 · ∆Р</w:t>
                </w:r>
              </w:sdtContent>
            </w:sdt>
            <w:r w:rsidRPr="00CA7C54">
              <w:rPr>
                <w:rFonts w:ascii="Arial" w:hAnsi="Arial" w:cs="Arial"/>
                <w:i/>
                <w:color w:val="000000" w:themeColor="text1"/>
                <w:sz w:val="21"/>
                <w:szCs w:val="21"/>
                <w:highlight w:val="white"/>
                <w:vertAlign w:val="subscript"/>
              </w:rPr>
              <w:t>ex</w:t>
            </w:r>
          </w:p>
        </w:tc>
      </w:tr>
      <w:tr w:rsidR="00CA7C54" w:rsidRPr="00CA7C54" w14:paraId="62A0C655" w14:textId="77777777" w:rsidTr="004700A0">
        <w:trPr>
          <w:trHeight w:val="1325"/>
        </w:trPr>
        <w:tc>
          <w:tcPr>
            <w:tcW w:w="5694" w:type="dxa"/>
            <w:gridSpan w:val="2"/>
            <w:shd w:val="clear" w:color="auto" w:fill="auto"/>
          </w:tcPr>
          <w:p w14:paraId="246DC1C5"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від дії повітряної ударної хвилі на конструкції аварійного виходу (повітрозабірного каналу) зсередини, запро</w:t>
            </w:r>
            <w:r w:rsidR="00E44EE0" w:rsidRPr="00CA7C54">
              <w:rPr>
                <w:rFonts w:ascii="Arial" w:hAnsi="Arial" w:cs="Arial"/>
                <w:color w:val="000000" w:themeColor="text1"/>
                <w:sz w:val="21"/>
                <w:szCs w:val="21"/>
                <w:highlight w:val="white"/>
              </w:rPr>
              <w:t>є</w:t>
            </w:r>
            <w:r w:rsidRPr="00CA7C54">
              <w:rPr>
                <w:rFonts w:ascii="Arial" w:hAnsi="Arial" w:cs="Arial"/>
                <w:color w:val="000000" w:themeColor="text1"/>
                <w:sz w:val="21"/>
                <w:szCs w:val="21"/>
                <w:highlight w:val="white"/>
              </w:rPr>
              <w:t>ктованого у вигляді захищеного оголовка з шахтою, а також на ділянку стіни у місці примикання шахти (для сховищ та СПП із захисними властивостями сховищ класу А-ІІ та А-ІІІ класів)</w:t>
            </w:r>
          </w:p>
        </w:tc>
        <w:tc>
          <w:tcPr>
            <w:tcW w:w="3544" w:type="dxa"/>
            <w:shd w:val="clear" w:color="auto" w:fill="auto"/>
            <w:vAlign w:val="center"/>
          </w:tcPr>
          <w:p w14:paraId="21AF7178" w14:textId="77777777" w:rsidR="003C4E04" w:rsidRPr="00CA7C54" w:rsidRDefault="00DC31F3"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sdt>
              <w:sdtPr>
                <w:rPr>
                  <w:color w:val="000000" w:themeColor="text1"/>
                  <w:sz w:val="21"/>
                  <w:szCs w:val="21"/>
                </w:rPr>
                <w:tag w:val="goog_rdk_42"/>
                <w:id w:val="-1051222125"/>
              </w:sdtPr>
              <w:sdtEndPr/>
              <w:sdtContent>
                <w:r w:rsidR="001E748C" w:rsidRPr="00CA7C54">
                  <w:rPr>
                    <w:rFonts w:ascii="Arial" w:eastAsia="Arial Unicode MS" w:hAnsi="Arial" w:cs="Arial"/>
                    <w:i/>
                    <w:color w:val="000000" w:themeColor="text1"/>
                    <w:sz w:val="21"/>
                    <w:szCs w:val="21"/>
                    <w:highlight w:val="white"/>
                  </w:rPr>
                  <w:t>Р = 1,65 · ∆Р</w:t>
                </w:r>
              </w:sdtContent>
            </w:sdt>
            <w:r w:rsidR="001E748C" w:rsidRPr="00CA7C54">
              <w:rPr>
                <w:rFonts w:ascii="Arial" w:hAnsi="Arial" w:cs="Arial"/>
                <w:i/>
                <w:color w:val="000000" w:themeColor="text1"/>
                <w:sz w:val="21"/>
                <w:szCs w:val="21"/>
                <w:highlight w:val="white"/>
                <w:vertAlign w:val="subscript"/>
              </w:rPr>
              <w:t>ex</w:t>
            </w:r>
          </w:p>
        </w:tc>
      </w:tr>
      <w:tr w:rsidR="00CA7C54" w:rsidRPr="00CA7C54" w14:paraId="74EBE3BA" w14:textId="77777777" w:rsidTr="004700A0">
        <w:trPr>
          <w:trHeight w:val="1361"/>
        </w:trPr>
        <w:tc>
          <w:tcPr>
            <w:tcW w:w="5694" w:type="dxa"/>
            <w:gridSpan w:val="2"/>
            <w:shd w:val="clear" w:color="auto" w:fill="auto"/>
          </w:tcPr>
          <w:p w14:paraId="4CE59E7E"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від дії повітряної ударної хвилі на конструкції аварійного виходу (повітрозабірного каналу) зсередини, запро</w:t>
            </w:r>
            <w:r w:rsidR="00E44EE0" w:rsidRPr="00CA7C54">
              <w:rPr>
                <w:rFonts w:ascii="Arial" w:hAnsi="Arial" w:cs="Arial"/>
                <w:color w:val="000000" w:themeColor="text1"/>
                <w:sz w:val="21"/>
                <w:szCs w:val="21"/>
                <w:highlight w:val="white"/>
              </w:rPr>
              <w:t>є</w:t>
            </w:r>
            <w:r w:rsidRPr="00CA7C54">
              <w:rPr>
                <w:rFonts w:ascii="Arial" w:hAnsi="Arial" w:cs="Arial"/>
                <w:color w:val="000000" w:themeColor="text1"/>
                <w:sz w:val="21"/>
                <w:szCs w:val="21"/>
                <w:highlight w:val="white"/>
              </w:rPr>
              <w:t>ктованого у вигляді захищеного оголовка з шахтою, а також на ділянку стіни у місці примикання шахти (для сховищ та СПП класу із захисними властивостями сховищ класу А-І, ПРУ групи П-1, П-2, П-3, П-4, П-5, П-6)</w:t>
            </w:r>
          </w:p>
        </w:tc>
        <w:tc>
          <w:tcPr>
            <w:tcW w:w="3544" w:type="dxa"/>
            <w:shd w:val="clear" w:color="auto" w:fill="auto"/>
            <w:vAlign w:val="center"/>
          </w:tcPr>
          <w:p w14:paraId="1FFE2C08" w14:textId="77777777" w:rsidR="003C4E04" w:rsidRPr="00CA7C54" w:rsidRDefault="00DC31F3"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sdt>
              <w:sdtPr>
                <w:rPr>
                  <w:color w:val="000000" w:themeColor="text1"/>
                  <w:sz w:val="21"/>
                  <w:szCs w:val="21"/>
                </w:rPr>
                <w:tag w:val="goog_rdk_43"/>
                <w:id w:val="815541278"/>
              </w:sdtPr>
              <w:sdtEndPr/>
              <w:sdtContent>
                <w:r w:rsidR="001E748C" w:rsidRPr="00CA7C54">
                  <w:rPr>
                    <w:rFonts w:ascii="Arial" w:eastAsia="Arial Unicode MS" w:hAnsi="Arial" w:cs="Arial"/>
                    <w:i/>
                    <w:color w:val="000000" w:themeColor="text1"/>
                    <w:sz w:val="21"/>
                    <w:szCs w:val="21"/>
                    <w:highlight w:val="white"/>
                  </w:rPr>
                  <w:t>Р = 1,8 · ∆Р</w:t>
                </w:r>
              </w:sdtContent>
            </w:sdt>
            <w:r w:rsidR="001E748C" w:rsidRPr="00CA7C54">
              <w:rPr>
                <w:rFonts w:ascii="Arial" w:hAnsi="Arial" w:cs="Arial"/>
                <w:i/>
                <w:color w:val="000000" w:themeColor="text1"/>
                <w:sz w:val="21"/>
                <w:szCs w:val="21"/>
                <w:highlight w:val="white"/>
                <w:vertAlign w:val="subscript"/>
              </w:rPr>
              <w:t>ex</w:t>
            </w:r>
          </w:p>
        </w:tc>
      </w:tr>
      <w:tr w:rsidR="00CA7C54" w:rsidRPr="00CA7C54" w14:paraId="51C8DB2A" w14:textId="77777777" w:rsidTr="004700A0">
        <w:trPr>
          <w:trHeight w:val="237"/>
        </w:trPr>
        <w:tc>
          <w:tcPr>
            <w:tcW w:w="5694" w:type="dxa"/>
            <w:gridSpan w:val="2"/>
            <w:tcBorders>
              <w:bottom w:val="single" w:sz="4" w:space="0" w:color="000000"/>
            </w:tcBorders>
            <w:shd w:val="clear" w:color="auto" w:fill="auto"/>
          </w:tcPr>
          <w:p w14:paraId="188C58F3"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від дії повітряної ударної хвилі на стіни, покриття і підлогу аварійного  виходу зсередини, запро</w:t>
            </w:r>
            <w:r w:rsidR="00E44EE0" w:rsidRPr="00CA7C54">
              <w:rPr>
                <w:rFonts w:ascii="Arial" w:hAnsi="Arial" w:cs="Arial"/>
                <w:color w:val="000000" w:themeColor="text1"/>
                <w:sz w:val="21"/>
                <w:szCs w:val="21"/>
                <w:highlight w:val="white"/>
              </w:rPr>
              <w:t>є</w:t>
            </w:r>
            <w:r w:rsidRPr="00CA7C54">
              <w:rPr>
                <w:rFonts w:ascii="Arial" w:hAnsi="Arial" w:cs="Arial"/>
                <w:color w:val="000000" w:themeColor="text1"/>
                <w:sz w:val="21"/>
                <w:szCs w:val="21"/>
                <w:highlight w:val="white"/>
              </w:rPr>
              <w:t xml:space="preserve">ктованого у вигляді похилого спуску і тунелю </w:t>
            </w:r>
          </w:p>
        </w:tc>
        <w:tc>
          <w:tcPr>
            <w:tcW w:w="3544" w:type="dxa"/>
            <w:tcBorders>
              <w:bottom w:val="single" w:sz="4" w:space="0" w:color="000000"/>
            </w:tcBorders>
            <w:shd w:val="clear" w:color="auto" w:fill="auto"/>
            <w:vAlign w:val="center"/>
          </w:tcPr>
          <w:p w14:paraId="5B3D17DA"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 = K</w:t>
            </w:r>
            <w:r w:rsidRPr="00CA7C54">
              <w:rPr>
                <w:rFonts w:ascii="Arial" w:hAnsi="Arial" w:cs="Arial"/>
                <w:i/>
                <w:color w:val="000000" w:themeColor="text1"/>
                <w:sz w:val="21"/>
                <w:szCs w:val="21"/>
                <w:highlight w:val="white"/>
                <w:vertAlign w:val="subscript"/>
              </w:rPr>
              <w:t>В</w:t>
            </w:r>
            <w:sdt>
              <w:sdtPr>
                <w:rPr>
                  <w:color w:val="000000" w:themeColor="text1"/>
                  <w:sz w:val="21"/>
                  <w:szCs w:val="21"/>
                </w:rPr>
                <w:tag w:val="goog_rdk_44"/>
                <w:id w:val="-898589477"/>
              </w:sdtPr>
              <w:sdtEndPr/>
              <w:sdtContent>
                <w:r w:rsidRPr="00CA7C54">
                  <w:rPr>
                    <w:rFonts w:ascii="Arial" w:eastAsia="Arial Unicode MS" w:hAnsi="Arial" w:cs="Arial"/>
                    <w:i/>
                    <w:color w:val="000000" w:themeColor="text1"/>
                    <w:sz w:val="21"/>
                    <w:szCs w:val="21"/>
                    <w:highlight w:val="white"/>
                  </w:rPr>
                  <w:t xml:space="preserve"> · ∆Р</w:t>
                </w:r>
              </w:sdtContent>
            </w:sdt>
            <w:r w:rsidRPr="00CA7C54">
              <w:rPr>
                <w:rFonts w:ascii="Arial" w:hAnsi="Arial" w:cs="Arial"/>
                <w:i/>
                <w:color w:val="000000" w:themeColor="text1"/>
                <w:sz w:val="21"/>
                <w:szCs w:val="21"/>
                <w:highlight w:val="white"/>
                <w:vertAlign w:val="subscript"/>
              </w:rPr>
              <w:t>ex</w:t>
            </w:r>
          </w:p>
        </w:tc>
      </w:tr>
      <w:tr w:rsidR="00CA7C54" w:rsidRPr="00CA7C54" w14:paraId="1B2B4699" w14:textId="77777777" w:rsidTr="0062589B">
        <w:trPr>
          <w:trHeight w:val="304"/>
        </w:trPr>
        <w:tc>
          <w:tcPr>
            <w:tcW w:w="1300" w:type="dxa"/>
            <w:tcBorders>
              <w:bottom w:val="single" w:sz="4" w:space="0" w:color="auto"/>
              <w:right w:val="single" w:sz="4" w:space="0" w:color="auto"/>
            </w:tcBorders>
            <w:shd w:val="clear" w:color="auto" w:fill="auto"/>
          </w:tcPr>
          <w:p w14:paraId="218CB35A" w14:textId="77777777" w:rsidR="003C4E04" w:rsidRPr="00CA7C54" w:rsidRDefault="001E748C" w:rsidP="00326D96">
            <w:pPr>
              <w:pBdr>
                <w:top w:val="nil"/>
                <w:left w:val="nil"/>
                <w:bottom w:val="nil"/>
                <w:right w:val="nil"/>
                <w:between w:val="nil"/>
              </w:pBdr>
              <w:spacing w:before="0" w:line="288" w:lineRule="auto"/>
              <w:ind w:right="-110" w:firstLine="0"/>
              <w:contextualSpacing/>
              <w:jc w:val="left"/>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Примітка1.</w:t>
            </w:r>
          </w:p>
        </w:tc>
        <w:tc>
          <w:tcPr>
            <w:tcW w:w="7938" w:type="dxa"/>
            <w:gridSpan w:val="2"/>
            <w:tcBorders>
              <w:left w:val="single" w:sz="4" w:space="0" w:color="auto"/>
              <w:bottom w:val="single" w:sz="4" w:space="0" w:color="auto"/>
            </w:tcBorders>
            <w:shd w:val="clear" w:color="auto" w:fill="auto"/>
          </w:tcPr>
          <w:p w14:paraId="2DC9360C"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i/>
                <w:color w:val="000000" w:themeColor="text1"/>
                <w:sz w:val="21"/>
                <w:szCs w:val="21"/>
                <w:highlight w:val="white"/>
              </w:rPr>
              <w:t>K</w:t>
            </w:r>
            <w:r w:rsidRPr="00CA7C54">
              <w:rPr>
                <w:rFonts w:ascii="Arial" w:hAnsi="Arial" w:cs="Arial"/>
                <w:i/>
                <w:color w:val="000000" w:themeColor="text1"/>
                <w:sz w:val="21"/>
                <w:szCs w:val="21"/>
                <w:highlight w:val="white"/>
                <w:vertAlign w:val="subscript"/>
              </w:rPr>
              <w:t>В</w:t>
            </w:r>
            <w:r w:rsidRPr="00CA7C54">
              <w:rPr>
                <w:rFonts w:ascii="Arial" w:hAnsi="Arial" w:cs="Arial"/>
                <w:color w:val="000000" w:themeColor="text1"/>
                <w:sz w:val="21"/>
                <w:szCs w:val="21"/>
                <w:highlight w:val="white"/>
              </w:rPr>
              <w:t xml:space="preserve"> – коефiцiєнт, приймається по таблиці 14.7</w:t>
            </w:r>
          </w:p>
        </w:tc>
      </w:tr>
      <w:tr w:rsidR="003C4E04" w:rsidRPr="00CA7C54" w14:paraId="2EE06F16" w14:textId="77777777" w:rsidTr="0062589B">
        <w:trPr>
          <w:trHeight w:val="454"/>
        </w:trPr>
        <w:tc>
          <w:tcPr>
            <w:tcW w:w="1300" w:type="dxa"/>
            <w:tcBorders>
              <w:top w:val="single" w:sz="4" w:space="0" w:color="auto"/>
              <w:right w:val="single" w:sz="4" w:space="0" w:color="auto"/>
            </w:tcBorders>
            <w:shd w:val="clear" w:color="auto" w:fill="auto"/>
          </w:tcPr>
          <w:p w14:paraId="6640260F" w14:textId="77777777" w:rsidR="003C4E04" w:rsidRPr="00CA7C54" w:rsidRDefault="001E748C" w:rsidP="00733581">
            <w:pPr>
              <w:pBdr>
                <w:top w:val="nil"/>
                <w:left w:val="nil"/>
                <w:bottom w:val="nil"/>
                <w:right w:val="nil"/>
                <w:between w:val="nil"/>
              </w:pBdr>
              <w:spacing w:before="0" w:line="300" w:lineRule="exact"/>
              <w:ind w:right="-108" w:firstLine="0"/>
              <w:contextualSpacing/>
              <w:jc w:val="left"/>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Примітка2.</w:t>
            </w:r>
          </w:p>
        </w:tc>
        <w:tc>
          <w:tcPr>
            <w:tcW w:w="7938" w:type="dxa"/>
            <w:gridSpan w:val="2"/>
            <w:tcBorders>
              <w:top w:val="single" w:sz="4" w:space="0" w:color="auto"/>
              <w:left w:val="single" w:sz="4" w:space="0" w:color="auto"/>
            </w:tcBorders>
            <w:shd w:val="clear" w:color="auto" w:fill="auto"/>
          </w:tcPr>
          <w:p w14:paraId="4600FC6B" w14:textId="77777777" w:rsidR="003C4E04" w:rsidRPr="00CA7C54" w:rsidRDefault="001E748C" w:rsidP="00733581">
            <w:pPr>
              <w:pBdr>
                <w:top w:val="nil"/>
                <w:left w:val="nil"/>
                <w:bottom w:val="nil"/>
                <w:right w:val="nil"/>
                <w:between w:val="nil"/>
              </w:pBdr>
              <w:spacing w:before="0" w:line="300" w:lineRule="exact"/>
              <w:ind w:firstLine="0"/>
              <w:contextualSpacing/>
              <w:jc w:val="left"/>
              <w:rPr>
                <w:rFonts w:ascii="Arial" w:hAnsi="Arial" w:cs="Arial"/>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ст</w:t>
            </w:r>
            <w:r w:rsidRPr="00CA7C54">
              <w:rPr>
                <w:rFonts w:ascii="Arial" w:hAnsi="Arial" w:cs="Arial"/>
                <w:color w:val="000000" w:themeColor="text1"/>
                <w:sz w:val="21"/>
                <w:szCs w:val="21"/>
                <w:highlight w:val="white"/>
              </w:rPr>
              <w:t>– приведене навантаження, що рівне навантаженню на зовнішні стіни захисної споруди у місці розташування входу</w:t>
            </w:r>
            <w:r w:rsidR="004700A0">
              <w:rPr>
                <w:rFonts w:ascii="Arial" w:hAnsi="Arial" w:cs="Arial"/>
                <w:color w:val="000000" w:themeColor="text1"/>
                <w:sz w:val="21"/>
                <w:szCs w:val="21"/>
                <w:highlight w:val="white"/>
              </w:rPr>
              <w:t>.</w:t>
            </w:r>
          </w:p>
        </w:tc>
      </w:tr>
    </w:tbl>
    <w:p w14:paraId="73126D24" w14:textId="77777777" w:rsidR="00733581" w:rsidRPr="00CA7C54" w:rsidRDefault="00733581" w:rsidP="00733581">
      <w:pPr>
        <w:pBdr>
          <w:top w:val="nil"/>
          <w:left w:val="nil"/>
          <w:bottom w:val="nil"/>
          <w:right w:val="nil"/>
          <w:between w:val="nil"/>
        </w:pBdr>
        <w:spacing w:after="120" w:line="240" w:lineRule="auto"/>
        <w:ind w:right="142" w:firstLine="0"/>
        <w:rPr>
          <w:color w:val="000000" w:themeColor="text1"/>
        </w:rPr>
      </w:pPr>
      <w:r w:rsidRPr="00CA7C54">
        <w:rPr>
          <w:b/>
          <w:color w:val="000000" w:themeColor="text1"/>
        </w:rPr>
        <w:lastRenderedPageBreak/>
        <w:t xml:space="preserve">Таблиця 14.7 </w:t>
      </w:r>
      <w:r w:rsidRPr="00CA7C54">
        <w:rPr>
          <w:color w:val="000000" w:themeColor="text1"/>
        </w:rPr>
        <w:t xml:space="preserve">– Коефіцієнт </w:t>
      </w:r>
      <w:r w:rsidRPr="00CA7C54">
        <w:rPr>
          <w:i/>
          <w:color w:val="000000" w:themeColor="text1"/>
        </w:rPr>
        <w:t>К</w:t>
      </w:r>
      <w:r w:rsidRPr="00CA7C54">
        <w:rPr>
          <w:color w:val="000000" w:themeColor="text1"/>
        </w:rPr>
        <w:t>в</w:t>
      </w:r>
    </w:p>
    <w:tbl>
      <w:tblPr>
        <w:tblStyle w:val="affffffffffffffffffffffffffffffff1"/>
        <w:tblW w:w="1003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9"/>
        <w:gridCol w:w="2574"/>
        <w:gridCol w:w="3685"/>
        <w:gridCol w:w="851"/>
        <w:gridCol w:w="850"/>
        <w:gridCol w:w="1418"/>
      </w:tblGrid>
      <w:tr w:rsidR="00CA7C54" w:rsidRPr="00CA7C54" w14:paraId="5F159817" w14:textId="77777777" w:rsidTr="0057173E">
        <w:tc>
          <w:tcPr>
            <w:tcW w:w="659" w:type="dxa"/>
            <w:vMerge w:val="restart"/>
            <w:shd w:val="clear" w:color="auto" w:fill="auto"/>
            <w:vAlign w:val="center"/>
          </w:tcPr>
          <w:p w14:paraId="24F1E93A"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rPr>
            </w:pPr>
            <w:r w:rsidRPr="00CA7C54">
              <w:rPr>
                <w:rFonts w:ascii="Arial" w:hAnsi="Arial" w:cs="Arial"/>
                <w:b/>
                <w:color w:val="000000" w:themeColor="text1"/>
                <w:sz w:val="20"/>
                <w:szCs w:val="20"/>
              </w:rPr>
              <w:t>№</w:t>
            </w:r>
          </w:p>
          <w:p w14:paraId="6F8D2651"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rPr>
            </w:pPr>
            <w:r w:rsidRPr="00CA7C54">
              <w:rPr>
                <w:rFonts w:ascii="Arial" w:hAnsi="Arial" w:cs="Arial"/>
                <w:b/>
                <w:color w:val="000000" w:themeColor="text1"/>
                <w:sz w:val="20"/>
                <w:szCs w:val="20"/>
              </w:rPr>
              <w:t>з/п</w:t>
            </w:r>
          </w:p>
        </w:tc>
        <w:tc>
          <w:tcPr>
            <w:tcW w:w="2574" w:type="dxa"/>
            <w:vMerge w:val="restart"/>
            <w:shd w:val="clear" w:color="auto" w:fill="auto"/>
            <w:vAlign w:val="center"/>
          </w:tcPr>
          <w:p w14:paraId="1503DFDF"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rPr>
            </w:pPr>
            <w:r w:rsidRPr="00CA7C54">
              <w:rPr>
                <w:rFonts w:ascii="Arial" w:hAnsi="Arial" w:cs="Arial"/>
                <w:b/>
                <w:color w:val="000000" w:themeColor="text1"/>
                <w:sz w:val="20"/>
                <w:szCs w:val="20"/>
              </w:rPr>
              <w:t>Тип входу</w:t>
            </w:r>
          </w:p>
        </w:tc>
        <w:tc>
          <w:tcPr>
            <w:tcW w:w="3685" w:type="dxa"/>
            <w:vMerge w:val="restart"/>
            <w:shd w:val="clear" w:color="auto" w:fill="auto"/>
            <w:vAlign w:val="center"/>
          </w:tcPr>
          <w:p w14:paraId="50B03DF6"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Схема входу</w:t>
            </w:r>
          </w:p>
        </w:tc>
        <w:tc>
          <w:tcPr>
            <w:tcW w:w="3119" w:type="dxa"/>
            <w:gridSpan w:val="3"/>
            <w:shd w:val="clear" w:color="auto" w:fill="auto"/>
          </w:tcPr>
          <w:p w14:paraId="1445D8F1"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Коефіцієнт Кв залежно від класу / групи сховищ / ПРУ</w:t>
            </w:r>
          </w:p>
          <w:p w14:paraId="56A04F78"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(СПП із захисними властивостями сховищ / ПРУ)</w:t>
            </w:r>
          </w:p>
        </w:tc>
      </w:tr>
      <w:tr w:rsidR="00CA7C54" w:rsidRPr="00CA7C54" w14:paraId="7A301381" w14:textId="77777777" w:rsidTr="0057173E">
        <w:tc>
          <w:tcPr>
            <w:tcW w:w="659" w:type="dxa"/>
            <w:vMerge/>
            <w:shd w:val="clear" w:color="auto" w:fill="auto"/>
            <w:vAlign w:val="center"/>
          </w:tcPr>
          <w:p w14:paraId="5A78A0F7" w14:textId="77777777" w:rsidR="00733581" w:rsidRPr="00CA7C54" w:rsidRDefault="00733581" w:rsidP="007F5EEB">
            <w:pPr>
              <w:widowControl w:val="0"/>
              <w:pBdr>
                <w:top w:val="nil"/>
                <w:left w:val="nil"/>
                <w:bottom w:val="nil"/>
                <w:right w:val="nil"/>
                <w:between w:val="nil"/>
              </w:pBdr>
              <w:spacing w:before="0" w:line="276" w:lineRule="auto"/>
              <w:ind w:firstLine="0"/>
              <w:jc w:val="left"/>
              <w:rPr>
                <w:rFonts w:ascii="Arial" w:hAnsi="Arial" w:cs="Arial"/>
                <w:b/>
                <w:color w:val="000000" w:themeColor="text1"/>
                <w:sz w:val="20"/>
                <w:szCs w:val="20"/>
                <w:highlight w:val="white"/>
              </w:rPr>
            </w:pPr>
          </w:p>
        </w:tc>
        <w:tc>
          <w:tcPr>
            <w:tcW w:w="2574" w:type="dxa"/>
            <w:vMerge/>
            <w:shd w:val="clear" w:color="auto" w:fill="auto"/>
            <w:vAlign w:val="center"/>
          </w:tcPr>
          <w:p w14:paraId="60C4122C" w14:textId="77777777" w:rsidR="00733581" w:rsidRPr="00CA7C54" w:rsidRDefault="00733581" w:rsidP="007F5EEB">
            <w:pPr>
              <w:widowControl w:val="0"/>
              <w:pBdr>
                <w:top w:val="nil"/>
                <w:left w:val="nil"/>
                <w:bottom w:val="nil"/>
                <w:right w:val="nil"/>
                <w:between w:val="nil"/>
              </w:pBdr>
              <w:spacing w:before="0" w:line="276" w:lineRule="auto"/>
              <w:ind w:firstLine="0"/>
              <w:jc w:val="left"/>
              <w:rPr>
                <w:rFonts w:ascii="Arial" w:hAnsi="Arial" w:cs="Arial"/>
                <w:b/>
                <w:color w:val="000000" w:themeColor="text1"/>
                <w:sz w:val="20"/>
                <w:szCs w:val="20"/>
                <w:highlight w:val="white"/>
              </w:rPr>
            </w:pPr>
          </w:p>
        </w:tc>
        <w:tc>
          <w:tcPr>
            <w:tcW w:w="3685" w:type="dxa"/>
            <w:vMerge/>
            <w:shd w:val="clear" w:color="auto" w:fill="auto"/>
            <w:vAlign w:val="center"/>
          </w:tcPr>
          <w:p w14:paraId="5CFA1825" w14:textId="77777777" w:rsidR="00733581" w:rsidRPr="00CA7C54" w:rsidRDefault="00733581" w:rsidP="007F5EEB">
            <w:pPr>
              <w:widowControl w:val="0"/>
              <w:pBdr>
                <w:top w:val="nil"/>
                <w:left w:val="nil"/>
                <w:bottom w:val="nil"/>
                <w:right w:val="nil"/>
                <w:between w:val="nil"/>
              </w:pBdr>
              <w:spacing w:before="0" w:line="276" w:lineRule="auto"/>
              <w:ind w:firstLine="0"/>
              <w:jc w:val="left"/>
              <w:rPr>
                <w:rFonts w:ascii="Arial" w:hAnsi="Arial" w:cs="Arial"/>
                <w:b/>
                <w:color w:val="000000" w:themeColor="text1"/>
                <w:sz w:val="20"/>
                <w:szCs w:val="20"/>
                <w:highlight w:val="white"/>
              </w:rPr>
            </w:pPr>
          </w:p>
        </w:tc>
        <w:tc>
          <w:tcPr>
            <w:tcW w:w="851" w:type="dxa"/>
            <w:shd w:val="clear" w:color="auto" w:fill="auto"/>
          </w:tcPr>
          <w:p w14:paraId="017D2E71"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А-ІІ</w:t>
            </w:r>
          </w:p>
        </w:tc>
        <w:tc>
          <w:tcPr>
            <w:tcW w:w="850" w:type="dxa"/>
            <w:shd w:val="clear" w:color="auto" w:fill="auto"/>
          </w:tcPr>
          <w:p w14:paraId="3A6B6737"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А-ІІІ</w:t>
            </w:r>
          </w:p>
        </w:tc>
        <w:tc>
          <w:tcPr>
            <w:tcW w:w="1418" w:type="dxa"/>
            <w:shd w:val="clear" w:color="auto" w:fill="auto"/>
          </w:tcPr>
          <w:p w14:paraId="45636B5E"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 xml:space="preserve">А-ІV, П-1, </w:t>
            </w:r>
          </w:p>
          <w:p w14:paraId="121AD7E8"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П-2, П-3,</w:t>
            </w:r>
          </w:p>
          <w:p w14:paraId="2AD9A232"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П-4, П-5, П-6</w:t>
            </w:r>
          </w:p>
        </w:tc>
      </w:tr>
      <w:tr w:rsidR="00CA7C54" w:rsidRPr="00CA7C54" w14:paraId="5B4D04AF" w14:textId="77777777" w:rsidTr="0057173E">
        <w:tc>
          <w:tcPr>
            <w:tcW w:w="659" w:type="dxa"/>
            <w:shd w:val="clear" w:color="auto" w:fill="auto"/>
          </w:tcPr>
          <w:p w14:paraId="216936AC"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w:t>
            </w:r>
          </w:p>
        </w:tc>
        <w:tc>
          <w:tcPr>
            <w:tcW w:w="2574" w:type="dxa"/>
            <w:shd w:val="clear" w:color="auto" w:fill="auto"/>
          </w:tcPr>
          <w:p w14:paraId="5C63333C"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b/>
                <w:color w:val="000000" w:themeColor="text1"/>
                <w:sz w:val="20"/>
                <w:szCs w:val="20"/>
                <w:highlight w:val="white"/>
              </w:rPr>
            </w:pPr>
            <w:r w:rsidRPr="00CA7C54">
              <w:rPr>
                <w:rFonts w:ascii="Arial" w:hAnsi="Arial" w:cs="Arial"/>
                <w:color w:val="000000" w:themeColor="text1"/>
                <w:sz w:val="20"/>
                <w:szCs w:val="20"/>
                <w:highlight w:val="white"/>
              </w:rPr>
              <w:t xml:space="preserve">З підвальних приміщень, не захищених від повітряної уданої хвилі </w:t>
            </w:r>
          </w:p>
        </w:tc>
        <w:tc>
          <w:tcPr>
            <w:tcW w:w="3685" w:type="dxa"/>
            <w:shd w:val="clear" w:color="auto" w:fill="auto"/>
          </w:tcPr>
          <w:p w14:paraId="64B15AF6"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r w:rsidRPr="00CA7C54">
              <w:rPr>
                <w:noProof/>
                <w:color w:val="000000" w:themeColor="text1"/>
                <w:sz w:val="20"/>
                <w:szCs w:val="20"/>
                <w:highlight w:val="white"/>
                <w:lang w:eastAsia="uk-UA"/>
              </w:rPr>
              <w:drawing>
                <wp:inline distT="0" distB="0" distL="0" distR="0" wp14:anchorId="0373A775" wp14:editId="06EBED6D">
                  <wp:extent cx="2008944" cy="1160585"/>
                  <wp:effectExtent l="0" t="0" r="0" b="1905"/>
                  <wp:docPr id="978936115" name="Рисунок 978936115"/>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4"/>
                          <a:srcRect/>
                          <a:stretch>
                            <a:fillRect/>
                          </a:stretch>
                        </pic:blipFill>
                        <pic:spPr>
                          <a:xfrm>
                            <a:off x="0" y="0"/>
                            <a:ext cx="2015090" cy="1164135"/>
                          </a:xfrm>
                          <a:prstGeom prst="rect">
                            <a:avLst/>
                          </a:prstGeom>
                          <a:ln/>
                        </pic:spPr>
                      </pic:pic>
                    </a:graphicData>
                  </a:graphic>
                </wp:inline>
              </w:drawing>
            </w:r>
          </w:p>
        </w:tc>
        <w:tc>
          <w:tcPr>
            <w:tcW w:w="851" w:type="dxa"/>
            <w:shd w:val="clear" w:color="auto" w:fill="auto"/>
            <w:vAlign w:val="center"/>
          </w:tcPr>
          <w:p w14:paraId="02FB8B3A"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0,8</w:t>
            </w:r>
          </w:p>
        </w:tc>
        <w:tc>
          <w:tcPr>
            <w:tcW w:w="850" w:type="dxa"/>
            <w:shd w:val="clear" w:color="auto" w:fill="auto"/>
            <w:vAlign w:val="center"/>
          </w:tcPr>
          <w:p w14:paraId="0718ED37"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0,8</w:t>
            </w:r>
          </w:p>
        </w:tc>
        <w:tc>
          <w:tcPr>
            <w:tcW w:w="1418" w:type="dxa"/>
            <w:shd w:val="clear" w:color="auto" w:fill="auto"/>
            <w:vAlign w:val="center"/>
          </w:tcPr>
          <w:p w14:paraId="625112D9"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0,8</w:t>
            </w:r>
          </w:p>
        </w:tc>
      </w:tr>
      <w:tr w:rsidR="00CA7C54" w:rsidRPr="00CA7C54" w14:paraId="36693B15" w14:textId="77777777" w:rsidTr="0057173E">
        <w:tc>
          <w:tcPr>
            <w:tcW w:w="659" w:type="dxa"/>
            <w:shd w:val="clear" w:color="auto" w:fill="auto"/>
          </w:tcPr>
          <w:p w14:paraId="34B993C7"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2</w:t>
            </w:r>
          </w:p>
        </w:tc>
        <w:tc>
          <w:tcPr>
            <w:tcW w:w="2574" w:type="dxa"/>
            <w:shd w:val="clear" w:color="auto" w:fill="auto"/>
          </w:tcPr>
          <w:p w14:paraId="4E6709D7"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b/>
                <w:color w:val="000000" w:themeColor="text1"/>
                <w:sz w:val="20"/>
                <w:szCs w:val="20"/>
                <w:highlight w:val="white"/>
              </w:rPr>
            </w:pPr>
            <w:r w:rsidRPr="00CA7C54">
              <w:rPr>
                <w:rFonts w:ascii="Arial" w:hAnsi="Arial" w:cs="Arial"/>
                <w:color w:val="000000" w:themeColor="text1"/>
                <w:sz w:val="20"/>
                <w:szCs w:val="20"/>
                <w:highlight w:val="white"/>
              </w:rPr>
              <w:t>Наскрізний з перекритою ділянкою проти вхідного прорізу</w:t>
            </w:r>
          </w:p>
        </w:tc>
        <w:tc>
          <w:tcPr>
            <w:tcW w:w="3685" w:type="dxa"/>
            <w:shd w:val="clear" w:color="auto" w:fill="auto"/>
          </w:tcPr>
          <w:p w14:paraId="61F1610F"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r w:rsidRPr="00CA7C54">
              <w:rPr>
                <w:b/>
                <w:noProof/>
                <w:color w:val="000000" w:themeColor="text1"/>
                <w:sz w:val="20"/>
                <w:szCs w:val="20"/>
                <w:highlight w:val="white"/>
                <w:lang w:eastAsia="uk-UA"/>
              </w:rPr>
              <w:drawing>
                <wp:inline distT="0" distB="0" distL="0" distR="0" wp14:anchorId="240031BC" wp14:editId="3680C98C">
                  <wp:extent cx="2124710" cy="996462"/>
                  <wp:effectExtent l="0" t="0" r="8890" b="0"/>
                  <wp:docPr id="1981483787" name="Рисунок 1981483787"/>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5"/>
                          <a:srcRect/>
                          <a:stretch>
                            <a:fillRect/>
                          </a:stretch>
                        </pic:blipFill>
                        <pic:spPr>
                          <a:xfrm>
                            <a:off x="0" y="0"/>
                            <a:ext cx="2132475" cy="1000104"/>
                          </a:xfrm>
                          <a:prstGeom prst="rect">
                            <a:avLst/>
                          </a:prstGeom>
                          <a:ln/>
                        </pic:spPr>
                      </pic:pic>
                    </a:graphicData>
                  </a:graphic>
                </wp:inline>
              </w:drawing>
            </w:r>
          </w:p>
        </w:tc>
        <w:tc>
          <w:tcPr>
            <w:tcW w:w="851" w:type="dxa"/>
            <w:shd w:val="clear" w:color="auto" w:fill="auto"/>
            <w:vAlign w:val="center"/>
          </w:tcPr>
          <w:p w14:paraId="04256222"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1,0</w:t>
            </w:r>
          </w:p>
        </w:tc>
        <w:tc>
          <w:tcPr>
            <w:tcW w:w="850" w:type="dxa"/>
            <w:shd w:val="clear" w:color="auto" w:fill="auto"/>
            <w:vAlign w:val="center"/>
          </w:tcPr>
          <w:p w14:paraId="2932521F"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1,1</w:t>
            </w:r>
          </w:p>
        </w:tc>
        <w:tc>
          <w:tcPr>
            <w:tcW w:w="1418" w:type="dxa"/>
            <w:shd w:val="clear" w:color="auto" w:fill="auto"/>
            <w:vAlign w:val="center"/>
          </w:tcPr>
          <w:p w14:paraId="0A8549B4"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1,2</w:t>
            </w:r>
          </w:p>
        </w:tc>
      </w:tr>
      <w:tr w:rsidR="00CA7C54" w:rsidRPr="00CA7C54" w14:paraId="14BC0AB2" w14:textId="77777777" w:rsidTr="0057173E">
        <w:tc>
          <w:tcPr>
            <w:tcW w:w="659" w:type="dxa"/>
            <w:vMerge w:val="restart"/>
            <w:shd w:val="clear" w:color="auto" w:fill="auto"/>
          </w:tcPr>
          <w:p w14:paraId="7E0C7369"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3</w:t>
            </w:r>
          </w:p>
        </w:tc>
        <w:tc>
          <w:tcPr>
            <w:tcW w:w="2574" w:type="dxa"/>
            <w:shd w:val="clear" w:color="auto" w:fill="auto"/>
          </w:tcPr>
          <w:p w14:paraId="3EB47ABB"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З приміщень першого поверху у захисні споруди, розташовані:</w:t>
            </w:r>
          </w:p>
          <w:p w14:paraId="2CD52DE1"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color w:val="000000" w:themeColor="text1"/>
                <w:sz w:val="20"/>
                <w:szCs w:val="20"/>
                <w:highlight w:val="white"/>
              </w:rPr>
            </w:pPr>
          </w:p>
          <w:p w14:paraId="094DD155"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а) у підвальному або цокольному поверхах</w:t>
            </w:r>
          </w:p>
        </w:tc>
        <w:tc>
          <w:tcPr>
            <w:tcW w:w="3685" w:type="dxa"/>
            <w:shd w:val="clear" w:color="auto" w:fill="auto"/>
          </w:tcPr>
          <w:p w14:paraId="09644D06"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p>
          <w:p w14:paraId="67EB99EC"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p>
          <w:p w14:paraId="547CDC28"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p>
          <w:p w14:paraId="5516DA2C"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u w:val="single"/>
              </w:rPr>
            </w:pPr>
            <w:r w:rsidRPr="00CA7C54">
              <w:rPr>
                <w:b/>
                <w:noProof/>
                <w:color w:val="000000" w:themeColor="text1"/>
                <w:sz w:val="20"/>
                <w:szCs w:val="20"/>
                <w:highlight w:val="white"/>
                <w:lang w:eastAsia="uk-UA"/>
              </w:rPr>
              <w:drawing>
                <wp:inline distT="0" distB="0" distL="0" distR="0" wp14:anchorId="05C0C7F2" wp14:editId="4FC33859">
                  <wp:extent cx="2002644" cy="1207477"/>
                  <wp:effectExtent l="0" t="0" r="0" b="0"/>
                  <wp:docPr id="1124752995" name="Рисунок 1124752995"/>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6"/>
                          <a:srcRect/>
                          <a:stretch>
                            <a:fillRect/>
                          </a:stretch>
                        </pic:blipFill>
                        <pic:spPr>
                          <a:xfrm>
                            <a:off x="0" y="0"/>
                            <a:ext cx="2010534" cy="1212234"/>
                          </a:xfrm>
                          <a:prstGeom prst="rect">
                            <a:avLst/>
                          </a:prstGeom>
                          <a:ln/>
                        </pic:spPr>
                      </pic:pic>
                    </a:graphicData>
                  </a:graphic>
                </wp:inline>
              </w:drawing>
            </w:r>
          </w:p>
        </w:tc>
        <w:tc>
          <w:tcPr>
            <w:tcW w:w="851" w:type="dxa"/>
            <w:shd w:val="clear" w:color="auto" w:fill="auto"/>
            <w:vAlign w:val="center"/>
          </w:tcPr>
          <w:p w14:paraId="68BCBC8C"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1,0</w:t>
            </w:r>
          </w:p>
          <w:p w14:paraId="2B9A3CA6"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850" w:type="dxa"/>
            <w:shd w:val="clear" w:color="auto" w:fill="auto"/>
            <w:vAlign w:val="center"/>
          </w:tcPr>
          <w:p w14:paraId="57157476"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1,0</w:t>
            </w:r>
          </w:p>
          <w:p w14:paraId="6D21A9A2"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2,5</w:t>
            </w:r>
          </w:p>
        </w:tc>
        <w:tc>
          <w:tcPr>
            <w:tcW w:w="1418" w:type="dxa"/>
            <w:shd w:val="clear" w:color="auto" w:fill="auto"/>
            <w:vAlign w:val="center"/>
          </w:tcPr>
          <w:p w14:paraId="3F7592BA"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1,0</w:t>
            </w:r>
          </w:p>
          <w:p w14:paraId="1C8AD28C"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2,2</w:t>
            </w:r>
          </w:p>
        </w:tc>
      </w:tr>
      <w:tr w:rsidR="00CA7C54" w:rsidRPr="00CA7C54" w14:paraId="3BA9F69E" w14:textId="77777777" w:rsidTr="0057173E">
        <w:tc>
          <w:tcPr>
            <w:tcW w:w="659" w:type="dxa"/>
            <w:vMerge/>
            <w:shd w:val="clear" w:color="auto" w:fill="auto"/>
          </w:tcPr>
          <w:p w14:paraId="0CF30D3C" w14:textId="77777777" w:rsidR="00733581" w:rsidRPr="00CA7C54" w:rsidRDefault="00733581" w:rsidP="007F5EEB">
            <w:pPr>
              <w:widowControl w:val="0"/>
              <w:pBdr>
                <w:top w:val="nil"/>
                <w:left w:val="nil"/>
                <w:bottom w:val="nil"/>
                <w:right w:val="nil"/>
                <w:between w:val="nil"/>
              </w:pBdr>
              <w:spacing w:before="0" w:line="276" w:lineRule="auto"/>
              <w:ind w:firstLine="0"/>
              <w:jc w:val="left"/>
              <w:rPr>
                <w:rFonts w:ascii="Arial" w:hAnsi="Arial" w:cs="Arial"/>
                <w:strike/>
                <w:color w:val="000000" w:themeColor="text1"/>
                <w:sz w:val="20"/>
                <w:szCs w:val="20"/>
                <w:highlight w:val="white"/>
              </w:rPr>
            </w:pPr>
          </w:p>
        </w:tc>
        <w:tc>
          <w:tcPr>
            <w:tcW w:w="2574" w:type="dxa"/>
            <w:shd w:val="clear" w:color="auto" w:fill="auto"/>
          </w:tcPr>
          <w:p w14:paraId="634F5D9C" w14:textId="77777777" w:rsidR="00733581" w:rsidRPr="00CA7C54" w:rsidRDefault="00733581" w:rsidP="007F5EEB">
            <w:pPr>
              <w:pBdr>
                <w:top w:val="nil"/>
                <w:left w:val="nil"/>
                <w:bottom w:val="nil"/>
                <w:right w:val="nil"/>
                <w:between w:val="nil"/>
              </w:pBdr>
              <w:spacing w:before="0" w:line="240" w:lineRule="auto"/>
              <w:ind w:firstLine="0"/>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б) на першому поверсі</w:t>
            </w:r>
          </w:p>
        </w:tc>
        <w:tc>
          <w:tcPr>
            <w:tcW w:w="3685" w:type="dxa"/>
            <w:shd w:val="clear" w:color="auto" w:fill="auto"/>
          </w:tcPr>
          <w:p w14:paraId="76C706F4"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u w:val="single"/>
              </w:rPr>
            </w:pPr>
            <w:r w:rsidRPr="00CA7C54">
              <w:rPr>
                <w:noProof/>
                <w:color w:val="000000" w:themeColor="text1"/>
                <w:sz w:val="20"/>
                <w:szCs w:val="20"/>
                <w:highlight w:val="white"/>
                <w:lang w:eastAsia="uk-UA"/>
              </w:rPr>
              <w:drawing>
                <wp:inline distT="0" distB="0" distL="0" distR="0" wp14:anchorId="0F559955" wp14:editId="61E8140A">
                  <wp:extent cx="2106930" cy="1359877"/>
                  <wp:effectExtent l="0" t="0" r="7620" b="0"/>
                  <wp:docPr id="573575943" name="Рисунок 573575943"/>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7"/>
                          <a:srcRect/>
                          <a:stretch>
                            <a:fillRect/>
                          </a:stretch>
                        </pic:blipFill>
                        <pic:spPr>
                          <a:xfrm>
                            <a:off x="0" y="0"/>
                            <a:ext cx="2113281" cy="1363976"/>
                          </a:xfrm>
                          <a:prstGeom prst="rect">
                            <a:avLst/>
                          </a:prstGeom>
                          <a:ln/>
                        </pic:spPr>
                      </pic:pic>
                    </a:graphicData>
                  </a:graphic>
                </wp:inline>
              </w:drawing>
            </w:r>
          </w:p>
        </w:tc>
        <w:tc>
          <w:tcPr>
            <w:tcW w:w="851" w:type="dxa"/>
            <w:shd w:val="clear" w:color="auto" w:fill="auto"/>
            <w:vAlign w:val="center"/>
          </w:tcPr>
          <w:p w14:paraId="4C62C450"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1,7</w:t>
            </w:r>
          </w:p>
          <w:p w14:paraId="04120CB4"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3,0</w:t>
            </w:r>
          </w:p>
        </w:tc>
        <w:tc>
          <w:tcPr>
            <w:tcW w:w="850" w:type="dxa"/>
            <w:shd w:val="clear" w:color="auto" w:fill="auto"/>
            <w:vAlign w:val="center"/>
          </w:tcPr>
          <w:p w14:paraId="437E0E7C"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1,5</w:t>
            </w:r>
          </w:p>
          <w:p w14:paraId="55FE949F"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1418" w:type="dxa"/>
            <w:shd w:val="clear" w:color="auto" w:fill="auto"/>
            <w:vAlign w:val="center"/>
          </w:tcPr>
          <w:p w14:paraId="22986EFB"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1,3</w:t>
            </w:r>
          </w:p>
          <w:p w14:paraId="4CE65725"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2,3</w:t>
            </w:r>
          </w:p>
        </w:tc>
      </w:tr>
    </w:tbl>
    <w:p w14:paraId="0266CC84" w14:textId="77777777" w:rsidR="00FB6998" w:rsidRPr="00CA7C54" w:rsidRDefault="00FB6998">
      <w:pPr>
        <w:rPr>
          <w:color w:val="000000" w:themeColor="text1"/>
        </w:rPr>
      </w:pPr>
      <w:r w:rsidRPr="00CA7C54">
        <w:rPr>
          <w:color w:val="000000" w:themeColor="text1"/>
        </w:rPr>
        <w:br w:type="page"/>
      </w:r>
    </w:p>
    <w:tbl>
      <w:tblPr>
        <w:tblStyle w:val="affffffffffffffffffffffffffffffff1"/>
        <w:tblW w:w="989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9"/>
        <w:gridCol w:w="873"/>
        <w:gridCol w:w="1843"/>
        <w:gridCol w:w="3543"/>
        <w:gridCol w:w="851"/>
        <w:gridCol w:w="850"/>
        <w:gridCol w:w="1276"/>
      </w:tblGrid>
      <w:tr w:rsidR="00CA7C54" w:rsidRPr="00CA7C54" w14:paraId="429B12DA" w14:textId="77777777" w:rsidTr="0057173E">
        <w:tc>
          <w:tcPr>
            <w:tcW w:w="9895" w:type="dxa"/>
            <w:gridSpan w:val="7"/>
            <w:tcBorders>
              <w:top w:val="nil"/>
              <w:left w:val="nil"/>
              <w:right w:val="nil"/>
            </w:tcBorders>
            <w:shd w:val="clear" w:color="auto" w:fill="auto"/>
            <w:vAlign w:val="center"/>
          </w:tcPr>
          <w:p w14:paraId="3CC09183" w14:textId="77777777" w:rsidR="00FB6998" w:rsidRPr="00CA7C54" w:rsidRDefault="005D6AB1" w:rsidP="005D6AB1">
            <w:pPr>
              <w:pBdr>
                <w:top w:val="nil"/>
                <w:left w:val="nil"/>
                <w:bottom w:val="nil"/>
                <w:right w:val="nil"/>
                <w:between w:val="nil"/>
              </w:pBdr>
              <w:spacing w:before="0" w:line="240" w:lineRule="auto"/>
              <w:ind w:firstLine="0"/>
              <w:jc w:val="left"/>
              <w:rPr>
                <w:rFonts w:ascii="Arial" w:hAnsi="Arial" w:cs="Arial"/>
                <w:bCs/>
                <w:color w:val="000000" w:themeColor="text1"/>
                <w:sz w:val="20"/>
                <w:szCs w:val="20"/>
                <w:highlight w:val="white"/>
              </w:rPr>
            </w:pPr>
            <w:r w:rsidRPr="00CA7C54">
              <w:rPr>
                <w:rFonts w:ascii="Arial" w:hAnsi="Arial" w:cs="Arial"/>
                <w:bCs/>
                <w:color w:val="000000" w:themeColor="text1"/>
                <w:sz w:val="20"/>
                <w:szCs w:val="20"/>
                <w:highlight w:val="white"/>
              </w:rPr>
              <w:lastRenderedPageBreak/>
              <w:t>Кінець таблиці 14.7</w:t>
            </w:r>
          </w:p>
        </w:tc>
      </w:tr>
      <w:tr w:rsidR="00CA7C54" w:rsidRPr="00CA7C54" w14:paraId="32B0BD33" w14:textId="77777777" w:rsidTr="0057173E">
        <w:tc>
          <w:tcPr>
            <w:tcW w:w="659" w:type="dxa"/>
            <w:vMerge w:val="restart"/>
            <w:shd w:val="clear" w:color="auto" w:fill="auto"/>
            <w:vAlign w:val="center"/>
          </w:tcPr>
          <w:p w14:paraId="522F11E1"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rPr>
            </w:pPr>
            <w:r w:rsidRPr="00CA7C54">
              <w:rPr>
                <w:rFonts w:ascii="Arial" w:hAnsi="Arial" w:cs="Arial"/>
                <w:b/>
                <w:color w:val="000000" w:themeColor="text1"/>
                <w:sz w:val="20"/>
                <w:szCs w:val="20"/>
              </w:rPr>
              <w:t>№</w:t>
            </w:r>
          </w:p>
          <w:p w14:paraId="72CDD906" w14:textId="77777777" w:rsidR="005D6AB1" w:rsidRPr="00CA7C54" w:rsidRDefault="005D6AB1" w:rsidP="005D6AB1">
            <w:pPr>
              <w:pBdr>
                <w:top w:val="nil"/>
                <w:left w:val="nil"/>
                <w:bottom w:val="nil"/>
                <w:right w:val="nil"/>
                <w:between w:val="nil"/>
              </w:pBdr>
              <w:spacing w:before="0" w:line="240" w:lineRule="auto"/>
              <w:ind w:firstLine="0"/>
              <w:jc w:val="center"/>
              <w:rPr>
                <w:color w:val="000000" w:themeColor="text1"/>
                <w:sz w:val="20"/>
                <w:szCs w:val="20"/>
                <w:highlight w:val="white"/>
              </w:rPr>
            </w:pPr>
            <w:r w:rsidRPr="00CA7C54">
              <w:rPr>
                <w:rFonts w:ascii="Arial" w:hAnsi="Arial" w:cs="Arial"/>
                <w:b/>
                <w:color w:val="000000" w:themeColor="text1"/>
                <w:sz w:val="20"/>
                <w:szCs w:val="20"/>
              </w:rPr>
              <w:t>з/п</w:t>
            </w:r>
          </w:p>
        </w:tc>
        <w:tc>
          <w:tcPr>
            <w:tcW w:w="2716" w:type="dxa"/>
            <w:gridSpan w:val="2"/>
            <w:vMerge w:val="restart"/>
            <w:shd w:val="clear" w:color="auto" w:fill="auto"/>
            <w:vAlign w:val="center"/>
          </w:tcPr>
          <w:p w14:paraId="5E0BB7C9" w14:textId="77777777" w:rsidR="005D6AB1" w:rsidRPr="00CA7C54" w:rsidRDefault="005D6AB1" w:rsidP="005D6AB1">
            <w:pPr>
              <w:pBdr>
                <w:top w:val="nil"/>
                <w:left w:val="nil"/>
                <w:bottom w:val="nil"/>
                <w:right w:val="nil"/>
                <w:between w:val="nil"/>
              </w:pBdr>
              <w:spacing w:before="0" w:line="240" w:lineRule="auto"/>
              <w:ind w:firstLine="0"/>
              <w:rPr>
                <w:color w:val="000000" w:themeColor="text1"/>
                <w:sz w:val="20"/>
                <w:szCs w:val="20"/>
                <w:highlight w:val="white"/>
              </w:rPr>
            </w:pPr>
            <w:r w:rsidRPr="00CA7C54">
              <w:rPr>
                <w:rFonts w:ascii="Arial" w:hAnsi="Arial" w:cs="Arial"/>
                <w:b/>
                <w:color w:val="000000" w:themeColor="text1"/>
                <w:sz w:val="20"/>
                <w:szCs w:val="20"/>
              </w:rPr>
              <w:t>Тип входу</w:t>
            </w:r>
          </w:p>
        </w:tc>
        <w:tc>
          <w:tcPr>
            <w:tcW w:w="3543" w:type="dxa"/>
            <w:vMerge w:val="restart"/>
            <w:shd w:val="clear" w:color="auto" w:fill="auto"/>
            <w:vAlign w:val="center"/>
          </w:tcPr>
          <w:p w14:paraId="0296768F" w14:textId="77777777" w:rsidR="005D6AB1" w:rsidRPr="00CA7C54" w:rsidRDefault="005D6AB1" w:rsidP="005D6AB1">
            <w:pPr>
              <w:pBdr>
                <w:top w:val="nil"/>
                <w:left w:val="nil"/>
                <w:bottom w:val="nil"/>
                <w:right w:val="nil"/>
                <w:between w:val="nil"/>
              </w:pBdr>
              <w:spacing w:before="144" w:after="60" w:line="240" w:lineRule="auto"/>
              <w:ind w:firstLine="0"/>
              <w:jc w:val="center"/>
              <w:rPr>
                <w:b/>
                <w:noProof/>
                <w:color w:val="000000" w:themeColor="text1"/>
                <w:sz w:val="20"/>
                <w:szCs w:val="20"/>
                <w:highlight w:val="white"/>
                <w:lang w:eastAsia="uk-UA"/>
              </w:rPr>
            </w:pPr>
            <w:r w:rsidRPr="00CA7C54">
              <w:rPr>
                <w:rFonts w:ascii="Arial" w:hAnsi="Arial" w:cs="Arial"/>
                <w:b/>
                <w:color w:val="000000" w:themeColor="text1"/>
                <w:sz w:val="20"/>
                <w:szCs w:val="20"/>
                <w:highlight w:val="white"/>
              </w:rPr>
              <w:t>Схема входу</w:t>
            </w:r>
          </w:p>
        </w:tc>
        <w:tc>
          <w:tcPr>
            <w:tcW w:w="2977" w:type="dxa"/>
            <w:gridSpan w:val="3"/>
            <w:shd w:val="clear" w:color="auto" w:fill="auto"/>
          </w:tcPr>
          <w:p w14:paraId="614F0BF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Коефіцієнт Кв залежно від класу / групи сховищ / ПРУ</w:t>
            </w:r>
          </w:p>
          <w:p w14:paraId="3089D4AD" w14:textId="77777777" w:rsidR="005D6AB1" w:rsidRPr="00CA7C54" w:rsidRDefault="005D6AB1" w:rsidP="005D6AB1">
            <w:pPr>
              <w:pBdr>
                <w:top w:val="nil"/>
                <w:left w:val="nil"/>
                <w:bottom w:val="nil"/>
                <w:right w:val="nil"/>
                <w:between w:val="nil"/>
              </w:pBdr>
              <w:spacing w:before="0" w:line="240" w:lineRule="auto"/>
              <w:ind w:firstLine="0"/>
              <w:jc w:val="center"/>
              <w:rPr>
                <w:b/>
                <w:color w:val="000000" w:themeColor="text1"/>
                <w:sz w:val="20"/>
                <w:szCs w:val="20"/>
                <w:highlight w:val="white"/>
                <w:u w:val="single"/>
              </w:rPr>
            </w:pPr>
            <w:r w:rsidRPr="00CA7C54">
              <w:rPr>
                <w:rFonts w:ascii="Arial" w:hAnsi="Arial" w:cs="Arial"/>
                <w:b/>
                <w:color w:val="000000" w:themeColor="text1"/>
                <w:sz w:val="20"/>
                <w:szCs w:val="20"/>
                <w:highlight w:val="white"/>
              </w:rPr>
              <w:t>(СПП із захисними властивостями сховищ / ПРУ)</w:t>
            </w:r>
          </w:p>
        </w:tc>
      </w:tr>
      <w:tr w:rsidR="00CA7C54" w:rsidRPr="00CA7C54" w14:paraId="206EDE69" w14:textId="77777777" w:rsidTr="0057173E">
        <w:tc>
          <w:tcPr>
            <w:tcW w:w="659" w:type="dxa"/>
            <w:vMerge/>
            <w:shd w:val="clear" w:color="auto" w:fill="auto"/>
            <w:vAlign w:val="center"/>
          </w:tcPr>
          <w:p w14:paraId="41572AE3" w14:textId="77777777" w:rsidR="005D6AB1" w:rsidRPr="00CA7C54" w:rsidRDefault="005D6AB1" w:rsidP="005D6AB1">
            <w:pPr>
              <w:pBdr>
                <w:top w:val="nil"/>
                <w:left w:val="nil"/>
                <w:bottom w:val="nil"/>
                <w:right w:val="nil"/>
                <w:between w:val="nil"/>
              </w:pBdr>
              <w:spacing w:before="0" w:line="240" w:lineRule="auto"/>
              <w:ind w:firstLine="0"/>
              <w:jc w:val="center"/>
              <w:rPr>
                <w:color w:val="000000" w:themeColor="text1"/>
                <w:sz w:val="20"/>
                <w:szCs w:val="20"/>
                <w:highlight w:val="white"/>
              </w:rPr>
            </w:pPr>
          </w:p>
        </w:tc>
        <w:tc>
          <w:tcPr>
            <w:tcW w:w="2716" w:type="dxa"/>
            <w:gridSpan w:val="2"/>
            <w:vMerge/>
            <w:shd w:val="clear" w:color="auto" w:fill="auto"/>
            <w:vAlign w:val="center"/>
          </w:tcPr>
          <w:p w14:paraId="48152CBE" w14:textId="77777777" w:rsidR="005D6AB1" w:rsidRPr="00CA7C54" w:rsidRDefault="005D6AB1" w:rsidP="005D6AB1">
            <w:pPr>
              <w:pBdr>
                <w:top w:val="nil"/>
                <w:left w:val="nil"/>
                <w:bottom w:val="nil"/>
                <w:right w:val="nil"/>
                <w:between w:val="nil"/>
              </w:pBdr>
              <w:spacing w:before="0" w:line="240" w:lineRule="auto"/>
              <w:ind w:firstLine="0"/>
              <w:rPr>
                <w:color w:val="000000" w:themeColor="text1"/>
                <w:sz w:val="20"/>
                <w:szCs w:val="20"/>
                <w:highlight w:val="white"/>
              </w:rPr>
            </w:pPr>
          </w:p>
        </w:tc>
        <w:tc>
          <w:tcPr>
            <w:tcW w:w="3543" w:type="dxa"/>
            <w:vMerge/>
            <w:shd w:val="clear" w:color="auto" w:fill="auto"/>
            <w:vAlign w:val="center"/>
          </w:tcPr>
          <w:p w14:paraId="6F624C8A" w14:textId="77777777" w:rsidR="005D6AB1" w:rsidRPr="00CA7C54" w:rsidRDefault="005D6AB1" w:rsidP="005D6AB1">
            <w:pPr>
              <w:pBdr>
                <w:top w:val="nil"/>
                <w:left w:val="nil"/>
                <w:bottom w:val="nil"/>
                <w:right w:val="nil"/>
                <w:between w:val="nil"/>
              </w:pBdr>
              <w:spacing w:before="144" w:after="60" w:line="240" w:lineRule="auto"/>
              <w:ind w:firstLine="0"/>
              <w:jc w:val="center"/>
              <w:rPr>
                <w:b/>
                <w:noProof/>
                <w:color w:val="000000" w:themeColor="text1"/>
                <w:sz w:val="20"/>
                <w:szCs w:val="20"/>
                <w:highlight w:val="white"/>
                <w:lang w:eastAsia="uk-UA"/>
              </w:rPr>
            </w:pPr>
          </w:p>
        </w:tc>
        <w:tc>
          <w:tcPr>
            <w:tcW w:w="851" w:type="dxa"/>
            <w:shd w:val="clear" w:color="auto" w:fill="auto"/>
          </w:tcPr>
          <w:p w14:paraId="291F29F8" w14:textId="77777777" w:rsidR="005D6AB1" w:rsidRPr="00CA7C54" w:rsidRDefault="005D6AB1" w:rsidP="005D6AB1">
            <w:pPr>
              <w:pBdr>
                <w:top w:val="nil"/>
                <w:left w:val="nil"/>
                <w:bottom w:val="nil"/>
                <w:right w:val="nil"/>
                <w:between w:val="nil"/>
              </w:pBdr>
              <w:spacing w:before="0" w:line="240" w:lineRule="auto"/>
              <w:ind w:firstLine="0"/>
              <w:jc w:val="center"/>
              <w:rPr>
                <w:b/>
                <w:color w:val="000000" w:themeColor="text1"/>
                <w:sz w:val="20"/>
                <w:szCs w:val="20"/>
                <w:highlight w:val="white"/>
                <w:u w:val="single"/>
              </w:rPr>
            </w:pPr>
            <w:r w:rsidRPr="00CA7C54">
              <w:rPr>
                <w:rFonts w:ascii="Arial" w:hAnsi="Arial" w:cs="Arial"/>
                <w:b/>
                <w:color w:val="000000" w:themeColor="text1"/>
                <w:sz w:val="20"/>
                <w:szCs w:val="20"/>
                <w:highlight w:val="white"/>
              </w:rPr>
              <w:t>А-ІІ</w:t>
            </w:r>
          </w:p>
        </w:tc>
        <w:tc>
          <w:tcPr>
            <w:tcW w:w="850" w:type="dxa"/>
            <w:shd w:val="clear" w:color="auto" w:fill="auto"/>
          </w:tcPr>
          <w:p w14:paraId="2B99CEDC" w14:textId="77777777" w:rsidR="005D6AB1" w:rsidRPr="00CA7C54" w:rsidRDefault="005D6AB1" w:rsidP="005D6AB1">
            <w:pPr>
              <w:pBdr>
                <w:top w:val="nil"/>
                <w:left w:val="nil"/>
                <w:bottom w:val="nil"/>
                <w:right w:val="nil"/>
                <w:between w:val="nil"/>
              </w:pBdr>
              <w:spacing w:before="0" w:line="240" w:lineRule="auto"/>
              <w:ind w:firstLine="0"/>
              <w:jc w:val="center"/>
              <w:rPr>
                <w:b/>
                <w:color w:val="000000" w:themeColor="text1"/>
                <w:sz w:val="20"/>
                <w:szCs w:val="20"/>
                <w:highlight w:val="white"/>
                <w:u w:val="single"/>
              </w:rPr>
            </w:pPr>
            <w:r w:rsidRPr="00CA7C54">
              <w:rPr>
                <w:rFonts w:ascii="Arial" w:hAnsi="Arial" w:cs="Arial"/>
                <w:b/>
                <w:color w:val="000000" w:themeColor="text1"/>
                <w:sz w:val="20"/>
                <w:szCs w:val="20"/>
                <w:highlight w:val="white"/>
              </w:rPr>
              <w:t>А-ІІІ</w:t>
            </w:r>
          </w:p>
        </w:tc>
        <w:tc>
          <w:tcPr>
            <w:tcW w:w="1276" w:type="dxa"/>
            <w:shd w:val="clear" w:color="auto" w:fill="auto"/>
          </w:tcPr>
          <w:p w14:paraId="46A1978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 xml:space="preserve">А-ІV, П-1, </w:t>
            </w:r>
          </w:p>
          <w:p w14:paraId="403DF193"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П-2, П-3,</w:t>
            </w:r>
          </w:p>
          <w:p w14:paraId="236979B5" w14:textId="77777777" w:rsidR="005D6AB1" w:rsidRPr="00CA7C54" w:rsidRDefault="005D6AB1" w:rsidP="005D6AB1">
            <w:pPr>
              <w:pBdr>
                <w:top w:val="nil"/>
                <w:left w:val="nil"/>
                <w:bottom w:val="nil"/>
                <w:right w:val="nil"/>
                <w:between w:val="nil"/>
              </w:pBdr>
              <w:spacing w:before="0" w:line="240" w:lineRule="auto"/>
              <w:ind w:firstLine="0"/>
              <w:jc w:val="center"/>
              <w:rPr>
                <w:b/>
                <w:color w:val="000000" w:themeColor="text1"/>
                <w:sz w:val="20"/>
                <w:szCs w:val="20"/>
                <w:highlight w:val="white"/>
                <w:u w:val="single"/>
              </w:rPr>
            </w:pPr>
            <w:r w:rsidRPr="00CA7C54">
              <w:rPr>
                <w:rFonts w:ascii="Arial" w:hAnsi="Arial" w:cs="Arial"/>
                <w:b/>
                <w:color w:val="000000" w:themeColor="text1"/>
                <w:sz w:val="20"/>
                <w:szCs w:val="20"/>
                <w:highlight w:val="white"/>
              </w:rPr>
              <w:t>П-4, П-5, П-6</w:t>
            </w:r>
          </w:p>
        </w:tc>
      </w:tr>
      <w:tr w:rsidR="00CA7C54" w:rsidRPr="00CA7C54" w14:paraId="54CF751E" w14:textId="77777777" w:rsidTr="0057173E">
        <w:tc>
          <w:tcPr>
            <w:tcW w:w="659" w:type="dxa"/>
            <w:vMerge w:val="restart"/>
            <w:shd w:val="clear" w:color="auto" w:fill="auto"/>
            <w:vAlign w:val="center"/>
          </w:tcPr>
          <w:p w14:paraId="58572AD3"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4</w:t>
            </w:r>
          </w:p>
        </w:tc>
        <w:tc>
          <w:tcPr>
            <w:tcW w:w="2716" w:type="dxa"/>
            <w:gridSpan w:val="2"/>
            <w:shd w:val="clear" w:color="auto" w:fill="auto"/>
          </w:tcPr>
          <w:p w14:paraId="2312C1D6" w14:textId="77777777" w:rsidR="005D6AB1" w:rsidRPr="00CA7C54" w:rsidRDefault="005D6AB1" w:rsidP="005D6AB1">
            <w:pPr>
              <w:pBdr>
                <w:top w:val="nil"/>
                <w:left w:val="nil"/>
                <w:bottom w:val="nil"/>
                <w:right w:val="nil"/>
                <w:between w:val="nil"/>
              </w:pBdr>
              <w:spacing w:before="0" w:line="240" w:lineRule="auto"/>
              <w:ind w:firstLine="0"/>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На сходових клітках при вході на сходову клітку з вулиці для захисних споруд, розташованих:</w:t>
            </w:r>
          </w:p>
          <w:p w14:paraId="21A2F8C6" w14:textId="77777777" w:rsidR="005D6AB1" w:rsidRPr="00CA7C54" w:rsidRDefault="005D6AB1" w:rsidP="005D6AB1">
            <w:pPr>
              <w:pBdr>
                <w:top w:val="nil"/>
                <w:left w:val="nil"/>
                <w:bottom w:val="nil"/>
                <w:right w:val="nil"/>
                <w:between w:val="nil"/>
              </w:pBdr>
              <w:spacing w:before="0" w:line="240" w:lineRule="auto"/>
              <w:ind w:firstLine="0"/>
              <w:rPr>
                <w:rFonts w:ascii="Arial" w:hAnsi="Arial" w:cs="Arial"/>
                <w:color w:val="000000" w:themeColor="text1"/>
                <w:sz w:val="20"/>
                <w:szCs w:val="20"/>
                <w:highlight w:val="white"/>
              </w:rPr>
            </w:pPr>
          </w:p>
          <w:p w14:paraId="042E8918" w14:textId="77777777" w:rsidR="005D6AB1" w:rsidRPr="00CA7C54" w:rsidRDefault="005D6AB1" w:rsidP="005D6AB1">
            <w:pPr>
              <w:pBdr>
                <w:top w:val="nil"/>
                <w:left w:val="nil"/>
                <w:bottom w:val="nil"/>
                <w:right w:val="nil"/>
                <w:between w:val="nil"/>
              </w:pBdr>
              <w:spacing w:before="0" w:line="240" w:lineRule="auto"/>
              <w:ind w:firstLine="0"/>
              <w:rPr>
                <w:rFonts w:ascii="Arial" w:hAnsi="Arial" w:cs="Arial"/>
                <w:b/>
                <w:color w:val="000000" w:themeColor="text1"/>
                <w:sz w:val="20"/>
                <w:szCs w:val="20"/>
                <w:highlight w:val="white"/>
              </w:rPr>
            </w:pPr>
            <w:r w:rsidRPr="00CA7C54">
              <w:rPr>
                <w:rFonts w:ascii="Arial" w:hAnsi="Arial" w:cs="Arial"/>
                <w:color w:val="000000" w:themeColor="text1"/>
                <w:sz w:val="20"/>
                <w:szCs w:val="20"/>
                <w:highlight w:val="white"/>
              </w:rPr>
              <w:t>а) у підвальному або цокольному поверхах</w:t>
            </w:r>
          </w:p>
        </w:tc>
        <w:tc>
          <w:tcPr>
            <w:tcW w:w="3543" w:type="dxa"/>
            <w:shd w:val="clear" w:color="auto" w:fill="auto"/>
          </w:tcPr>
          <w:p w14:paraId="084E03F0" w14:textId="77777777" w:rsidR="005D6AB1" w:rsidRPr="00CA7C54" w:rsidRDefault="005D6AB1" w:rsidP="005D6AB1">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u w:val="single"/>
              </w:rPr>
            </w:pPr>
            <w:r w:rsidRPr="00CA7C54">
              <w:rPr>
                <w:b/>
                <w:noProof/>
                <w:color w:val="000000" w:themeColor="text1"/>
                <w:sz w:val="20"/>
                <w:szCs w:val="20"/>
                <w:highlight w:val="white"/>
                <w:lang w:eastAsia="uk-UA"/>
              </w:rPr>
              <w:drawing>
                <wp:inline distT="0" distB="0" distL="0" distR="0" wp14:anchorId="1F55AC63" wp14:editId="34C302E5">
                  <wp:extent cx="1900555" cy="1416685"/>
                  <wp:effectExtent l="0" t="0" r="0" b="0"/>
                  <wp:docPr id="1743608354" name="Рисунок 1743608354"/>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8"/>
                          <a:srcRect/>
                          <a:stretch>
                            <a:fillRect/>
                          </a:stretch>
                        </pic:blipFill>
                        <pic:spPr>
                          <a:xfrm>
                            <a:off x="0" y="0"/>
                            <a:ext cx="1900555" cy="1416685"/>
                          </a:xfrm>
                          <a:prstGeom prst="rect">
                            <a:avLst/>
                          </a:prstGeom>
                          <a:ln/>
                        </pic:spPr>
                      </pic:pic>
                    </a:graphicData>
                  </a:graphic>
                </wp:inline>
              </w:drawing>
            </w:r>
          </w:p>
        </w:tc>
        <w:tc>
          <w:tcPr>
            <w:tcW w:w="851" w:type="dxa"/>
            <w:shd w:val="clear" w:color="auto" w:fill="auto"/>
            <w:vAlign w:val="center"/>
          </w:tcPr>
          <w:p w14:paraId="33F9B3BA"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2,5</w:t>
            </w:r>
          </w:p>
          <w:p w14:paraId="0D70C07D"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850" w:type="dxa"/>
            <w:shd w:val="clear" w:color="auto" w:fill="auto"/>
            <w:vAlign w:val="center"/>
          </w:tcPr>
          <w:p w14:paraId="39952DB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2,2</w:t>
            </w:r>
          </w:p>
          <w:p w14:paraId="2B068E35"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2,5</w:t>
            </w:r>
          </w:p>
        </w:tc>
        <w:tc>
          <w:tcPr>
            <w:tcW w:w="1276" w:type="dxa"/>
            <w:shd w:val="clear" w:color="auto" w:fill="auto"/>
            <w:vAlign w:val="center"/>
          </w:tcPr>
          <w:p w14:paraId="358A55DB"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2,0</w:t>
            </w:r>
          </w:p>
          <w:p w14:paraId="170C7ACB"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2,2</w:t>
            </w:r>
          </w:p>
        </w:tc>
      </w:tr>
      <w:tr w:rsidR="00CA7C54" w:rsidRPr="00CA7C54" w14:paraId="7D77EA89" w14:textId="77777777" w:rsidTr="0057173E">
        <w:trPr>
          <w:trHeight w:val="2041"/>
        </w:trPr>
        <w:tc>
          <w:tcPr>
            <w:tcW w:w="659" w:type="dxa"/>
            <w:vMerge/>
            <w:shd w:val="clear" w:color="auto" w:fill="auto"/>
            <w:vAlign w:val="center"/>
          </w:tcPr>
          <w:p w14:paraId="35CCE2A8" w14:textId="77777777" w:rsidR="005D6AB1" w:rsidRPr="00CA7C54" w:rsidRDefault="005D6AB1" w:rsidP="005D6AB1">
            <w:pPr>
              <w:widowControl w:val="0"/>
              <w:pBdr>
                <w:top w:val="nil"/>
                <w:left w:val="nil"/>
                <w:bottom w:val="nil"/>
                <w:right w:val="nil"/>
                <w:between w:val="nil"/>
              </w:pBdr>
              <w:spacing w:before="0" w:line="276" w:lineRule="auto"/>
              <w:ind w:firstLine="0"/>
              <w:jc w:val="left"/>
              <w:rPr>
                <w:rFonts w:ascii="Arial" w:hAnsi="Arial" w:cs="Arial"/>
                <w:strike/>
                <w:color w:val="000000" w:themeColor="text1"/>
                <w:sz w:val="20"/>
                <w:szCs w:val="20"/>
                <w:highlight w:val="white"/>
              </w:rPr>
            </w:pPr>
          </w:p>
        </w:tc>
        <w:tc>
          <w:tcPr>
            <w:tcW w:w="2716" w:type="dxa"/>
            <w:gridSpan w:val="2"/>
            <w:shd w:val="clear" w:color="auto" w:fill="auto"/>
          </w:tcPr>
          <w:p w14:paraId="102009F2" w14:textId="77777777" w:rsidR="005D6AB1" w:rsidRPr="00CA7C54" w:rsidRDefault="005D6AB1" w:rsidP="005D6AB1">
            <w:pPr>
              <w:pBdr>
                <w:top w:val="nil"/>
                <w:left w:val="nil"/>
                <w:bottom w:val="nil"/>
                <w:right w:val="nil"/>
                <w:between w:val="nil"/>
              </w:pBdr>
              <w:spacing w:before="0" w:line="240" w:lineRule="auto"/>
              <w:ind w:firstLine="0"/>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б) на першому поверсі</w:t>
            </w:r>
          </w:p>
        </w:tc>
        <w:tc>
          <w:tcPr>
            <w:tcW w:w="3543" w:type="dxa"/>
            <w:shd w:val="clear" w:color="auto" w:fill="auto"/>
          </w:tcPr>
          <w:p w14:paraId="382A4442" w14:textId="77777777" w:rsidR="005D6AB1" w:rsidRPr="00CA7C54" w:rsidRDefault="005D6AB1" w:rsidP="005D6AB1">
            <w:pPr>
              <w:pBdr>
                <w:top w:val="nil"/>
                <w:left w:val="nil"/>
                <w:bottom w:val="nil"/>
                <w:right w:val="nil"/>
                <w:between w:val="nil"/>
              </w:pBdr>
              <w:spacing w:before="60" w:after="60" w:line="240" w:lineRule="auto"/>
              <w:ind w:firstLine="0"/>
              <w:jc w:val="center"/>
              <w:rPr>
                <w:rFonts w:ascii="Arial" w:hAnsi="Arial" w:cs="Arial"/>
                <w:b/>
                <w:color w:val="000000" w:themeColor="text1"/>
                <w:sz w:val="20"/>
                <w:szCs w:val="20"/>
                <w:highlight w:val="white"/>
                <w:u w:val="single"/>
              </w:rPr>
            </w:pPr>
            <w:r w:rsidRPr="00CA7C54">
              <w:rPr>
                <w:noProof/>
                <w:color w:val="000000" w:themeColor="text1"/>
                <w:sz w:val="20"/>
                <w:szCs w:val="20"/>
                <w:highlight w:val="white"/>
                <w:lang w:eastAsia="uk-UA"/>
              </w:rPr>
              <w:drawing>
                <wp:inline distT="0" distB="0" distL="0" distR="0" wp14:anchorId="3852D61F" wp14:editId="5CED2F50">
                  <wp:extent cx="1873885" cy="1389380"/>
                  <wp:effectExtent l="0" t="0" r="0" b="0"/>
                  <wp:docPr id="585395424" name="Рисунок 585395424"/>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99"/>
                          <a:srcRect/>
                          <a:stretch>
                            <a:fillRect/>
                          </a:stretch>
                        </pic:blipFill>
                        <pic:spPr>
                          <a:xfrm>
                            <a:off x="0" y="0"/>
                            <a:ext cx="1873885" cy="1389380"/>
                          </a:xfrm>
                          <a:prstGeom prst="rect">
                            <a:avLst/>
                          </a:prstGeom>
                          <a:ln/>
                        </pic:spPr>
                      </pic:pic>
                    </a:graphicData>
                  </a:graphic>
                </wp:inline>
              </w:drawing>
            </w:r>
          </w:p>
        </w:tc>
        <w:tc>
          <w:tcPr>
            <w:tcW w:w="851" w:type="dxa"/>
            <w:shd w:val="clear" w:color="auto" w:fill="auto"/>
            <w:vAlign w:val="center"/>
          </w:tcPr>
          <w:p w14:paraId="48896C6C"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2,5</w:t>
            </w:r>
          </w:p>
          <w:p w14:paraId="5B1139E8"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3,0</w:t>
            </w:r>
          </w:p>
        </w:tc>
        <w:tc>
          <w:tcPr>
            <w:tcW w:w="850" w:type="dxa"/>
            <w:shd w:val="clear" w:color="auto" w:fill="auto"/>
            <w:vAlign w:val="center"/>
          </w:tcPr>
          <w:p w14:paraId="3EE76ED8"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2,2</w:t>
            </w:r>
          </w:p>
          <w:p w14:paraId="4F942E15"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1276" w:type="dxa"/>
            <w:shd w:val="clear" w:color="auto" w:fill="auto"/>
            <w:vAlign w:val="center"/>
          </w:tcPr>
          <w:p w14:paraId="02B8BEC3"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2,0</w:t>
            </w:r>
          </w:p>
          <w:p w14:paraId="047AFE3C"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2,3</w:t>
            </w:r>
          </w:p>
        </w:tc>
      </w:tr>
      <w:tr w:rsidR="00CA7C54" w:rsidRPr="00CA7C54" w14:paraId="4910B3C0" w14:textId="77777777" w:rsidTr="0057173E">
        <w:tc>
          <w:tcPr>
            <w:tcW w:w="659" w:type="dxa"/>
            <w:shd w:val="clear" w:color="auto" w:fill="auto"/>
            <w:vAlign w:val="center"/>
          </w:tcPr>
          <w:p w14:paraId="7C6D7714"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5</w:t>
            </w:r>
          </w:p>
        </w:tc>
        <w:tc>
          <w:tcPr>
            <w:tcW w:w="2716" w:type="dxa"/>
            <w:gridSpan w:val="2"/>
            <w:shd w:val="clear" w:color="auto" w:fill="auto"/>
            <w:vAlign w:val="center"/>
          </w:tcPr>
          <w:p w14:paraId="0E7E2BC9" w14:textId="77777777" w:rsidR="005D6AB1" w:rsidRPr="00CA7C54" w:rsidRDefault="005D6AB1" w:rsidP="005D6AB1">
            <w:pPr>
              <w:pBdr>
                <w:top w:val="nil"/>
                <w:left w:val="nil"/>
                <w:bottom w:val="nil"/>
                <w:right w:val="nil"/>
                <w:between w:val="nil"/>
              </w:pBdr>
              <w:spacing w:before="0" w:line="240" w:lineRule="auto"/>
              <w:ind w:firstLine="0"/>
              <w:jc w:val="left"/>
              <w:rPr>
                <w:rFonts w:ascii="Arial" w:hAnsi="Arial" w:cs="Arial"/>
                <w:b/>
                <w:color w:val="000000" w:themeColor="text1"/>
                <w:sz w:val="20"/>
                <w:szCs w:val="20"/>
                <w:highlight w:val="white"/>
              </w:rPr>
            </w:pPr>
            <w:r w:rsidRPr="00CA7C54">
              <w:rPr>
                <w:rFonts w:ascii="Arial" w:hAnsi="Arial" w:cs="Arial"/>
                <w:color w:val="000000" w:themeColor="text1"/>
                <w:sz w:val="20"/>
                <w:szCs w:val="20"/>
                <w:highlight w:val="white"/>
              </w:rPr>
              <w:t>Тупиковий без оголовка або з легким (руйнівним) павільоном</w:t>
            </w:r>
          </w:p>
        </w:tc>
        <w:tc>
          <w:tcPr>
            <w:tcW w:w="3543" w:type="dxa"/>
            <w:shd w:val="clear" w:color="auto" w:fill="auto"/>
          </w:tcPr>
          <w:p w14:paraId="196278B1" w14:textId="77777777" w:rsidR="005D6AB1" w:rsidRPr="00CA7C54" w:rsidRDefault="005D6AB1" w:rsidP="005D6AB1">
            <w:pPr>
              <w:pBdr>
                <w:top w:val="nil"/>
                <w:left w:val="nil"/>
                <w:bottom w:val="nil"/>
                <w:right w:val="nil"/>
                <w:between w:val="nil"/>
              </w:pBdr>
              <w:spacing w:before="60" w:after="60" w:line="240" w:lineRule="auto"/>
              <w:ind w:firstLine="0"/>
              <w:jc w:val="center"/>
              <w:rPr>
                <w:rFonts w:ascii="Arial" w:hAnsi="Arial" w:cs="Arial"/>
                <w:b/>
                <w:color w:val="000000" w:themeColor="text1"/>
                <w:sz w:val="20"/>
                <w:szCs w:val="20"/>
                <w:highlight w:val="white"/>
              </w:rPr>
            </w:pPr>
            <w:r w:rsidRPr="00CA7C54">
              <w:rPr>
                <w:noProof/>
                <w:color w:val="000000" w:themeColor="text1"/>
                <w:sz w:val="20"/>
                <w:szCs w:val="20"/>
                <w:highlight w:val="white"/>
                <w:lang w:eastAsia="uk-UA"/>
              </w:rPr>
              <w:drawing>
                <wp:inline distT="0" distB="0" distL="0" distR="0" wp14:anchorId="123CF7EB" wp14:editId="47FF9C68">
                  <wp:extent cx="1963420" cy="968375"/>
                  <wp:effectExtent l="0" t="0" r="0" b="0"/>
                  <wp:docPr id="165543276" name="Рисунок 165543276"/>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0" cstate="print"/>
                          <a:srcRect/>
                          <a:stretch>
                            <a:fillRect/>
                          </a:stretch>
                        </pic:blipFill>
                        <pic:spPr>
                          <a:xfrm>
                            <a:off x="0" y="0"/>
                            <a:ext cx="1963420" cy="968375"/>
                          </a:xfrm>
                          <a:prstGeom prst="rect">
                            <a:avLst/>
                          </a:prstGeom>
                          <a:ln/>
                        </pic:spPr>
                      </pic:pic>
                    </a:graphicData>
                  </a:graphic>
                </wp:inline>
              </w:drawing>
            </w:r>
          </w:p>
        </w:tc>
        <w:tc>
          <w:tcPr>
            <w:tcW w:w="851" w:type="dxa"/>
            <w:shd w:val="clear" w:color="auto" w:fill="auto"/>
            <w:vAlign w:val="center"/>
          </w:tcPr>
          <w:p w14:paraId="71BCDA64"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850" w:type="dxa"/>
            <w:shd w:val="clear" w:color="auto" w:fill="auto"/>
            <w:vAlign w:val="center"/>
          </w:tcPr>
          <w:p w14:paraId="75132217"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2,5</w:t>
            </w:r>
          </w:p>
        </w:tc>
        <w:tc>
          <w:tcPr>
            <w:tcW w:w="1276" w:type="dxa"/>
            <w:shd w:val="clear" w:color="auto" w:fill="auto"/>
            <w:vAlign w:val="center"/>
          </w:tcPr>
          <w:p w14:paraId="7A0FBE9E"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strike/>
                <w:color w:val="000000" w:themeColor="text1"/>
                <w:sz w:val="20"/>
                <w:szCs w:val="20"/>
                <w:highlight w:val="white"/>
              </w:rPr>
            </w:pPr>
            <w:r w:rsidRPr="00CA7C54">
              <w:rPr>
                <w:rFonts w:ascii="Arial" w:hAnsi="Arial" w:cs="Arial"/>
                <w:b/>
                <w:color w:val="000000" w:themeColor="text1"/>
                <w:sz w:val="20"/>
                <w:szCs w:val="20"/>
                <w:highlight w:val="white"/>
              </w:rPr>
              <w:t>2,2</w:t>
            </w:r>
          </w:p>
        </w:tc>
      </w:tr>
      <w:tr w:rsidR="00CA7C54" w:rsidRPr="00CA7C54" w14:paraId="07EF890B" w14:textId="77777777" w:rsidTr="0057173E">
        <w:trPr>
          <w:trHeight w:val="1806"/>
        </w:trPr>
        <w:tc>
          <w:tcPr>
            <w:tcW w:w="659" w:type="dxa"/>
            <w:tcBorders>
              <w:bottom w:val="single" w:sz="4" w:space="0" w:color="auto"/>
            </w:tcBorders>
            <w:shd w:val="clear" w:color="auto" w:fill="auto"/>
            <w:vAlign w:val="center"/>
          </w:tcPr>
          <w:p w14:paraId="20CCAC7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6</w:t>
            </w:r>
          </w:p>
        </w:tc>
        <w:tc>
          <w:tcPr>
            <w:tcW w:w="2716" w:type="dxa"/>
            <w:gridSpan w:val="2"/>
            <w:tcBorders>
              <w:bottom w:val="single" w:sz="4" w:space="0" w:color="auto"/>
            </w:tcBorders>
            <w:shd w:val="clear" w:color="auto" w:fill="auto"/>
            <w:vAlign w:val="center"/>
          </w:tcPr>
          <w:p w14:paraId="66FFF670" w14:textId="77777777" w:rsidR="005D6AB1" w:rsidRPr="00CA7C54" w:rsidRDefault="005D6AB1" w:rsidP="005D6AB1">
            <w:pPr>
              <w:pBdr>
                <w:top w:val="nil"/>
                <w:left w:val="nil"/>
                <w:bottom w:val="nil"/>
                <w:right w:val="nil"/>
                <w:between w:val="nil"/>
              </w:pBdr>
              <w:spacing w:before="0" w:line="240" w:lineRule="auto"/>
              <w:ind w:firstLine="0"/>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З апареллю</w:t>
            </w:r>
          </w:p>
        </w:tc>
        <w:tc>
          <w:tcPr>
            <w:tcW w:w="3543" w:type="dxa"/>
            <w:tcBorders>
              <w:bottom w:val="single" w:sz="4" w:space="0" w:color="auto"/>
            </w:tcBorders>
            <w:shd w:val="clear" w:color="auto" w:fill="auto"/>
          </w:tcPr>
          <w:p w14:paraId="049E17E8" w14:textId="77777777" w:rsidR="005D6AB1" w:rsidRPr="00CA7C54" w:rsidRDefault="005D6AB1" w:rsidP="005D6AB1">
            <w:pPr>
              <w:pBdr>
                <w:top w:val="nil"/>
                <w:left w:val="nil"/>
                <w:bottom w:val="nil"/>
                <w:right w:val="nil"/>
                <w:between w:val="nil"/>
              </w:pBdr>
              <w:spacing w:before="60" w:after="60" w:line="240" w:lineRule="auto"/>
              <w:ind w:firstLine="0"/>
              <w:jc w:val="center"/>
              <w:rPr>
                <w:rFonts w:ascii="Arial" w:hAnsi="Arial" w:cs="Arial"/>
                <w:b/>
                <w:color w:val="000000" w:themeColor="text1"/>
                <w:sz w:val="20"/>
                <w:szCs w:val="20"/>
                <w:highlight w:val="white"/>
              </w:rPr>
            </w:pPr>
            <w:r w:rsidRPr="00CA7C54">
              <w:rPr>
                <w:b/>
                <w:noProof/>
                <w:color w:val="000000" w:themeColor="text1"/>
                <w:sz w:val="20"/>
                <w:szCs w:val="20"/>
                <w:highlight w:val="white"/>
                <w:lang w:eastAsia="uk-UA"/>
              </w:rPr>
              <w:drawing>
                <wp:inline distT="0" distB="0" distL="0" distR="0" wp14:anchorId="342017CD" wp14:editId="4E3DDB07">
                  <wp:extent cx="1972310" cy="1111885"/>
                  <wp:effectExtent l="0" t="0" r="0" b="0"/>
                  <wp:docPr id="1252733951" name="Рисунок 1252733951"/>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1"/>
                          <a:srcRect/>
                          <a:stretch>
                            <a:fillRect/>
                          </a:stretch>
                        </pic:blipFill>
                        <pic:spPr>
                          <a:xfrm>
                            <a:off x="0" y="0"/>
                            <a:ext cx="1972310" cy="1111885"/>
                          </a:xfrm>
                          <a:prstGeom prst="rect">
                            <a:avLst/>
                          </a:prstGeom>
                          <a:ln/>
                        </pic:spPr>
                      </pic:pic>
                    </a:graphicData>
                  </a:graphic>
                </wp:inline>
              </w:drawing>
            </w:r>
          </w:p>
        </w:tc>
        <w:tc>
          <w:tcPr>
            <w:tcW w:w="851" w:type="dxa"/>
            <w:tcBorders>
              <w:bottom w:val="single" w:sz="4" w:space="0" w:color="auto"/>
            </w:tcBorders>
            <w:shd w:val="clear" w:color="auto" w:fill="auto"/>
            <w:vAlign w:val="center"/>
          </w:tcPr>
          <w:p w14:paraId="4007E45E"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3,0</w:t>
            </w:r>
          </w:p>
        </w:tc>
        <w:tc>
          <w:tcPr>
            <w:tcW w:w="850" w:type="dxa"/>
            <w:tcBorders>
              <w:bottom w:val="single" w:sz="4" w:space="0" w:color="auto"/>
            </w:tcBorders>
            <w:shd w:val="clear" w:color="auto" w:fill="auto"/>
            <w:vAlign w:val="center"/>
          </w:tcPr>
          <w:p w14:paraId="09D0AFC3"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2,7</w:t>
            </w:r>
          </w:p>
        </w:tc>
        <w:tc>
          <w:tcPr>
            <w:tcW w:w="1276" w:type="dxa"/>
            <w:tcBorders>
              <w:bottom w:val="single" w:sz="4" w:space="0" w:color="auto"/>
            </w:tcBorders>
            <w:shd w:val="clear" w:color="auto" w:fill="auto"/>
            <w:vAlign w:val="center"/>
          </w:tcPr>
          <w:p w14:paraId="25F3758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strike/>
                <w:color w:val="000000" w:themeColor="text1"/>
                <w:sz w:val="20"/>
                <w:szCs w:val="20"/>
                <w:highlight w:val="white"/>
              </w:rPr>
            </w:pPr>
            <w:r w:rsidRPr="00CA7C54">
              <w:rPr>
                <w:rFonts w:ascii="Arial" w:hAnsi="Arial" w:cs="Arial"/>
                <w:b/>
                <w:color w:val="000000" w:themeColor="text1"/>
                <w:sz w:val="20"/>
                <w:szCs w:val="20"/>
                <w:highlight w:val="white"/>
              </w:rPr>
              <w:t>2,3</w:t>
            </w:r>
          </w:p>
        </w:tc>
      </w:tr>
      <w:tr w:rsidR="00CA7C54" w:rsidRPr="00CA7C54" w14:paraId="5AAAA17D" w14:textId="77777777" w:rsidTr="0057173E">
        <w:trPr>
          <w:trHeight w:hRule="exact" w:val="705"/>
        </w:trPr>
        <w:tc>
          <w:tcPr>
            <w:tcW w:w="1532" w:type="dxa"/>
            <w:gridSpan w:val="2"/>
            <w:tcBorders>
              <w:top w:val="single" w:sz="4" w:space="0" w:color="auto"/>
              <w:left w:val="single" w:sz="4" w:space="0" w:color="auto"/>
              <w:bottom w:val="single" w:sz="4" w:space="0" w:color="auto"/>
              <w:right w:val="single" w:sz="4" w:space="0" w:color="auto"/>
            </w:tcBorders>
            <w:shd w:val="clear" w:color="auto" w:fill="auto"/>
          </w:tcPr>
          <w:p w14:paraId="0B6920CC" w14:textId="77777777" w:rsidR="005D6AB1" w:rsidRPr="0057173E" w:rsidRDefault="005D6AB1" w:rsidP="005D6AB1">
            <w:pPr>
              <w:pBdr>
                <w:top w:val="nil"/>
                <w:left w:val="nil"/>
                <w:bottom w:val="nil"/>
                <w:right w:val="nil"/>
                <w:between w:val="nil"/>
              </w:pBdr>
              <w:spacing w:line="240" w:lineRule="auto"/>
              <w:ind w:firstLine="0"/>
              <w:rPr>
                <w:rFonts w:ascii="Arial" w:hAnsi="Arial" w:cs="Arial"/>
                <w:b/>
                <w:color w:val="000000" w:themeColor="text1"/>
                <w:sz w:val="19"/>
                <w:szCs w:val="19"/>
                <w:highlight w:val="white"/>
              </w:rPr>
            </w:pPr>
            <w:r w:rsidRPr="0057173E">
              <w:rPr>
                <w:rFonts w:ascii="Arial" w:hAnsi="Arial" w:cs="Arial"/>
                <w:b/>
                <w:color w:val="000000" w:themeColor="text1"/>
                <w:sz w:val="19"/>
                <w:szCs w:val="19"/>
                <w:highlight w:val="white"/>
              </w:rPr>
              <w:t>Примітка 1.</w:t>
            </w:r>
          </w:p>
        </w:tc>
        <w:tc>
          <w:tcPr>
            <w:tcW w:w="8363" w:type="dxa"/>
            <w:gridSpan w:val="5"/>
            <w:tcBorders>
              <w:top w:val="single" w:sz="4" w:space="0" w:color="auto"/>
              <w:left w:val="single" w:sz="4" w:space="0" w:color="auto"/>
              <w:bottom w:val="single" w:sz="4" w:space="0" w:color="auto"/>
              <w:right w:val="single" w:sz="4" w:space="0" w:color="auto"/>
            </w:tcBorders>
            <w:shd w:val="clear" w:color="auto" w:fill="auto"/>
          </w:tcPr>
          <w:p w14:paraId="5B1BF59E" w14:textId="77777777" w:rsidR="005D6AB1" w:rsidRPr="0057173E" w:rsidRDefault="005D6AB1" w:rsidP="0057173E">
            <w:pPr>
              <w:pBdr>
                <w:top w:val="nil"/>
                <w:left w:val="nil"/>
                <w:bottom w:val="nil"/>
                <w:right w:val="nil"/>
                <w:between w:val="nil"/>
              </w:pBdr>
              <w:spacing w:before="0" w:line="216" w:lineRule="auto"/>
              <w:ind w:firstLine="0"/>
              <w:rPr>
                <w:rFonts w:ascii="Arial" w:hAnsi="Arial" w:cs="Arial"/>
                <w:b/>
                <w:color w:val="000000" w:themeColor="text1"/>
                <w:sz w:val="19"/>
                <w:szCs w:val="19"/>
                <w:highlight w:val="white"/>
              </w:rPr>
            </w:pPr>
            <w:r w:rsidRPr="0057173E">
              <w:rPr>
                <w:rFonts w:ascii="Arial" w:hAnsi="Arial" w:cs="Arial"/>
                <w:color w:val="000000" w:themeColor="text1"/>
                <w:sz w:val="19"/>
                <w:szCs w:val="19"/>
                <w:highlight w:val="white"/>
              </w:rPr>
              <w:t xml:space="preserve">У рядках 3 та 4 над рискою наведені дані для входів з приміщень першого поверху та сходових кліток з площею отворів до 50 %, під рискою – з площею отворів більше </w:t>
            </w:r>
            <w:r w:rsidR="0057173E" w:rsidRPr="0057173E">
              <w:rPr>
                <w:rFonts w:ascii="Arial" w:hAnsi="Arial" w:cs="Arial"/>
                <w:color w:val="000000" w:themeColor="text1"/>
                <w:sz w:val="19"/>
                <w:szCs w:val="19"/>
                <w:highlight w:val="white"/>
              </w:rPr>
              <w:t xml:space="preserve">ніж </w:t>
            </w:r>
            <w:r w:rsidRPr="0057173E">
              <w:rPr>
                <w:rFonts w:ascii="Arial" w:hAnsi="Arial" w:cs="Arial"/>
                <w:color w:val="000000" w:themeColor="text1"/>
                <w:sz w:val="19"/>
                <w:szCs w:val="19"/>
                <w:highlight w:val="white"/>
              </w:rPr>
              <w:t>50 %, а також для входів з приміщень з легко руйнівних конструкцій.</w:t>
            </w:r>
          </w:p>
        </w:tc>
      </w:tr>
      <w:tr w:rsidR="00CA7C54" w:rsidRPr="00CA7C54" w14:paraId="53AE211F" w14:textId="77777777" w:rsidTr="0057173E">
        <w:trPr>
          <w:trHeight w:hRule="exact" w:val="680"/>
        </w:trPr>
        <w:tc>
          <w:tcPr>
            <w:tcW w:w="1532" w:type="dxa"/>
            <w:gridSpan w:val="2"/>
            <w:tcBorders>
              <w:top w:val="single" w:sz="4" w:space="0" w:color="auto"/>
              <w:left w:val="single" w:sz="4" w:space="0" w:color="auto"/>
              <w:bottom w:val="single" w:sz="4" w:space="0" w:color="auto"/>
              <w:right w:val="single" w:sz="4" w:space="0" w:color="auto"/>
            </w:tcBorders>
            <w:shd w:val="clear" w:color="auto" w:fill="auto"/>
          </w:tcPr>
          <w:p w14:paraId="5F02123F" w14:textId="77777777" w:rsidR="005D6AB1" w:rsidRPr="0057173E" w:rsidRDefault="005D6AB1" w:rsidP="005D6AB1">
            <w:pPr>
              <w:pBdr>
                <w:top w:val="nil"/>
                <w:left w:val="nil"/>
                <w:bottom w:val="nil"/>
                <w:right w:val="nil"/>
                <w:between w:val="nil"/>
              </w:pBdr>
              <w:spacing w:line="240" w:lineRule="auto"/>
              <w:ind w:firstLine="0"/>
              <w:rPr>
                <w:rFonts w:ascii="Arial" w:hAnsi="Arial" w:cs="Arial"/>
                <w:b/>
                <w:color w:val="000000" w:themeColor="text1"/>
                <w:sz w:val="19"/>
                <w:szCs w:val="19"/>
                <w:highlight w:val="white"/>
              </w:rPr>
            </w:pPr>
            <w:r w:rsidRPr="0057173E">
              <w:rPr>
                <w:rFonts w:ascii="Arial" w:hAnsi="Arial" w:cs="Arial"/>
                <w:b/>
                <w:color w:val="000000" w:themeColor="text1"/>
                <w:sz w:val="19"/>
                <w:szCs w:val="19"/>
                <w:highlight w:val="white"/>
              </w:rPr>
              <w:t>Примітка 2.</w:t>
            </w:r>
          </w:p>
        </w:tc>
        <w:tc>
          <w:tcPr>
            <w:tcW w:w="8363" w:type="dxa"/>
            <w:gridSpan w:val="5"/>
            <w:tcBorders>
              <w:top w:val="single" w:sz="4" w:space="0" w:color="auto"/>
              <w:left w:val="single" w:sz="4" w:space="0" w:color="auto"/>
              <w:bottom w:val="single" w:sz="4" w:space="0" w:color="auto"/>
              <w:right w:val="single" w:sz="4" w:space="0" w:color="auto"/>
            </w:tcBorders>
            <w:shd w:val="clear" w:color="auto" w:fill="auto"/>
          </w:tcPr>
          <w:p w14:paraId="6D82F2EB" w14:textId="77777777" w:rsidR="005D6AB1" w:rsidRPr="0057173E" w:rsidRDefault="005D6AB1" w:rsidP="0057173E">
            <w:pPr>
              <w:pBdr>
                <w:top w:val="nil"/>
                <w:left w:val="nil"/>
                <w:bottom w:val="nil"/>
                <w:right w:val="nil"/>
                <w:between w:val="nil"/>
              </w:pBdr>
              <w:spacing w:before="0" w:line="216" w:lineRule="auto"/>
              <w:ind w:firstLine="0"/>
              <w:rPr>
                <w:rFonts w:ascii="Arial" w:hAnsi="Arial" w:cs="Arial"/>
                <w:color w:val="000000" w:themeColor="text1"/>
                <w:sz w:val="19"/>
                <w:szCs w:val="19"/>
                <w:highlight w:val="white"/>
              </w:rPr>
            </w:pPr>
            <w:r w:rsidRPr="0057173E">
              <w:rPr>
                <w:rFonts w:ascii="Arial" w:hAnsi="Arial" w:cs="Arial"/>
                <w:color w:val="000000" w:themeColor="text1"/>
                <w:sz w:val="19"/>
                <w:szCs w:val="19"/>
                <w:highlight w:val="white"/>
              </w:rPr>
              <w:t>У разі відсутності у завданні на проєктування даних щодо отворів, площу в огороджувальних конструкціях слід приймати більше</w:t>
            </w:r>
            <w:r w:rsidR="00973291" w:rsidRPr="0057173E">
              <w:rPr>
                <w:rFonts w:ascii="Arial" w:hAnsi="Arial" w:cs="Arial"/>
                <w:color w:val="000000" w:themeColor="text1"/>
                <w:sz w:val="19"/>
                <w:szCs w:val="19"/>
                <w:highlight w:val="white"/>
              </w:rPr>
              <w:t xml:space="preserve"> ніж</w:t>
            </w:r>
            <w:r w:rsidRPr="0057173E">
              <w:rPr>
                <w:rFonts w:ascii="Arial" w:hAnsi="Arial" w:cs="Arial"/>
                <w:color w:val="000000" w:themeColor="text1"/>
                <w:sz w:val="19"/>
                <w:szCs w:val="19"/>
                <w:highlight w:val="white"/>
              </w:rPr>
              <w:t xml:space="preserve"> 50 %.</w:t>
            </w:r>
          </w:p>
        </w:tc>
      </w:tr>
      <w:tr w:rsidR="00CA7C54" w:rsidRPr="00CA7C54" w14:paraId="6D744425" w14:textId="77777777" w:rsidTr="0057173E">
        <w:trPr>
          <w:trHeight w:hRule="exact" w:val="1068"/>
        </w:trPr>
        <w:tc>
          <w:tcPr>
            <w:tcW w:w="1532" w:type="dxa"/>
            <w:gridSpan w:val="2"/>
            <w:tcBorders>
              <w:top w:val="single" w:sz="4" w:space="0" w:color="auto"/>
              <w:left w:val="single" w:sz="4" w:space="0" w:color="auto"/>
              <w:bottom w:val="single" w:sz="4" w:space="0" w:color="auto"/>
              <w:right w:val="single" w:sz="4" w:space="0" w:color="auto"/>
            </w:tcBorders>
            <w:shd w:val="clear" w:color="auto" w:fill="auto"/>
          </w:tcPr>
          <w:p w14:paraId="5A3996EC" w14:textId="77777777" w:rsidR="005D6AB1" w:rsidRPr="0057173E" w:rsidRDefault="005D6AB1" w:rsidP="005D6AB1">
            <w:pPr>
              <w:pBdr>
                <w:top w:val="nil"/>
                <w:left w:val="nil"/>
                <w:bottom w:val="nil"/>
                <w:right w:val="nil"/>
                <w:between w:val="nil"/>
              </w:pBdr>
              <w:spacing w:line="240" w:lineRule="auto"/>
              <w:ind w:firstLine="0"/>
              <w:rPr>
                <w:rFonts w:ascii="Arial" w:hAnsi="Arial" w:cs="Arial"/>
                <w:b/>
                <w:color w:val="000000" w:themeColor="text1"/>
                <w:sz w:val="19"/>
                <w:szCs w:val="19"/>
                <w:highlight w:val="white"/>
              </w:rPr>
            </w:pPr>
            <w:r w:rsidRPr="0057173E">
              <w:rPr>
                <w:rFonts w:ascii="Arial" w:hAnsi="Arial" w:cs="Arial"/>
                <w:b/>
                <w:color w:val="000000" w:themeColor="text1"/>
                <w:sz w:val="19"/>
                <w:szCs w:val="19"/>
                <w:highlight w:val="white"/>
              </w:rPr>
              <w:t>Примітка 3.</w:t>
            </w:r>
          </w:p>
        </w:tc>
        <w:tc>
          <w:tcPr>
            <w:tcW w:w="8363" w:type="dxa"/>
            <w:gridSpan w:val="5"/>
            <w:tcBorders>
              <w:top w:val="single" w:sz="4" w:space="0" w:color="auto"/>
              <w:left w:val="single" w:sz="4" w:space="0" w:color="auto"/>
              <w:bottom w:val="single" w:sz="4" w:space="0" w:color="auto"/>
              <w:right w:val="single" w:sz="4" w:space="0" w:color="auto"/>
            </w:tcBorders>
            <w:shd w:val="clear" w:color="auto" w:fill="auto"/>
          </w:tcPr>
          <w:p w14:paraId="6E5FD4D1" w14:textId="77777777" w:rsidR="005D6AB1" w:rsidRPr="0057173E" w:rsidRDefault="005D6AB1" w:rsidP="005D6AB1">
            <w:pPr>
              <w:pBdr>
                <w:top w:val="nil"/>
                <w:left w:val="nil"/>
                <w:bottom w:val="nil"/>
                <w:right w:val="nil"/>
                <w:between w:val="nil"/>
              </w:pBdr>
              <w:spacing w:line="240" w:lineRule="auto"/>
              <w:ind w:firstLine="0"/>
              <w:rPr>
                <w:rFonts w:ascii="Arial" w:hAnsi="Arial" w:cs="Arial"/>
                <w:color w:val="000000" w:themeColor="text1"/>
                <w:sz w:val="19"/>
                <w:szCs w:val="19"/>
                <w:highlight w:val="white"/>
              </w:rPr>
            </w:pPr>
            <w:r w:rsidRPr="0057173E">
              <w:rPr>
                <w:rFonts w:ascii="Arial" w:hAnsi="Arial" w:cs="Arial"/>
                <w:color w:val="000000" w:themeColor="text1"/>
                <w:sz w:val="19"/>
                <w:szCs w:val="19"/>
                <w:highlight w:val="white"/>
              </w:rPr>
              <w:t>Площу отворів в огороджуючих конструкціях визначають з урахуванням площі потенційно відкритих для дії вибуху отворів: вікна, двері, технологічні отвори інженерних комунікацій (вентиляція, димовидалення тощо)</w:t>
            </w:r>
          </w:p>
        </w:tc>
      </w:tr>
    </w:tbl>
    <w:p w14:paraId="206720C7" w14:textId="77777777" w:rsidR="003C4E04" w:rsidRPr="00CA7C54" w:rsidRDefault="00102386" w:rsidP="00326D96">
      <w:pPr>
        <w:pStyle w:val="3"/>
        <w:spacing w:before="0" w:after="0" w:line="288" w:lineRule="auto"/>
        <w:contextualSpacing/>
        <w:rPr>
          <w:color w:val="000000" w:themeColor="text1"/>
          <w:sz w:val="21"/>
          <w:szCs w:val="21"/>
        </w:rPr>
      </w:pPr>
      <w:r w:rsidRPr="00CA7C54">
        <w:rPr>
          <w:color w:val="000000" w:themeColor="text1"/>
          <w:sz w:val="21"/>
          <w:szCs w:val="21"/>
        </w:rPr>
        <w:lastRenderedPageBreak/>
        <w:t>1</w:t>
      </w:r>
      <w:r w:rsidR="001E748C" w:rsidRPr="00CA7C54">
        <w:rPr>
          <w:color w:val="000000" w:themeColor="text1"/>
          <w:sz w:val="21"/>
          <w:szCs w:val="21"/>
        </w:rPr>
        <w:t>4.1.3 Квазістатичне (еквівалентне статичне) навантаження та впливи</w:t>
      </w:r>
    </w:p>
    <w:p w14:paraId="2F6123F9" w14:textId="4794F64B"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rPr>
        <w:t>14.1.3.1</w:t>
      </w:r>
      <w:r w:rsidRPr="00CA7C54">
        <w:rPr>
          <w:color w:val="000000" w:themeColor="text1"/>
          <w:sz w:val="21"/>
          <w:szCs w:val="21"/>
        </w:rPr>
        <w:t xml:space="preserve">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на елементи залізобетонних конструкцій покриттів захисних споруд та СПП із відповідними захисними властивостями слід приймати </w:t>
      </w:r>
      <w:r w:rsidRPr="00CA7C54">
        <w:rPr>
          <w:color w:val="000000" w:themeColor="text1"/>
          <w:sz w:val="21"/>
          <w:szCs w:val="21"/>
          <w:highlight w:val="white"/>
        </w:rPr>
        <w:t>рівним приведеному навантаженню за  14.1.2.2</w:t>
      </w:r>
      <w:r w:rsidR="001F3728">
        <w:rPr>
          <w:color w:val="000000" w:themeColor="text1"/>
          <w:sz w:val="21"/>
          <w:szCs w:val="21"/>
          <w:highlight w:val="white"/>
        </w:rPr>
        <w:t xml:space="preserve"> </w:t>
      </w:r>
      <w:r w:rsidRPr="00CA7C54">
        <w:rPr>
          <w:color w:val="000000" w:themeColor="text1"/>
          <w:sz w:val="21"/>
          <w:szCs w:val="21"/>
          <w:highlight w:val="white"/>
        </w:rPr>
        <w:t xml:space="preserve">цих </w:t>
      </w:r>
      <w:r w:rsidR="0039185D" w:rsidRPr="00CA7C54">
        <w:rPr>
          <w:color w:val="000000" w:themeColor="text1"/>
          <w:sz w:val="21"/>
          <w:szCs w:val="21"/>
          <w:highlight w:val="white"/>
        </w:rPr>
        <w:t>н</w:t>
      </w:r>
      <w:r w:rsidRPr="00CA7C54">
        <w:rPr>
          <w:color w:val="000000" w:themeColor="text1"/>
          <w:sz w:val="21"/>
          <w:szCs w:val="21"/>
          <w:highlight w:val="white"/>
        </w:rPr>
        <w:t xml:space="preserve">орм, помноженому на коефіцієнт динамічності </w:t>
      </w:r>
      <w:r w:rsidRPr="00CA7C54">
        <w:rPr>
          <w:i/>
          <w:color w:val="000000" w:themeColor="text1"/>
          <w:sz w:val="21"/>
          <w:szCs w:val="21"/>
          <w:highlight w:val="white"/>
        </w:rPr>
        <w:t>К</w:t>
      </w:r>
      <w:r w:rsidRPr="00CA7C54">
        <w:rPr>
          <w:color w:val="000000" w:themeColor="text1"/>
          <w:sz w:val="21"/>
          <w:szCs w:val="21"/>
          <w:highlight w:val="white"/>
          <w:vertAlign w:val="subscript"/>
        </w:rPr>
        <w:t>Д</w:t>
      </w:r>
      <w:r w:rsidRPr="00CA7C54">
        <w:rPr>
          <w:color w:val="000000" w:themeColor="text1"/>
          <w:sz w:val="21"/>
          <w:szCs w:val="21"/>
          <w:highlight w:val="white"/>
        </w:rPr>
        <w:t>, що приймається за таблицею 14.8</w:t>
      </w:r>
    </w:p>
    <w:p w14:paraId="3CADCB58" w14:textId="77777777" w:rsidR="003C4E04" w:rsidRPr="00CA7C54" w:rsidRDefault="001E748C" w:rsidP="00326D96">
      <w:pPr>
        <w:pBdr>
          <w:top w:val="nil"/>
          <w:left w:val="nil"/>
          <w:bottom w:val="nil"/>
          <w:right w:val="nil"/>
          <w:between w:val="nil"/>
        </w:pBdr>
        <w:spacing w:before="0" w:line="288" w:lineRule="auto"/>
        <w:ind w:right="142"/>
        <w:contextualSpacing/>
        <w:rPr>
          <w:b/>
          <w:color w:val="000000" w:themeColor="text1"/>
          <w:sz w:val="21"/>
          <w:szCs w:val="21"/>
          <w:highlight w:val="white"/>
        </w:rPr>
      </w:pPr>
      <w:r w:rsidRPr="00CA7C54">
        <w:rPr>
          <w:b/>
          <w:color w:val="000000" w:themeColor="text1"/>
          <w:sz w:val="21"/>
          <w:szCs w:val="21"/>
          <w:highlight w:val="white"/>
        </w:rPr>
        <w:t xml:space="preserve">Таблиця 14.8 </w:t>
      </w:r>
      <w:r w:rsidRPr="00CA7C54">
        <w:rPr>
          <w:color w:val="000000" w:themeColor="text1"/>
          <w:sz w:val="21"/>
          <w:szCs w:val="21"/>
          <w:highlight w:val="white"/>
        </w:rPr>
        <w:t xml:space="preserve">– Коефіцієнт </w:t>
      </w:r>
      <w:r w:rsidRPr="00CA7C54">
        <w:rPr>
          <w:i/>
          <w:color w:val="000000" w:themeColor="text1"/>
          <w:sz w:val="21"/>
          <w:szCs w:val="21"/>
          <w:highlight w:val="white"/>
        </w:rPr>
        <w:t>К</w:t>
      </w:r>
      <w:r w:rsidRPr="00CA7C54">
        <w:rPr>
          <w:color w:val="000000" w:themeColor="text1"/>
          <w:sz w:val="21"/>
          <w:szCs w:val="21"/>
          <w:highlight w:val="white"/>
          <w:vertAlign w:val="subscript"/>
        </w:rPr>
        <w:t>д</w:t>
      </w:r>
      <w:r w:rsidRPr="00CA7C54">
        <w:rPr>
          <w:color w:val="000000" w:themeColor="text1"/>
          <w:sz w:val="21"/>
          <w:szCs w:val="21"/>
          <w:highlight w:val="white"/>
        </w:rPr>
        <w:t xml:space="preserve"> для покриттів</w:t>
      </w:r>
    </w:p>
    <w:tbl>
      <w:tblPr>
        <w:tblStyle w:val="affffffffffffffffffffffffffffffff2"/>
        <w:tblW w:w="9639" w:type="dxa"/>
        <w:tblInd w:w="-5" w:type="dxa"/>
        <w:tblLayout w:type="fixed"/>
        <w:tblLook w:val="0000" w:firstRow="0" w:lastRow="0" w:firstColumn="0" w:lastColumn="0" w:noHBand="0" w:noVBand="0"/>
      </w:tblPr>
      <w:tblGrid>
        <w:gridCol w:w="2552"/>
        <w:gridCol w:w="1843"/>
        <w:gridCol w:w="1701"/>
        <w:gridCol w:w="1701"/>
        <w:gridCol w:w="1842"/>
      </w:tblGrid>
      <w:tr w:rsidR="00CA7C54" w:rsidRPr="00CA7C54" w14:paraId="58E236AC" w14:textId="77777777" w:rsidTr="0057173E">
        <w:trPr>
          <w:trHeight w:val="205"/>
        </w:trPr>
        <w:tc>
          <w:tcPr>
            <w:tcW w:w="2552" w:type="dxa"/>
            <w:vMerge w:val="restart"/>
            <w:tcBorders>
              <w:top w:val="single" w:sz="4" w:space="0" w:color="000000"/>
              <w:left w:val="single" w:sz="4" w:space="0" w:color="000000"/>
            </w:tcBorders>
            <w:shd w:val="clear" w:color="auto" w:fill="auto"/>
            <w:vAlign w:val="center"/>
          </w:tcPr>
          <w:p w14:paraId="725EB82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Розрахункові умови</w:t>
            </w:r>
          </w:p>
        </w:tc>
        <w:tc>
          <w:tcPr>
            <w:tcW w:w="70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CC5B9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 xml:space="preserve">Коефіцієнт </w:t>
            </w:r>
            <w:r w:rsidRPr="00CA7C54">
              <w:rPr>
                <w:rFonts w:ascii="Arial" w:hAnsi="Arial" w:cs="Arial"/>
                <w:b/>
                <w:i/>
                <w:color w:val="000000" w:themeColor="text1"/>
                <w:sz w:val="20"/>
                <w:szCs w:val="20"/>
                <w:highlight w:val="white"/>
              </w:rPr>
              <w:t>К</w:t>
            </w:r>
            <w:r w:rsidRPr="00CA7C54">
              <w:rPr>
                <w:rFonts w:ascii="Arial" w:hAnsi="Arial" w:cs="Arial"/>
                <w:b/>
                <w:color w:val="000000" w:themeColor="text1"/>
                <w:sz w:val="20"/>
                <w:szCs w:val="20"/>
                <w:highlight w:val="white"/>
                <w:vertAlign w:val="subscript"/>
              </w:rPr>
              <w:t>д</w:t>
            </w:r>
            <w:r w:rsidRPr="00CA7C54">
              <w:rPr>
                <w:rFonts w:ascii="Arial" w:hAnsi="Arial" w:cs="Arial"/>
                <w:b/>
                <w:color w:val="000000" w:themeColor="text1"/>
                <w:sz w:val="20"/>
                <w:szCs w:val="20"/>
                <w:highlight w:val="white"/>
              </w:rPr>
              <w:t xml:space="preserve"> для покриттів </w:t>
            </w:r>
          </w:p>
        </w:tc>
      </w:tr>
      <w:tr w:rsidR="00CA7C54" w:rsidRPr="00CA7C54" w14:paraId="60DCFC59" w14:textId="77777777" w:rsidTr="0057173E">
        <w:tc>
          <w:tcPr>
            <w:tcW w:w="2552" w:type="dxa"/>
            <w:vMerge/>
            <w:tcBorders>
              <w:top w:val="single" w:sz="4" w:space="0" w:color="000000"/>
              <w:left w:val="single" w:sz="4" w:space="0" w:color="000000"/>
            </w:tcBorders>
            <w:shd w:val="clear" w:color="auto" w:fill="auto"/>
            <w:vAlign w:val="center"/>
          </w:tcPr>
          <w:p w14:paraId="795852A0"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4C66C4C7"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Окремо розташованих</w:t>
            </w:r>
          </w:p>
        </w:tc>
        <w:tc>
          <w:tcPr>
            <w:tcW w:w="3402" w:type="dxa"/>
            <w:gridSpan w:val="2"/>
            <w:tcBorders>
              <w:top w:val="single" w:sz="4" w:space="0" w:color="000000"/>
              <w:left w:val="single" w:sz="4" w:space="0" w:color="000000"/>
              <w:bottom w:val="single" w:sz="4" w:space="0" w:color="000000"/>
            </w:tcBorders>
            <w:shd w:val="clear" w:color="auto" w:fill="auto"/>
            <w:vAlign w:val="center"/>
          </w:tcPr>
          <w:p w14:paraId="1D97DB7D"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Вбудованих у приміщення з площею отворів, %</w:t>
            </w:r>
          </w:p>
        </w:tc>
        <w:tc>
          <w:tcPr>
            <w:tcW w:w="1842" w:type="dxa"/>
            <w:vMerge w:val="restart"/>
            <w:tcBorders>
              <w:top w:val="single" w:sz="4" w:space="0" w:color="000000"/>
              <w:left w:val="single" w:sz="4" w:space="0" w:color="000000"/>
              <w:right w:val="single" w:sz="4" w:space="0" w:color="000000"/>
            </w:tcBorders>
            <w:shd w:val="clear" w:color="auto" w:fill="auto"/>
            <w:vAlign w:val="center"/>
          </w:tcPr>
          <w:p w14:paraId="65CC120A"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Розташованих під технічними підвалами</w:t>
            </w:r>
          </w:p>
        </w:tc>
      </w:tr>
      <w:tr w:rsidR="00CA7C54" w:rsidRPr="00CA7C54" w14:paraId="52FDC257" w14:textId="77777777" w:rsidTr="0057173E">
        <w:trPr>
          <w:trHeight w:val="55"/>
        </w:trPr>
        <w:tc>
          <w:tcPr>
            <w:tcW w:w="2552" w:type="dxa"/>
            <w:vMerge/>
            <w:tcBorders>
              <w:top w:val="single" w:sz="4" w:space="0" w:color="000000"/>
              <w:left w:val="single" w:sz="4" w:space="0" w:color="000000"/>
            </w:tcBorders>
            <w:shd w:val="clear" w:color="auto" w:fill="auto"/>
            <w:vAlign w:val="center"/>
          </w:tcPr>
          <w:p w14:paraId="18C9BFB2"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c>
          <w:tcPr>
            <w:tcW w:w="1843" w:type="dxa"/>
            <w:vMerge/>
            <w:tcBorders>
              <w:top w:val="single" w:sz="4" w:space="0" w:color="000000"/>
              <w:left w:val="single" w:sz="4" w:space="0" w:color="000000"/>
              <w:bottom w:val="single" w:sz="4" w:space="0" w:color="000000"/>
            </w:tcBorders>
            <w:shd w:val="clear" w:color="auto" w:fill="auto"/>
            <w:vAlign w:val="center"/>
          </w:tcPr>
          <w:p w14:paraId="0ECBCF95"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c>
          <w:tcPr>
            <w:tcW w:w="1701" w:type="dxa"/>
            <w:tcBorders>
              <w:top w:val="single" w:sz="4" w:space="0" w:color="000000"/>
              <w:left w:val="single" w:sz="4" w:space="0" w:color="000000"/>
              <w:bottom w:val="single" w:sz="4" w:space="0" w:color="000000"/>
            </w:tcBorders>
            <w:shd w:val="clear" w:color="auto" w:fill="auto"/>
            <w:vAlign w:val="center"/>
          </w:tcPr>
          <w:p w14:paraId="3BE73848"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Менше 50%</w:t>
            </w:r>
          </w:p>
        </w:tc>
        <w:tc>
          <w:tcPr>
            <w:tcW w:w="1701" w:type="dxa"/>
            <w:tcBorders>
              <w:top w:val="single" w:sz="4" w:space="0" w:color="000000"/>
              <w:left w:val="single" w:sz="4" w:space="0" w:color="000000"/>
              <w:bottom w:val="single" w:sz="4" w:space="0" w:color="000000"/>
            </w:tcBorders>
            <w:shd w:val="clear" w:color="auto" w:fill="auto"/>
            <w:vAlign w:val="center"/>
          </w:tcPr>
          <w:p w14:paraId="306701F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Більше 50%</w:t>
            </w:r>
          </w:p>
        </w:tc>
        <w:tc>
          <w:tcPr>
            <w:tcW w:w="1842" w:type="dxa"/>
            <w:vMerge/>
            <w:tcBorders>
              <w:top w:val="single" w:sz="4" w:space="0" w:color="000000"/>
              <w:left w:val="single" w:sz="4" w:space="0" w:color="000000"/>
              <w:right w:val="single" w:sz="4" w:space="0" w:color="000000"/>
            </w:tcBorders>
            <w:shd w:val="clear" w:color="auto" w:fill="auto"/>
            <w:vAlign w:val="center"/>
          </w:tcPr>
          <w:p w14:paraId="7AC42CF6"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r>
      <w:tr w:rsidR="00CA7C54" w:rsidRPr="00CA7C54" w14:paraId="25837A88" w14:textId="77777777" w:rsidTr="0057173E">
        <w:trPr>
          <w:trHeight w:val="133"/>
        </w:trPr>
        <w:tc>
          <w:tcPr>
            <w:tcW w:w="2552" w:type="dxa"/>
            <w:tcBorders>
              <w:top w:val="single" w:sz="4" w:space="0" w:color="000000"/>
              <w:left w:val="single" w:sz="4" w:space="0" w:color="000000"/>
              <w:bottom w:val="single" w:sz="4" w:space="0" w:color="000000"/>
            </w:tcBorders>
            <w:shd w:val="clear" w:color="auto" w:fill="auto"/>
            <w:vAlign w:val="center"/>
          </w:tcPr>
          <w:p w14:paraId="6C156FE0"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Розрахункова умова ІА</w:t>
            </w:r>
          </w:p>
        </w:tc>
        <w:tc>
          <w:tcPr>
            <w:tcW w:w="1843" w:type="dxa"/>
            <w:tcBorders>
              <w:top w:val="single" w:sz="4" w:space="0" w:color="000000"/>
              <w:left w:val="single" w:sz="4" w:space="0" w:color="000000"/>
              <w:bottom w:val="single" w:sz="4" w:space="0" w:color="000000"/>
            </w:tcBorders>
            <w:shd w:val="clear" w:color="auto" w:fill="auto"/>
          </w:tcPr>
          <w:p w14:paraId="0D71D04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c>
          <w:tcPr>
            <w:tcW w:w="1701" w:type="dxa"/>
            <w:tcBorders>
              <w:top w:val="single" w:sz="4" w:space="0" w:color="000000"/>
              <w:left w:val="single" w:sz="4" w:space="0" w:color="000000"/>
              <w:bottom w:val="single" w:sz="4" w:space="0" w:color="000000"/>
            </w:tcBorders>
            <w:shd w:val="clear" w:color="auto" w:fill="auto"/>
          </w:tcPr>
          <w:p w14:paraId="624FD67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1,1</w:t>
            </w:r>
          </w:p>
        </w:tc>
        <w:tc>
          <w:tcPr>
            <w:tcW w:w="1701" w:type="dxa"/>
            <w:tcBorders>
              <w:top w:val="single" w:sz="4" w:space="0" w:color="000000"/>
              <w:left w:val="single" w:sz="4" w:space="0" w:color="000000"/>
              <w:bottom w:val="single" w:sz="4" w:space="0" w:color="000000"/>
            </w:tcBorders>
            <w:shd w:val="clear" w:color="auto" w:fill="auto"/>
          </w:tcPr>
          <w:p w14:paraId="2BE430B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2D6B8A"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r>
      <w:tr w:rsidR="00CA7C54" w:rsidRPr="00CA7C54" w14:paraId="6F1DB8C3" w14:textId="77777777" w:rsidTr="0057173E">
        <w:trPr>
          <w:trHeight w:val="428"/>
        </w:trPr>
        <w:tc>
          <w:tcPr>
            <w:tcW w:w="2552" w:type="dxa"/>
            <w:tcBorders>
              <w:top w:val="single" w:sz="4" w:space="0" w:color="000000"/>
              <w:left w:val="single" w:sz="4" w:space="0" w:color="000000"/>
              <w:bottom w:val="single" w:sz="4" w:space="0" w:color="000000"/>
            </w:tcBorders>
            <w:shd w:val="clear" w:color="auto" w:fill="auto"/>
            <w:vAlign w:val="center"/>
          </w:tcPr>
          <w:p w14:paraId="40006E60"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Розрахункова умова ІБ</w:t>
            </w:r>
          </w:p>
        </w:tc>
        <w:tc>
          <w:tcPr>
            <w:tcW w:w="1843" w:type="dxa"/>
            <w:tcBorders>
              <w:top w:val="single" w:sz="4" w:space="0" w:color="000000"/>
              <w:left w:val="single" w:sz="4" w:space="0" w:color="000000"/>
              <w:bottom w:val="single" w:sz="4" w:space="0" w:color="000000"/>
            </w:tcBorders>
            <w:shd w:val="clear" w:color="auto" w:fill="auto"/>
          </w:tcPr>
          <w:p w14:paraId="6B9730D7"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1,8</w:t>
            </w:r>
          </w:p>
        </w:tc>
        <w:tc>
          <w:tcPr>
            <w:tcW w:w="1701" w:type="dxa"/>
            <w:tcBorders>
              <w:top w:val="single" w:sz="4" w:space="0" w:color="000000"/>
              <w:left w:val="single" w:sz="4" w:space="0" w:color="000000"/>
              <w:bottom w:val="single" w:sz="4" w:space="0" w:color="000000"/>
            </w:tcBorders>
            <w:shd w:val="clear" w:color="auto" w:fill="auto"/>
          </w:tcPr>
          <w:p w14:paraId="22398B6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1,4</w:t>
            </w:r>
          </w:p>
        </w:tc>
        <w:tc>
          <w:tcPr>
            <w:tcW w:w="1701" w:type="dxa"/>
            <w:tcBorders>
              <w:top w:val="single" w:sz="4" w:space="0" w:color="000000"/>
              <w:left w:val="single" w:sz="4" w:space="0" w:color="000000"/>
              <w:bottom w:val="single" w:sz="4" w:space="0" w:color="000000"/>
            </w:tcBorders>
            <w:shd w:val="clear" w:color="auto" w:fill="auto"/>
          </w:tcPr>
          <w:p w14:paraId="14A5225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E243BFA"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r>
      <w:tr w:rsidR="00CA7C54" w:rsidRPr="00CA7C54" w14:paraId="42109039" w14:textId="77777777" w:rsidTr="0057173E">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Pr>
          <w:p w14:paraId="624613F6" w14:textId="77777777" w:rsidR="003C4E04" w:rsidRPr="009461BC" w:rsidRDefault="001E748C" w:rsidP="00C07081">
            <w:pPr>
              <w:pBdr>
                <w:top w:val="nil"/>
                <w:left w:val="nil"/>
                <w:bottom w:val="nil"/>
                <w:right w:val="nil"/>
                <w:between w:val="nil"/>
              </w:pBdr>
              <w:spacing w:before="0" w:line="240" w:lineRule="auto"/>
              <w:ind w:left="1306" w:hanging="1306"/>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1.</w:t>
            </w:r>
            <w:r w:rsidRPr="009461BC">
              <w:rPr>
                <w:rFonts w:ascii="Arial" w:hAnsi="Arial" w:cs="Arial"/>
                <w:color w:val="000000" w:themeColor="text1"/>
                <w:sz w:val="20"/>
                <w:szCs w:val="20"/>
                <w:highlight w:val="white"/>
              </w:rPr>
              <w:t> Розрахункова умова ІА застосовується при виконанні розрахунку конструкцій, що допускає виникнення залишкових переміщень, розкриття тріщин в розтягнутій зоні бетону. За даною розрахунковою умовою розраховуються елементи основних несучих і огороджувальних конструкцій захисних споруд та тунелі аварійних виходів.</w:t>
            </w:r>
          </w:p>
          <w:p w14:paraId="3578BFC6" w14:textId="77777777" w:rsidR="003C4E04" w:rsidRPr="009461BC" w:rsidRDefault="001E748C" w:rsidP="00C07081">
            <w:pPr>
              <w:pBdr>
                <w:top w:val="nil"/>
                <w:left w:val="nil"/>
                <w:bottom w:val="nil"/>
                <w:right w:val="nil"/>
                <w:between w:val="nil"/>
              </w:pBdr>
              <w:spacing w:before="0" w:line="240" w:lineRule="auto"/>
              <w:ind w:left="1306" w:hanging="1306"/>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2.</w:t>
            </w:r>
            <w:r w:rsidRPr="009461BC">
              <w:rPr>
                <w:rFonts w:ascii="Arial" w:hAnsi="Arial" w:cs="Arial"/>
                <w:color w:val="000000" w:themeColor="text1"/>
                <w:sz w:val="20"/>
                <w:szCs w:val="20"/>
                <w:highlight w:val="white"/>
              </w:rPr>
              <w:t xml:space="preserve"> За розрахунковою умовою ІБ слід розраховувати конструкції захисних споруд, які розташовані у водонасиченому ґрунті або в зонах можливого катастрофічного затоплення. Розрахунок конструкцій за даною умовою забезпечує відсутність залишкових деформацій елементів захисних споруд.</w:t>
            </w:r>
          </w:p>
          <w:p w14:paraId="7461EEFC" w14:textId="77777777" w:rsidR="003C4E04" w:rsidRPr="009461BC" w:rsidRDefault="001E748C" w:rsidP="00C07081">
            <w:pPr>
              <w:pBdr>
                <w:top w:val="nil"/>
                <w:left w:val="nil"/>
                <w:bottom w:val="nil"/>
                <w:right w:val="nil"/>
                <w:between w:val="nil"/>
              </w:pBdr>
              <w:spacing w:before="0" w:line="240" w:lineRule="auto"/>
              <w:ind w:left="1306" w:hanging="1306"/>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3.</w:t>
            </w:r>
            <w:r w:rsidRPr="009461BC">
              <w:rPr>
                <w:rFonts w:ascii="Arial" w:hAnsi="Arial" w:cs="Arial"/>
                <w:color w:val="000000" w:themeColor="text1"/>
                <w:sz w:val="20"/>
                <w:szCs w:val="20"/>
                <w:highlight w:val="white"/>
              </w:rPr>
              <w:t xml:space="preserve"> Для покриттiв захисних споруд, вбудованих у будинки (споруди) з легкоруйнiвними конструкцiями, динамічний коефiцiєнт </w:t>
            </w:r>
            <w:r w:rsidRPr="009461BC">
              <w:rPr>
                <w:rFonts w:ascii="Arial" w:hAnsi="Arial" w:cs="Arial"/>
                <w:i/>
                <w:color w:val="000000" w:themeColor="text1"/>
                <w:sz w:val="20"/>
                <w:szCs w:val="20"/>
                <w:highlight w:val="white"/>
              </w:rPr>
              <w:t>К</w:t>
            </w:r>
            <w:r w:rsidRPr="009461BC">
              <w:rPr>
                <w:rFonts w:ascii="Arial" w:hAnsi="Arial" w:cs="Arial"/>
                <w:i/>
                <w:color w:val="000000" w:themeColor="text1"/>
                <w:sz w:val="20"/>
                <w:szCs w:val="20"/>
                <w:highlight w:val="white"/>
                <w:vertAlign w:val="subscript"/>
              </w:rPr>
              <w:t>Д</w:t>
            </w:r>
            <w:r w:rsidRPr="009461BC">
              <w:rPr>
                <w:rFonts w:ascii="Arial" w:hAnsi="Arial" w:cs="Arial"/>
                <w:color w:val="000000" w:themeColor="text1"/>
                <w:sz w:val="20"/>
                <w:szCs w:val="20"/>
                <w:highlight w:val="white"/>
              </w:rPr>
              <w:t xml:space="preserve"> приймається як для окремо розташованих захисних споруд. </w:t>
            </w:r>
          </w:p>
          <w:p w14:paraId="6C1A3480" w14:textId="77777777" w:rsidR="003C4E04" w:rsidRPr="009461BC" w:rsidRDefault="001E748C" w:rsidP="00C07081">
            <w:pPr>
              <w:pBdr>
                <w:top w:val="nil"/>
                <w:left w:val="nil"/>
                <w:bottom w:val="nil"/>
                <w:right w:val="nil"/>
                <w:between w:val="nil"/>
              </w:pBdr>
              <w:spacing w:before="0" w:line="240" w:lineRule="auto"/>
              <w:ind w:left="1304" w:hanging="1304"/>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4.</w:t>
            </w:r>
            <w:r w:rsidRPr="009461BC">
              <w:rPr>
                <w:rFonts w:ascii="Arial" w:hAnsi="Arial" w:cs="Arial"/>
                <w:color w:val="000000" w:themeColor="text1"/>
                <w:sz w:val="20"/>
                <w:szCs w:val="20"/>
                <w:highlight w:val="white"/>
              </w:rPr>
              <w:t xml:space="preserve"> При типовому про</w:t>
            </w:r>
            <w:r w:rsidR="003D6401" w:rsidRPr="009461BC">
              <w:rPr>
                <w:rFonts w:ascii="Arial" w:hAnsi="Arial" w:cs="Arial"/>
                <w:color w:val="000000" w:themeColor="text1"/>
                <w:sz w:val="20"/>
                <w:szCs w:val="20"/>
                <w:highlight w:val="white"/>
              </w:rPr>
              <w:t>є</w:t>
            </w:r>
            <w:r w:rsidRPr="009461BC">
              <w:rPr>
                <w:rFonts w:ascii="Arial" w:hAnsi="Arial" w:cs="Arial"/>
                <w:color w:val="000000" w:themeColor="text1"/>
                <w:sz w:val="20"/>
                <w:szCs w:val="20"/>
                <w:highlight w:val="white"/>
              </w:rPr>
              <w:t>ктуваннi вбудованих захисних споруд площа отворiв у будинках приймається більше 50%.</w:t>
            </w:r>
          </w:p>
          <w:p w14:paraId="445D158D" w14:textId="77777777" w:rsidR="003C4E04" w:rsidRPr="009461BC" w:rsidRDefault="001E748C" w:rsidP="00C07081">
            <w:pPr>
              <w:pBdr>
                <w:top w:val="nil"/>
                <w:left w:val="nil"/>
                <w:bottom w:val="nil"/>
                <w:right w:val="nil"/>
                <w:between w:val="nil"/>
              </w:pBdr>
              <w:spacing w:before="0" w:line="240" w:lineRule="auto"/>
              <w:ind w:left="1304" w:hanging="1304"/>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5.</w:t>
            </w:r>
            <w:r w:rsidRPr="009461BC">
              <w:rPr>
                <w:rFonts w:ascii="Arial" w:hAnsi="Arial" w:cs="Arial"/>
                <w:color w:val="000000" w:themeColor="text1"/>
                <w:sz w:val="20"/>
                <w:szCs w:val="20"/>
                <w:highlight w:val="white"/>
              </w:rPr>
              <w:t xml:space="preserve"> Площу отворів в огороджувальних конструкціях визначають з урахуванням площі потенційно відкритих для дії вибуху отворів: вікна, двері, технологічні отвори інженерних комунікацій (вентиляція, димовидалення тощо)</w:t>
            </w:r>
          </w:p>
        </w:tc>
      </w:tr>
    </w:tbl>
    <w:p w14:paraId="1079B7EC" w14:textId="77777777" w:rsidR="003C4E04" w:rsidRPr="00CA7C54" w:rsidRDefault="003C4E04" w:rsidP="003D6401">
      <w:pPr>
        <w:pBdr>
          <w:top w:val="nil"/>
          <w:left w:val="nil"/>
          <w:bottom w:val="nil"/>
          <w:right w:val="nil"/>
          <w:between w:val="nil"/>
        </w:pBdr>
        <w:spacing w:before="0" w:line="288" w:lineRule="auto"/>
        <w:contextualSpacing/>
        <w:rPr>
          <w:color w:val="000000" w:themeColor="text1"/>
          <w:sz w:val="21"/>
          <w:szCs w:val="21"/>
        </w:rPr>
      </w:pPr>
    </w:p>
    <w:p w14:paraId="28918AB7" w14:textId="77777777" w:rsidR="003C4E04" w:rsidRPr="00CA7C54" w:rsidRDefault="001E748C" w:rsidP="003D6401">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14.1.3.2</w:t>
      </w:r>
      <w:r w:rsidRPr="00CA7C54">
        <w:rPr>
          <w:color w:val="000000" w:themeColor="text1"/>
          <w:sz w:val="21"/>
          <w:szCs w:val="21"/>
        </w:rPr>
        <w:t xml:space="preserve">  Вертикальне квазістатичне навантаження q</w:t>
      </w:r>
      <w:r w:rsidRPr="00CA7C54">
        <w:rPr>
          <w:color w:val="000000" w:themeColor="text1"/>
          <w:sz w:val="21"/>
          <w:szCs w:val="21"/>
          <w:vertAlign w:val="subscript"/>
        </w:rPr>
        <w:t xml:space="preserve">eх,eqv </w:t>
      </w:r>
      <w:r w:rsidRPr="00CA7C54">
        <w:rPr>
          <w:color w:val="000000" w:themeColor="text1"/>
          <w:sz w:val="21"/>
          <w:szCs w:val="21"/>
        </w:rPr>
        <w:t xml:space="preserve"> (поздовжнє зусилля від дії ударної хвилі на покриття) при розрахунку стоякiв рам, колон i внутрiшнiх стiн слiд визначати розрахунком з врахуванням навантаження від покриття, що визначене згiдно з 14.1.3.1 цих </w:t>
      </w:r>
      <w:r w:rsidR="00576C10" w:rsidRPr="00CA7C54">
        <w:rPr>
          <w:color w:val="000000" w:themeColor="text1"/>
          <w:sz w:val="21"/>
          <w:szCs w:val="21"/>
        </w:rPr>
        <w:t>н</w:t>
      </w:r>
      <w:r w:rsidRPr="00CA7C54">
        <w:rPr>
          <w:color w:val="000000" w:themeColor="text1"/>
          <w:sz w:val="21"/>
          <w:szCs w:val="21"/>
        </w:rPr>
        <w:t>орм.</w:t>
      </w:r>
    </w:p>
    <w:p w14:paraId="728347DF" w14:textId="77777777" w:rsidR="003C4E04" w:rsidRPr="00CA7C54" w:rsidRDefault="001E748C" w:rsidP="003D6401">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14.1.3.3</w:t>
      </w:r>
      <w:r w:rsidRPr="00CA7C54">
        <w:rPr>
          <w:color w:val="000000" w:themeColor="text1"/>
          <w:sz w:val="21"/>
          <w:szCs w:val="21"/>
        </w:rPr>
        <w:t xml:space="preserve"> Вертикальне квазістатичне навантаження q</w:t>
      </w:r>
      <w:r w:rsidRPr="00CA7C54">
        <w:rPr>
          <w:color w:val="000000" w:themeColor="text1"/>
          <w:sz w:val="21"/>
          <w:szCs w:val="21"/>
          <w:vertAlign w:val="subscript"/>
        </w:rPr>
        <w:t xml:space="preserve">eх,eqv </w:t>
      </w:r>
      <w:r w:rsidRPr="00CA7C54">
        <w:rPr>
          <w:color w:val="000000" w:themeColor="text1"/>
          <w:sz w:val="21"/>
          <w:szCs w:val="21"/>
        </w:rPr>
        <w:t xml:space="preserve">(поздовжнє зусилля) на зовнiшнi стiни вiд дiї повітряної ударної хвилi на покриття слiд визначати розрахунком з врахуванням навантаження від покриття, що визначене згiдно з 14.1.3.1 цих </w:t>
      </w:r>
      <w:r w:rsidR="00576C10" w:rsidRPr="00CA7C54">
        <w:rPr>
          <w:color w:val="000000" w:themeColor="text1"/>
          <w:sz w:val="21"/>
          <w:szCs w:val="21"/>
        </w:rPr>
        <w:t>н</w:t>
      </w:r>
      <w:r w:rsidRPr="00CA7C54">
        <w:rPr>
          <w:color w:val="000000" w:themeColor="text1"/>
          <w:sz w:val="21"/>
          <w:szCs w:val="21"/>
        </w:rPr>
        <w:t xml:space="preserve">орм. </w:t>
      </w:r>
    </w:p>
    <w:p w14:paraId="31693B76" w14:textId="77777777" w:rsidR="003C4E04" w:rsidRPr="00CA7C54" w:rsidRDefault="001E748C" w:rsidP="003D6401">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розрахунку зовнiшнiх стiн слiд враховувати, що вертикальне (поздовжнє зусилля від дії ударної хвилі на покриття) та горизонтальне еквiвалентне статичне навантаження дiють одночасно.</w:t>
      </w:r>
    </w:p>
    <w:p w14:paraId="2D1AE4AD" w14:textId="77777777" w:rsidR="003C4E04" w:rsidRPr="00CA7C54" w:rsidRDefault="001E748C" w:rsidP="003D6401">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14.1.3.4</w:t>
      </w:r>
      <w:r w:rsidRPr="00CA7C54">
        <w:rPr>
          <w:color w:val="000000" w:themeColor="text1"/>
          <w:sz w:val="21"/>
          <w:szCs w:val="21"/>
        </w:rPr>
        <w:t xml:space="preserve"> Горизонтальне квазістатичне навантаження при розрахунку зовнiшнiх стiн визначають за формулою: </w:t>
      </w:r>
    </w:p>
    <w:p w14:paraId="7BC38D45" w14:textId="77777777" w:rsidR="003C4E04" w:rsidRPr="00CA7C54" w:rsidRDefault="001E748C" w:rsidP="00326D96">
      <w:pPr>
        <w:pBdr>
          <w:top w:val="nil"/>
          <w:left w:val="nil"/>
          <w:bottom w:val="nil"/>
          <w:right w:val="nil"/>
          <w:between w:val="nil"/>
        </w:pBdr>
        <w:spacing w:before="0" w:line="288" w:lineRule="auto"/>
        <w:ind w:right="142" w:firstLine="0"/>
        <w:contextualSpacing/>
        <w:jc w:val="right"/>
        <w:rPr>
          <w:color w:val="000000" w:themeColor="text1"/>
          <w:sz w:val="21"/>
          <w:szCs w:val="21"/>
          <w:highlight w:val="white"/>
        </w:rPr>
      </w:pPr>
      <w:r w:rsidRPr="00EE0455">
        <w:rPr>
          <w:rFonts w:ascii="Times New Roman" w:hAnsi="Times New Roman" w:cs="Times New Roman"/>
          <w:i/>
          <w:color w:val="000000" w:themeColor="text1"/>
          <w:sz w:val="21"/>
          <w:szCs w:val="21"/>
        </w:rPr>
        <w:t>q</w:t>
      </w:r>
      <w:r w:rsidRPr="00EE0455">
        <w:rPr>
          <w:rFonts w:ascii="Times New Roman" w:hAnsi="Times New Roman" w:cs="Times New Roman"/>
          <w:color w:val="000000" w:themeColor="text1"/>
          <w:sz w:val="21"/>
          <w:szCs w:val="21"/>
          <w:vertAlign w:val="subscript"/>
        </w:rPr>
        <w:t>eх</w:t>
      </w:r>
      <w:r w:rsidRPr="00EE0455">
        <w:rPr>
          <w:rFonts w:ascii="Times New Roman" w:hAnsi="Times New Roman" w:cs="Times New Roman"/>
          <w:i/>
          <w:color w:val="000000" w:themeColor="text1"/>
          <w:sz w:val="21"/>
          <w:szCs w:val="21"/>
          <w:vertAlign w:val="subscript"/>
        </w:rPr>
        <w:t>,eqv</w:t>
      </w:r>
      <w:r w:rsidRPr="00EE0455">
        <w:rPr>
          <w:rFonts w:ascii="Times New Roman" w:hAnsi="Times New Roman" w:cs="Times New Roman"/>
          <w:i/>
          <w:color w:val="000000" w:themeColor="text1"/>
          <w:sz w:val="21"/>
          <w:szCs w:val="21"/>
        </w:rPr>
        <w:t xml:space="preserve"> = Р</w:t>
      </w:r>
      <w:r w:rsidRPr="00EE0455">
        <w:rPr>
          <w:rFonts w:ascii="Times New Roman" w:hAnsi="Times New Roman" w:cs="Times New Roman"/>
          <w:i/>
          <w:color w:val="000000" w:themeColor="text1"/>
          <w:sz w:val="21"/>
          <w:szCs w:val="21"/>
          <w:vertAlign w:val="subscript"/>
        </w:rPr>
        <w:t>max</w:t>
      </w:r>
      <w:r w:rsidRPr="00EE0455">
        <w:rPr>
          <w:rFonts w:ascii="Times New Roman" w:hAnsi="Times New Roman" w:cs="Times New Roman"/>
          <w:i/>
          <w:color w:val="000000" w:themeColor="text1"/>
          <w:sz w:val="21"/>
          <w:szCs w:val="21"/>
        </w:rPr>
        <w:t xml:space="preserve"> К</w:t>
      </w:r>
      <w:r w:rsidRPr="00EE0455">
        <w:rPr>
          <w:rFonts w:ascii="Times New Roman" w:hAnsi="Times New Roman" w:cs="Times New Roman"/>
          <w:i/>
          <w:color w:val="000000" w:themeColor="text1"/>
          <w:sz w:val="21"/>
          <w:szCs w:val="21"/>
          <w:vertAlign w:val="subscript"/>
        </w:rPr>
        <w:t>Д</w:t>
      </w:r>
      <w:r w:rsidRPr="00EE0455">
        <w:rPr>
          <w:rFonts w:ascii="Times New Roman" w:hAnsi="Times New Roman" w:cs="Times New Roman"/>
          <w:i/>
          <w:color w:val="000000" w:themeColor="text1"/>
          <w:sz w:val="21"/>
          <w:szCs w:val="21"/>
        </w:rPr>
        <w:t xml:space="preserve"> К</w:t>
      </w:r>
      <w:r w:rsidRPr="00EE0455">
        <w:rPr>
          <w:rFonts w:ascii="Times New Roman" w:hAnsi="Times New Roman" w:cs="Times New Roman"/>
          <w:i/>
          <w:color w:val="000000" w:themeColor="text1"/>
          <w:sz w:val="21"/>
          <w:szCs w:val="21"/>
          <w:vertAlign w:val="subscript"/>
        </w:rPr>
        <w:t>о</w:t>
      </w:r>
      <w:r w:rsidRPr="00CA7C54">
        <w:rPr>
          <w:color w:val="000000" w:themeColor="text1"/>
          <w:sz w:val="21"/>
          <w:szCs w:val="21"/>
        </w:rPr>
        <w:t>,</w:t>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highlight w:val="white"/>
        </w:rPr>
        <w:tab/>
      </w:r>
      <w:r w:rsidRPr="00CA7C54">
        <w:rPr>
          <w:color w:val="000000" w:themeColor="text1"/>
          <w:sz w:val="21"/>
          <w:szCs w:val="21"/>
          <w:highlight w:val="white"/>
        </w:rPr>
        <w:tab/>
        <w:t>(14.2)</w:t>
      </w:r>
    </w:p>
    <w:p w14:paraId="180F9AC3" w14:textId="77777777" w:rsidR="00AA00BD" w:rsidRPr="00CA7C54" w:rsidRDefault="00AA00BD" w:rsidP="00AA00BD">
      <w:pPr>
        <w:pBdr>
          <w:top w:val="nil"/>
          <w:left w:val="nil"/>
          <w:bottom w:val="nil"/>
          <w:right w:val="nil"/>
          <w:between w:val="nil"/>
        </w:pBdr>
        <w:spacing w:before="0" w:line="288" w:lineRule="auto"/>
        <w:ind w:right="142" w:firstLine="0"/>
        <w:contextualSpacing/>
        <w:jc w:val="left"/>
        <w:rPr>
          <w:color w:val="000000" w:themeColor="text1"/>
          <w:sz w:val="21"/>
          <w:szCs w:val="21"/>
          <w:highlight w:val="white"/>
        </w:rPr>
      </w:pPr>
      <w:r w:rsidRPr="00CA7C54">
        <w:rPr>
          <w:color w:val="000000" w:themeColor="text1"/>
          <w:sz w:val="21"/>
          <w:szCs w:val="21"/>
        </w:rPr>
        <w:t>де</w:t>
      </w:r>
    </w:p>
    <w:p w14:paraId="29B0E6B6"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EE0455">
        <w:rPr>
          <w:rFonts w:ascii="Times New Roman" w:hAnsi="Times New Roman" w:cs="Times New Roman"/>
          <w:i/>
          <w:color w:val="000000" w:themeColor="text1"/>
          <w:sz w:val="21"/>
          <w:szCs w:val="21"/>
        </w:rPr>
        <w:t>Р</w:t>
      </w:r>
      <w:r w:rsidRPr="00EE0455">
        <w:rPr>
          <w:rFonts w:ascii="Times New Roman" w:hAnsi="Times New Roman" w:cs="Times New Roman"/>
          <w:i/>
          <w:color w:val="000000" w:themeColor="text1"/>
          <w:sz w:val="21"/>
          <w:szCs w:val="21"/>
          <w:vertAlign w:val="subscript"/>
        </w:rPr>
        <w:t>max</w:t>
      </w:r>
      <w:r w:rsidRPr="00CA7C54">
        <w:rPr>
          <w:color w:val="000000" w:themeColor="text1"/>
          <w:sz w:val="21"/>
          <w:szCs w:val="21"/>
        </w:rPr>
        <w:t xml:space="preserve"> – приведене горизонтальне навантаження, кПа, яке визначається згідно з 14.1.2.3, 14.1.2.6  цих </w:t>
      </w:r>
      <w:r w:rsidR="00576C10" w:rsidRPr="00CA7C54">
        <w:rPr>
          <w:color w:val="000000" w:themeColor="text1"/>
          <w:sz w:val="21"/>
          <w:szCs w:val="21"/>
        </w:rPr>
        <w:t>н</w:t>
      </w:r>
      <w:r w:rsidRPr="00CA7C54">
        <w:rPr>
          <w:color w:val="000000" w:themeColor="text1"/>
          <w:sz w:val="21"/>
          <w:szCs w:val="21"/>
        </w:rPr>
        <w:t>орм;</w:t>
      </w:r>
    </w:p>
    <w:p w14:paraId="028F8C9E"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highlight w:val="white"/>
        </w:rPr>
      </w:pPr>
      <w:r w:rsidRPr="00EE0455">
        <w:rPr>
          <w:rFonts w:ascii="Times New Roman" w:hAnsi="Times New Roman" w:cs="Times New Roman"/>
          <w:i/>
          <w:color w:val="000000" w:themeColor="text1"/>
          <w:sz w:val="21"/>
          <w:szCs w:val="21"/>
        </w:rPr>
        <w:t>К</w:t>
      </w:r>
      <w:r w:rsidRPr="00EE0455">
        <w:rPr>
          <w:rFonts w:ascii="Times New Roman" w:hAnsi="Times New Roman" w:cs="Times New Roman"/>
          <w:i/>
          <w:color w:val="000000" w:themeColor="text1"/>
          <w:sz w:val="21"/>
          <w:szCs w:val="21"/>
          <w:vertAlign w:val="subscript"/>
        </w:rPr>
        <w:t>Д</w:t>
      </w:r>
      <w:r w:rsidRPr="00EE0455">
        <w:rPr>
          <w:rFonts w:ascii="Times New Roman" w:hAnsi="Times New Roman" w:cs="Times New Roman"/>
          <w:color w:val="000000" w:themeColor="text1"/>
          <w:sz w:val="21"/>
          <w:szCs w:val="21"/>
        </w:rPr>
        <w:t xml:space="preserve"> </w:t>
      </w:r>
      <w:r w:rsidRPr="00CA7C54">
        <w:rPr>
          <w:color w:val="000000" w:themeColor="text1"/>
          <w:sz w:val="21"/>
          <w:szCs w:val="21"/>
        </w:rPr>
        <w:t>– коефіцієнт динамiчностi, який приймається за табли</w:t>
      </w:r>
      <w:r w:rsidRPr="00CA7C54">
        <w:rPr>
          <w:color w:val="000000" w:themeColor="text1"/>
          <w:sz w:val="21"/>
          <w:szCs w:val="21"/>
          <w:highlight w:val="white"/>
        </w:rPr>
        <w:t xml:space="preserve">цею 14.9 цих </w:t>
      </w:r>
      <w:r w:rsidR="00E72B41" w:rsidRPr="00CA7C54">
        <w:rPr>
          <w:color w:val="000000" w:themeColor="text1"/>
          <w:sz w:val="21"/>
          <w:szCs w:val="21"/>
          <w:highlight w:val="white"/>
        </w:rPr>
        <w:t>н</w:t>
      </w:r>
      <w:r w:rsidRPr="00CA7C54">
        <w:rPr>
          <w:color w:val="000000" w:themeColor="text1"/>
          <w:sz w:val="21"/>
          <w:szCs w:val="21"/>
          <w:highlight w:val="white"/>
        </w:rPr>
        <w:t>орм;</w:t>
      </w:r>
    </w:p>
    <w:p w14:paraId="58123B3A" w14:textId="77777777" w:rsidR="003C4E04" w:rsidRPr="00CA7C54" w:rsidRDefault="001E748C" w:rsidP="009461BC">
      <w:pPr>
        <w:pBdr>
          <w:top w:val="nil"/>
          <w:left w:val="nil"/>
          <w:bottom w:val="nil"/>
          <w:right w:val="nil"/>
          <w:between w:val="nil"/>
        </w:pBdr>
        <w:spacing w:before="0" w:line="288" w:lineRule="auto"/>
        <w:contextualSpacing/>
        <w:rPr>
          <w:color w:val="000000" w:themeColor="text1"/>
          <w:sz w:val="21"/>
          <w:szCs w:val="21"/>
        </w:rPr>
      </w:pPr>
      <w:r w:rsidRPr="00EE0455">
        <w:rPr>
          <w:rFonts w:ascii="Times New Roman" w:hAnsi="Times New Roman" w:cs="Times New Roman"/>
          <w:i/>
          <w:color w:val="000000" w:themeColor="text1"/>
          <w:sz w:val="21"/>
          <w:szCs w:val="21"/>
        </w:rPr>
        <w:t>К</w:t>
      </w:r>
      <w:r w:rsidRPr="00EE0455">
        <w:rPr>
          <w:rFonts w:ascii="Times New Roman" w:hAnsi="Times New Roman" w:cs="Times New Roman"/>
          <w:i/>
          <w:color w:val="000000" w:themeColor="text1"/>
          <w:sz w:val="21"/>
          <w:szCs w:val="21"/>
          <w:vertAlign w:val="subscript"/>
        </w:rPr>
        <w:t>о</w:t>
      </w:r>
      <w:r w:rsidRPr="00CA7C54">
        <w:rPr>
          <w:color w:val="000000" w:themeColor="text1"/>
          <w:sz w:val="21"/>
          <w:szCs w:val="21"/>
        </w:rPr>
        <w:t xml:space="preserve"> – коефіцієнт, який враховує зміну тиску на стiни за рахунок горизонтальної складової масової швидкостi часток грунту, затухання хвилi стиску з глибиною i зниження тиску за рахунок руху споруди та деформацiї стiн. Для заглиблених та обвалованих стін значення коефіцієнта Ко приймається рівним 0,8 при розрахунку за розрахунковою умовою ІА та 1,0 – за розрахунковою </w:t>
      </w:r>
      <w:r w:rsidRPr="00CA7C54">
        <w:rPr>
          <w:color w:val="000000" w:themeColor="text1"/>
          <w:sz w:val="21"/>
          <w:szCs w:val="21"/>
        </w:rPr>
        <w:lastRenderedPageBreak/>
        <w:t>умовою ІБ. Для необвалованих стін і стін, які розташовані у водонасичених грунтах, коефіцієнт Ко приймається рівним 1.</w:t>
      </w:r>
    </w:p>
    <w:p w14:paraId="4E76F1E5" w14:textId="0DFD8220" w:rsidR="003C4E04" w:rsidRPr="00CA7C54" w:rsidRDefault="001E748C" w:rsidP="009461BC">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rPr>
        <w:t>14.1.3.5</w:t>
      </w:r>
      <w:r w:rsidRPr="00CA7C54">
        <w:rPr>
          <w:color w:val="000000" w:themeColor="text1"/>
          <w:sz w:val="21"/>
          <w:szCs w:val="21"/>
        </w:rPr>
        <w:t xml:space="preserve"> Вертикальне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 на стрiчковi та окремо розташованi фундаменти слiд приймати рiвним приведеному навантаженню, яке визначається </w:t>
      </w:r>
      <w:r w:rsidRPr="00CA7C54">
        <w:rPr>
          <w:color w:val="000000" w:themeColor="text1"/>
          <w:sz w:val="21"/>
          <w:szCs w:val="21"/>
          <w:highlight w:val="white"/>
        </w:rPr>
        <w:t xml:space="preserve">згiдно з 14.1.2.5 цих </w:t>
      </w:r>
      <w:r w:rsidR="00E72B41" w:rsidRPr="00CA7C54">
        <w:rPr>
          <w:color w:val="000000" w:themeColor="text1"/>
          <w:sz w:val="21"/>
          <w:szCs w:val="21"/>
          <w:highlight w:val="white"/>
        </w:rPr>
        <w:t>н</w:t>
      </w:r>
      <w:r w:rsidRPr="00CA7C54">
        <w:rPr>
          <w:color w:val="000000" w:themeColor="text1"/>
          <w:sz w:val="21"/>
          <w:szCs w:val="21"/>
          <w:highlight w:val="white"/>
        </w:rPr>
        <w:t xml:space="preserve">орм помноженому на коефiцiєнт динамiчностi </w:t>
      </w:r>
      <w:r w:rsidRPr="00CA7C54">
        <w:rPr>
          <w:i/>
          <w:color w:val="000000" w:themeColor="text1"/>
          <w:sz w:val="21"/>
          <w:szCs w:val="21"/>
          <w:highlight w:val="white"/>
        </w:rPr>
        <w:t>К</w:t>
      </w:r>
      <w:r w:rsidRPr="00CA7C54">
        <w:rPr>
          <w:i/>
          <w:color w:val="000000" w:themeColor="text1"/>
          <w:sz w:val="21"/>
          <w:szCs w:val="21"/>
          <w:highlight w:val="white"/>
          <w:vertAlign w:val="subscript"/>
        </w:rPr>
        <w:t>Д</w:t>
      </w:r>
      <w:r w:rsidRPr="00CA7C54">
        <w:rPr>
          <w:color w:val="000000" w:themeColor="text1"/>
          <w:sz w:val="21"/>
          <w:szCs w:val="21"/>
          <w:highlight w:val="white"/>
        </w:rPr>
        <w:t xml:space="preserve">, визначений згідно з </w:t>
      </w:r>
      <w:r w:rsidR="001F3728">
        <w:rPr>
          <w:color w:val="000000" w:themeColor="text1"/>
          <w:sz w:val="21"/>
          <w:szCs w:val="21"/>
          <w:highlight w:val="white"/>
        </w:rPr>
        <w:t xml:space="preserve">          </w:t>
      </w:r>
      <w:r w:rsidRPr="00CA7C54">
        <w:rPr>
          <w:color w:val="000000" w:themeColor="text1"/>
          <w:sz w:val="21"/>
          <w:szCs w:val="21"/>
          <w:highlight w:val="white"/>
        </w:rPr>
        <w:t>таблицею 14.10.</w:t>
      </w:r>
    </w:p>
    <w:p w14:paraId="442AB628" w14:textId="77777777" w:rsidR="003C4E04" w:rsidRPr="00CA7C54" w:rsidRDefault="001E748C" w:rsidP="009461BC">
      <w:pPr>
        <w:pBdr>
          <w:top w:val="nil"/>
          <w:left w:val="nil"/>
          <w:bottom w:val="nil"/>
          <w:right w:val="nil"/>
          <w:between w:val="nil"/>
        </w:pBdr>
        <w:spacing w:before="0" w:after="60" w:line="288" w:lineRule="auto"/>
        <w:contextualSpacing/>
        <w:rPr>
          <w:color w:val="000000" w:themeColor="text1"/>
          <w:sz w:val="21"/>
          <w:szCs w:val="21"/>
          <w:highlight w:val="white"/>
        </w:rPr>
      </w:pPr>
      <w:r w:rsidRPr="00CA7C54">
        <w:rPr>
          <w:color w:val="000000" w:themeColor="text1"/>
          <w:sz w:val="21"/>
          <w:szCs w:val="21"/>
          <w:highlight w:val="white"/>
        </w:rPr>
        <w:t xml:space="preserve">При розрахунку суцiльних фундаментних плит вертикальне квазістатичне навантаження приймати рiвним приведеному навантаженню, яке визначається за 14.1.2.5 цих </w:t>
      </w:r>
      <w:r w:rsidR="00E72B41" w:rsidRPr="00CA7C54">
        <w:rPr>
          <w:color w:val="000000" w:themeColor="text1"/>
          <w:sz w:val="21"/>
          <w:szCs w:val="21"/>
          <w:highlight w:val="white"/>
        </w:rPr>
        <w:t>н</w:t>
      </w:r>
      <w:r w:rsidRPr="00CA7C54">
        <w:rPr>
          <w:color w:val="000000" w:themeColor="text1"/>
          <w:sz w:val="21"/>
          <w:szCs w:val="21"/>
          <w:highlight w:val="white"/>
        </w:rPr>
        <w:t xml:space="preserve">орм, помноженому на коефіцієнт динамічності </w:t>
      </w:r>
      <w:r w:rsidRPr="00CA7C54">
        <w:rPr>
          <w:i/>
          <w:color w:val="000000" w:themeColor="text1"/>
          <w:sz w:val="21"/>
          <w:szCs w:val="21"/>
          <w:highlight w:val="white"/>
        </w:rPr>
        <w:t>К</w:t>
      </w:r>
      <w:r w:rsidRPr="00CA7C54">
        <w:rPr>
          <w:i/>
          <w:color w:val="000000" w:themeColor="text1"/>
          <w:sz w:val="21"/>
          <w:szCs w:val="21"/>
          <w:highlight w:val="white"/>
          <w:vertAlign w:val="subscript"/>
        </w:rPr>
        <w:t>Д</w:t>
      </w:r>
      <w:r w:rsidRPr="00CA7C54">
        <w:rPr>
          <w:color w:val="000000" w:themeColor="text1"/>
          <w:sz w:val="21"/>
          <w:szCs w:val="21"/>
          <w:highlight w:val="white"/>
        </w:rPr>
        <w:t>, який приймається згiдно з таблицею 14.11</w:t>
      </w:r>
    </w:p>
    <w:p w14:paraId="359AFFD0"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t xml:space="preserve">Таблиця 14.9 </w:t>
      </w:r>
      <w:r w:rsidRPr="00CA7C54">
        <w:rPr>
          <w:color w:val="000000" w:themeColor="text1"/>
          <w:sz w:val="21"/>
          <w:szCs w:val="21"/>
          <w:highlight w:val="white"/>
        </w:rPr>
        <w:t>–Коефіцієнт К</w:t>
      </w:r>
      <w:r w:rsidRPr="00CA7C54">
        <w:rPr>
          <w:color w:val="000000" w:themeColor="text1"/>
          <w:sz w:val="21"/>
          <w:szCs w:val="21"/>
          <w:highlight w:val="white"/>
          <w:vertAlign w:val="subscript"/>
        </w:rPr>
        <w:t>д</w:t>
      </w:r>
      <w:r w:rsidRPr="00CA7C54">
        <w:rPr>
          <w:color w:val="000000" w:themeColor="text1"/>
          <w:sz w:val="21"/>
          <w:szCs w:val="21"/>
          <w:highlight w:val="white"/>
        </w:rPr>
        <w:t xml:space="preserve"> для стін</w:t>
      </w:r>
    </w:p>
    <w:tbl>
      <w:tblPr>
        <w:tblStyle w:val="affffffffffffffffffffffffffffffff3"/>
        <w:tblW w:w="0" w:type="auto"/>
        <w:tblLayout w:type="fixed"/>
        <w:tblLook w:val="0000" w:firstRow="0" w:lastRow="0" w:firstColumn="0" w:lastColumn="0" w:noHBand="0" w:noVBand="0"/>
      </w:tblPr>
      <w:tblGrid>
        <w:gridCol w:w="2584"/>
        <w:gridCol w:w="1906"/>
        <w:gridCol w:w="2049"/>
        <w:gridCol w:w="1602"/>
        <w:gridCol w:w="1487"/>
      </w:tblGrid>
      <w:tr w:rsidR="00CA7C54" w:rsidRPr="00CA7C54" w14:paraId="168ABD02" w14:textId="77777777" w:rsidTr="00197F09">
        <w:trPr>
          <w:trHeight w:val="136"/>
        </w:trPr>
        <w:tc>
          <w:tcPr>
            <w:tcW w:w="2584" w:type="dxa"/>
            <w:vMerge w:val="restart"/>
            <w:tcBorders>
              <w:top w:val="single" w:sz="4" w:space="0" w:color="000000"/>
              <w:left w:val="single" w:sz="4" w:space="0" w:color="000000"/>
            </w:tcBorders>
            <w:shd w:val="clear" w:color="auto" w:fill="auto"/>
          </w:tcPr>
          <w:p w14:paraId="16549BE4"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Розрахункові умови</w:t>
            </w:r>
          </w:p>
        </w:tc>
        <w:tc>
          <w:tcPr>
            <w:tcW w:w="7044" w:type="dxa"/>
            <w:gridSpan w:val="4"/>
            <w:tcBorders>
              <w:top w:val="single" w:sz="4" w:space="0" w:color="000000"/>
              <w:left w:val="single" w:sz="4" w:space="0" w:color="000000"/>
              <w:bottom w:val="single" w:sz="4" w:space="0" w:color="000000"/>
              <w:right w:val="single" w:sz="4" w:space="0" w:color="000000"/>
            </w:tcBorders>
            <w:shd w:val="clear" w:color="auto" w:fill="auto"/>
          </w:tcPr>
          <w:p w14:paraId="46ED3EB0"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Коефіцієнт К</w:t>
            </w:r>
            <w:r w:rsidRPr="00CA7C54">
              <w:rPr>
                <w:rFonts w:ascii="Arial" w:hAnsi="Arial" w:cs="Arial"/>
                <w:b/>
                <w:color w:val="000000" w:themeColor="text1"/>
                <w:sz w:val="20"/>
                <w:szCs w:val="20"/>
                <w:highlight w:val="white"/>
                <w:vertAlign w:val="subscript"/>
              </w:rPr>
              <w:t>д</w:t>
            </w:r>
            <w:r w:rsidRPr="00CA7C54">
              <w:rPr>
                <w:rFonts w:ascii="Arial" w:hAnsi="Arial" w:cs="Arial"/>
                <w:b/>
                <w:color w:val="000000" w:themeColor="text1"/>
                <w:sz w:val="20"/>
                <w:szCs w:val="20"/>
                <w:highlight w:val="white"/>
              </w:rPr>
              <w:t xml:space="preserve"> для стін</w:t>
            </w:r>
          </w:p>
        </w:tc>
      </w:tr>
      <w:tr w:rsidR="00CA7C54" w:rsidRPr="00CA7C54" w14:paraId="0CF641BB" w14:textId="77777777" w:rsidTr="00197F09">
        <w:tc>
          <w:tcPr>
            <w:tcW w:w="2584" w:type="dxa"/>
            <w:vMerge/>
            <w:tcBorders>
              <w:top w:val="single" w:sz="4" w:space="0" w:color="000000"/>
              <w:left w:val="single" w:sz="4" w:space="0" w:color="000000"/>
            </w:tcBorders>
            <w:shd w:val="clear" w:color="auto" w:fill="auto"/>
          </w:tcPr>
          <w:p w14:paraId="6381ABBF" w14:textId="77777777" w:rsidR="003C4E04" w:rsidRPr="00CA7C54" w:rsidRDefault="003C4E04" w:rsidP="00197F09">
            <w:pPr>
              <w:widowControl w:val="0"/>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p>
        </w:tc>
        <w:tc>
          <w:tcPr>
            <w:tcW w:w="1906" w:type="dxa"/>
            <w:vMerge w:val="restart"/>
            <w:tcBorders>
              <w:top w:val="single" w:sz="4" w:space="0" w:color="000000"/>
              <w:left w:val="single" w:sz="4" w:space="0" w:color="000000"/>
              <w:bottom w:val="single" w:sz="4" w:space="0" w:color="000000"/>
            </w:tcBorders>
            <w:shd w:val="clear" w:color="auto" w:fill="auto"/>
          </w:tcPr>
          <w:p w14:paraId="00A6BD2B"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Заглиблених, обвалованих та таких, що примикають до приміщень підвалів (схеми «а», «б», «в», «г», «е», «к»</w:t>
            </w:r>
            <w:r w:rsidRPr="00CA7C54">
              <w:rPr>
                <w:rFonts w:ascii="Arial" w:hAnsi="Arial" w:cs="Arial"/>
                <w:b/>
                <w:color w:val="000000" w:themeColor="text1"/>
                <w:sz w:val="20"/>
                <w:szCs w:val="20"/>
                <w:highlight w:val="white"/>
              </w:rPr>
              <w:br/>
              <w:t>рисунку 13.1)</w:t>
            </w:r>
          </w:p>
        </w:tc>
        <w:tc>
          <w:tcPr>
            <w:tcW w:w="2049" w:type="dxa"/>
            <w:vMerge w:val="restart"/>
            <w:tcBorders>
              <w:top w:val="single" w:sz="4" w:space="0" w:color="000000"/>
              <w:left w:val="single" w:sz="4" w:space="0" w:color="000000"/>
              <w:bottom w:val="single" w:sz="4" w:space="0" w:color="000000"/>
            </w:tcBorders>
            <w:shd w:val="clear" w:color="auto" w:fill="auto"/>
          </w:tcPr>
          <w:p w14:paraId="17B3DAFD"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Суміщених з зовнішніми стінами першого або цокольного поверхів (схеми «д», «ж»</w:t>
            </w:r>
            <w:r w:rsidRPr="00CA7C54">
              <w:rPr>
                <w:rFonts w:ascii="Arial" w:hAnsi="Arial" w:cs="Arial"/>
                <w:b/>
                <w:color w:val="000000" w:themeColor="text1"/>
                <w:sz w:val="20"/>
                <w:szCs w:val="20"/>
                <w:highlight w:val="white"/>
              </w:rPr>
              <w:br/>
              <w:t>рисунку 13.1)</w:t>
            </w:r>
          </w:p>
        </w:tc>
        <w:tc>
          <w:tcPr>
            <w:tcW w:w="3089" w:type="dxa"/>
            <w:gridSpan w:val="2"/>
            <w:tcBorders>
              <w:top w:val="single" w:sz="4" w:space="0" w:color="000000"/>
              <w:left w:val="single" w:sz="4" w:space="0" w:color="000000"/>
              <w:bottom w:val="single" w:sz="4" w:space="0" w:color="000000"/>
              <w:right w:val="single" w:sz="4" w:space="0" w:color="000000"/>
            </w:tcBorders>
            <w:shd w:val="clear" w:color="auto" w:fill="auto"/>
          </w:tcPr>
          <w:p w14:paraId="69E4D082"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які знаходяться всередині приміщень з</w:t>
            </w:r>
          </w:p>
          <w:p w14:paraId="0A200434"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площею отворів, %</w:t>
            </w:r>
          </w:p>
          <w:p w14:paraId="094DE927"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(схеми «з», «й», рисунку 13.1)</w:t>
            </w:r>
          </w:p>
        </w:tc>
      </w:tr>
      <w:tr w:rsidR="00CA7C54" w:rsidRPr="00CA7C54" w14:paraId="5797FB93" w14:textId="77777777" w:rsidTr="00197F09">
        <w:trPr>
          <w:trHeight w:val="748"/>
        </w:trPr>
        <w:tc>
          <w:tcPr>
            <w:tcW w:w="2584" w:type="dxa"/>
            <w:vMerge/>
            <w:tcBorders>
              <w:top w:val="single" w:sz="4" w:space="0" w:color="000000"/>
              <w:left w:val="single" w:sz="4" w:space="0" w:color="000000"/>
            </w:tcBorders>
            <w:shd w:val="clear" w:color="auto" w:fill="auto"/>
          </w:tcPr>
          <w:p w14:paraId="5E445E20" w14:textId="77777777" w:rsidR="003C4E04" w:rsidRPr="00CA7C54" w:rsidRDefault="003C4E04" w:rsidP="00197F09">
            <w:pPr>
              <w:widowControl w:val="0"/>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p>
        </w:tc>
        <w:tc>
          <w:tcPr>
            <w:tcW w:w="1906" w:type="dxa"/>
            <w:vMerge/>
            <w:tcBorders>
              <w:top w:val="single" w:sz="4" w:space="0" w:color="000000"/>
              <w:left w:val="single" w:sz="4" w:space="0" w:color="000000"/>
              <w:bottom w:val="single" w:sz="4" w:space="0" w:color="000000"/>
            </w:tcBorders>
            <w:shd w:val="clear" w:color="auto" w:fill="auto"/>
          </w:tcPr>
          <w:p w14:paraId="7FDBDE7E" w14:textId="77777777" w:rsidR="003C4E04" w:rsidRPr="00CA7C54" w:rsidRDefault="003C4E04" w:rsidP="00197F09">
            <w:pPr>
              <w:widowControl w:val="0"/>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p>
        </w:tc>
        <w:tc>
          <w:tcPr>
            <w:tcW w:w="2049" w:type="dxa"/>
            <w:vMerge/>
            <w:tcBorders>
              <w:top w:val="single" w:sz="4" w:space="0" w:color="000000"/>
              <w:left w:val="single" w:sz="4" w:space="0" w:color="000000"/>
              <w:bottom w:val="single" w:sz="4" w:space="0" w:color="000000"/>
            </w:tcBorders>
            <w:shd w:val="clear" w:color="auto" w:fill="auto"/>
          </w:tcPr>
          <w:p w14:paraId="30F3850E" w14:textId="77777777" w:rsidR="003C4E04" w:rsidRPr="00CA7C54" w:rsidRDefault="003C4E04" w:rsidP="00197F09">
            <w:pPr>
              <w:widowControl w:val="0"/>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p>
        </w:tc>
        <w:tc>
          <w:tcPr>
            <w:tcW w:w="1602" w:type="dxa"/>
            <w:tcBorders>
              <w:top w:val="single" w:sz="4" w:space="0" w:color="000000"/>
              <w:left w:val="single" w:sz="4" w:space="0" w:color="000000"/>
              <w:bottom w:val="single" w:sz="4" w:space="0" w:color="000000"/>
            </w:tcBorders>
            <w:shd w:val="clear" w:color="auto" w:fill="auto"/>
          </w:tcPr>
          <w:p w14:paraId="0944388A"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Менше 50%</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14:paraId="1939C06E"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Більше 50%</w:t>
            </w:r>
          </w:p>
        </w:tc>
      </w:tr>
      <w:tr w:rsidR="00CA7C54" w:rsidRPr="00CA7C54" w14:paraId="37D81326" w14:textId="77777777" w:rsidTr="00CA2158">
        <w:trPr>
          <w:trHeight w:val="181"/>
        </w:trPr>
        <w:tc>
          <w:tcPr>
            <w:tcW w:w="2584" w:type="dxa"/>
            <w:tcBorders>
              <w:top w:val="single" w:sz="4" w:space="0" w:color="000000"/>
              <w:left w:val="single" w:sz="4" w:space="0" w:color="000000"/>
              <w:bottom w:val="single" w:sz="4" w:space="0" w:color="000000"/>
            </w:tcBorders>
            <w:shd w:val="clear" w:color="auto" w:fill="auto"/>
          </w:tcPr>
          <w:p w14:paraId="7C9B1868"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Розрахункова умова ІА</w:t>
            </w:r>
          </w:p>
        </w:tc>
        <w:tc>
          <w:tcPr>
            <w:tcW w:w="1906" w:type="dxa"/>
            <w:tcBorders>
              <w:top w:val="single" w:sz="4" w:space="0" w:color="000000"/>
              <w:left w:val="single" w:sz="4" w:space="0" w:color="000000"/>
              <w:bottom w:val="single" w:sz="4" w:space="0" w:color="000000"/>
            </w:tcBorders>
            <w:shd w:val="clear" w:color="auto" w:fill="auto"/>
          </w:tcPr>
          <w:p w14:paraId="65043E19"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c>
          <w:tcPr>
            <w:tcW w:w="2049" w:type="dxa"/>
            <w:tcBorders>
              <w:top w:val="single" w:sz="4" w:space="0" w:color="000000"/>
              <w:left w:val="single" w:sz="4" w:space="0" w:color="000000"/>
              <w:bottom w:val="single" w:sz="4" w:space="0" w:color="000000"/>
            </w:tcBorders>
            <w:shd w:val="clear" w:color="auto" w:fill="auto"/>
          </w:tcPr>
          <w:p w14:paraId="6ECF29B5"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1,3</w:t>
            </w:r>
          </w:p>
        </w:tc>
        <w:tc>
          <w:tcPr>
            <w:tcW w:w="1602" w:type="dxa"/>
            <w:tcBorders>
              <w:top w:val="single" w:sz="4" w:space="0" w:color="000000"/>
              <w:left w:val="single" w:sz="4" w:space="0" w:color="000000"/>
              <w:bottom w:val="single" w:sz="4" w:space="0" w:color="000000"/>
            </w:tcBorders>
            <w:shd w:val="clear" w:color="auto" w:fill="auto"/>
          </w:tcPr>
          <w:p w14:paraId="1C8002C9"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1,1</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14:paraId="75F7A093"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1,3</w:t>
            </w:r>
          </w:p>
        </w:tc>
      </w:tr>
      <w:tr w:rsidR="00CA7C54" w:rsidRPr="00CA7C54" w14:paraId="2DE81283" w14:textId="77777777" w:rsidTr="00197F09">
        <w:trPr>
          <w:trHeight w:val="287"/>
        </w:trPr>
        <w:tc>
          <w:tcPr>
            <w:tcW w:w="2584" w:type="dxa"/>
            <w:tcBorders>
              <w:top w:val="single" w:sz="4" w:space="0" w:color="000000"/>
              <w:left w:val="single" w:sz="4" w:space="0" w:color="000000"/>
              <w:bottom w:val="single" w:sz="4" w:space="0" w:color="000000"/>
            </w:tcBorders>
            <w:shd w:val="clear" w:color="auto" w:fill="auto"/>
          </w:tcPr>
          <w:p w14:paraId="77637A6F"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Розрахункова умова ІБ</w:t>
            </w:r>
          </w:p>
        </w:tc>
        <w:tc>
          <w:tcPr>
            <w:tcW w:w="1906" w:type="dxa"/>
            <w:tcBorders>
              <w:top w:val="single" w:sz="4" w:space="0" w:color="000000"/>
              <w:left w:val="single" w:sz="4" w:space="0" w:color="000000"/>
              <w:bottom w:val="single" w:sz="4" w:space="0" w:color="000000"/>
            </w:tcBorders>
            <w:shd w:val="clear" w:color="auto" w:fill="auto"/>
          </w:tcPr>
          <w:p w14:paraId="3E5CE82A"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c>
          <w:tcPr>
            <w:tcW w:w="2049" w:type="dxa"/>
            <w:tcBorders>
              <w:top w:val="single" w:sz="4" w:space="0" w:color="000000"/>
              <w:left w:val="single" w:sz="4" w:space="0" w:color="000000"/>
              <w:bottom w:val="single" w:sz="4" w:space="0" w:color="000000"/>
            </w:tcBorders>
            <w:shd w:val="clear" w:color="auto" w:fill="auto"/>
          </w:tcPr>
          <w:p w14:paraId="0D436635"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1,7</w:t>
            </w:r>
          </w:p>
        </w:tc>
        <w:tc>
          <w:tcPr>
            <w:tcW w:w="1602" w:type="dxa"/>
            <w:tcBorders>
              <w:top w:val="single" w:sz="4" w:space="0" w:color="000000"/>
              <w:left w:val="single" w:sz="4" w:space="0" w:color="000000"/>
              <w:bottom w:val="single" w:sz="4" w:space="0" w:color="000000"/>
            </w:tcBorders>
            <w:shd w:val="clear" w:color="auto" w:fill="auto"/>
          </w:tcPr>
          <w:p w14:paraId="6DB4B5A6"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1,4</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14:paraId="48A99C90"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1,7</w:t>
            </w:r>
          </w:p>
        </w:tc>
      </w:tr>
      <w:tr w:rsidR="003C4E04" w:rsidRPr="00CA7C54" w14:paraId="253426A8" w14:textId="77777777" w:rsidTr="00C07081">
        <w:trPr>
          <w:trHeight w:val="2328"/>
        </w:trPr>
        <w:tc>
          <w:tcPr>
            <w:tcW w:w="9628" w:type="dxa"/>
            <w:gridSpan w:val="5"/>
            <w:tcBorders>
              <w:top w:val="single" w:sz="4" w:space="0" w:color="000000"/>
              <w:left w:val="single" w:sz="4" w:space="0" w:color="000000"/>
              <w:bottom w:val="single" w:sz="4" w:space="0" w:color="000000"/>
              <w:right w:val="single" w:sz="4" w:space="0" w:color="000000"/>
            </w:tcBorders>
            <w:shd w:val="clear" w:color="auto" w:fill="auto"/>
          </w:tcPr>
          <w:p w14:paraId="3B1AE908" w14:textId="77777777" w:rsidR="003C4E04" w:rsidRPr="00CA7C54" w:rsidRDefault="001E748C" w:rsidP="00C07081">
            <w:pPr>
              <w:pBdr>
                <w:top w:val="nil"/>
                <w:left w:val="nil"/>
                <w:bottom w:val="nil"/>
                <w:right w:val="nil"/>
                <w:between w:val="nil"/>
              </w:pBdr>
              <w:spacing w:before="0" w:line="240" w:lineRule="auto"/>
              <w:ind w:left="1310" w:hanging="131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Примiтка 1.</w:t>
            </w:r>
            <w:r w:rsidRPr="00CA7C54">
              <w:rPr>
                <w:rFonts w:ascii="Arial" w:hAnsi="Arial" w:cs="Arial"/>
                <w:color w:val="000000" w:themeColor="text1"/>
                <w:sz w:val="20"/>
                <w:szCs w:val="20"/>
                <w:highlight w:val="white"/>
              </w:rPr>
              <w:t xml:space="preserve"> Для стiн захисних споруд та СПП, якi знаходяться всерединi примiщень з легкоруйнiвними конструкцiями, коефiцiєнти динамiчностi </w:t>
            </w:r>
            <w:r w:rsidRPr="00CA7C54">
              <w:rPr>
                <w:rFonts w:ascii="Arial" w:hAnsi="Arial" w:cs="Arial"/>
                <w:i/>
                <w:color w:val="000000" w:themeColor="text1"/>
                <w:sz w:val="20"/>
                <w:szCs w:val="20"/>
                <w:highlight w:val="white"/>
              </w:rPr>
              <w:t>К</w:t>
            </w:r>
            <w:r w:rsidRPr="00CA7C54">
              <w:rPr>
                <w:rFonts w:ascii="Arial" w:hAnsi="Arial" w:cs="Arial"/>
                <w:i/>
                <w:color w:val="000000" w:themeColor="text1"/>
                <w:sz w:val="20"/>
                <w:szCs w:val="20"/>
                <w:highlight w:val="white"/>
                <w:vertAlign w:val="subscript"/>
              </w:rPr>
              <w:t>д</w:t>
            </w:r>
            <w:r w:rsidRPr="00CA7C54">
              <w:rPr>
                <w:rFonts w:ascii="Arial" w:hAnsi="Arial" w:cs="Arial"/>
                <w:color w:val="000000" w:themeColor="text1"/>
                <w:sz w:val="20"/>
                <w:szCs w:val="20"/>
                <w:highlight w:val="white"/>
              </w:rPr>
              <w:t>приймаються тi самi, що i для стiн захисних споруд, якi знаходяться всерединi примiщень з площею отворiв бiльше 50%.</w:t>
            </w:r>
          </w:p>
          <w:p w14:paraId="126AAFA6" w14:textId="77777777" w:rsidR="003C4E04" w:rsidRPr="00CA7C54" w:rsidRDefault="001E748C" w:rsidP="00C07081">
            <w:pPr>
              <w:pBdr>
                <w:top w:val="nil"/>
                <w:left w:val="nil"/>
                <w:bottom w:val="nil"/>
                <w:right w:val="nil"/>
                <w:between w:val="nil"/>
              </w:pBdr>
              <w:spacing w:before="0" w:line="240" w:lineRule="auto"/>
              <w:ind w:left="1310" w:hanging="131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Примiтка 2.</w:t>
            </w:r>
            <w:r w:rsidRPr="00CA7C54">
              <w:rPr>
                <w:rFonts w:ascii="Arial" w:hAnsi="Arial" w:cs="Arial"/>
                <w:color w:val="000000" w:themeColor="text1"/>
                <w:sz w:val="20"/>
                <w:szCs w:val="20"/>
                <w:highlight w:val="white"/>
              </w:rPr>
              <w:t xml:space="preserve"> При типовому про</w:t>
            </w:r>
            <w:r w:rsidR="00576C10" w:rsidRPr="00CA7C54">
              <w:rPr>
                <w:rFonts w:ascii="Arial" w:hAnsi="Arial" w:cs="Arial"/>
                <w:color w:val="000000" w:themeColor="text1"/>
                <w:sz w:val="20"/>
                <w:szCs w:val="20"/>
                <w:highlight w:val="white"/>
              </w:rPr>
              <w:t>є</w:t>
            </w:r>
            <w:r w:rsidRPr="00CA7C54">
              <w:rPr>
                <w:rFonts w:ascii="Arial" w:hAnsi="Arial" w:cs="Arial"/>
                <w:color w:val="000000" w:themeColor="text1"/>
                <w:sz w:val="20"/>
                <w:szCs w:val="20"/>
                <w:highlight w:val="white"/>
              </w:rPr>
              <w:t>ктуваннi вбудованих у перший поверх захисних споруд та СПП площу отворiв у спорудах слiд приймати бiльше 50%.</w:t>
            </w:r>
          </w:p>
          <w:p w14:paraId="21E141AF" w14:textId="77777777" w:rsidR="003C4E04" w:rsidRPr="00CA7C54" w:rsidRDefault="001E748C" w:rsidP="00C07081">
            <w:pPr>
              <w:pBdr>
                <w:top w:val="nil"/>
                <w:left w:val="nil"/>
                <w:bottom w:val="nil"/>
                <w:right w:val="nil"/>
                <w:between w:val="nil"/>
              </w:pBdr>
              <w:spacing w:before="0" w:line="240" w:lineRule="auto"/>
              <w:ind w:left="1310" w:hanging="131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 xml:space="preserve">Примiтка 3. </w:t>
            </w:r>
            <w:r w:rsidRPr="00CA7C54">
              <w:rPr>
                <w:rFonts w:ascii="Arial" w:hAnsi="Arial" w:cs="Arial"/>
                <w:color w:val="000000" w:themeColor="text1"/>
                <w:sz w:val="20"/>
                <w:szCs w:val="20"/>
                <w:highlight w:val="white"/>
              </w:rPr>
              <w:t>Визначення розрахункових умов ІА і ІБ див. примітки таблиці 14.8.</w:t>
            </w:r>
          </w:p>
          <w:p w14:paraId="59A189E6" w14:textId="77777777" w:rsidR="003C4E04" w:rsidRPr="00CA7C54" w:rsidRDefault="001E748C" w:rsidP="00C07081">
            <w:pPr>
              <w:pBdr>
                <w:top w:val="nil"/>
                <w:left w:val="nil"/>
                <w:bottom w:val="nil"/>
                <w:right w:val="nil"/>
                <w:between w:val="nil"/>
              </w:pBdr>
              <w:spacing w:before="0" w:line="240" w:lineRule="auto"/>
              <w:ind w:left="1310" w:hanging="131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Примітка 4.</w:t>
            </w:r>
            <w:r w:rsidRPr="00CA7C54">
              <w:rPr>
                <w:rFonts w:ascii="Arial" w:hAnsi="Arial" w:cs="Arial"/>
                <w:color w:val="000000" w:themeColor="text1"/>
                <w:sz w:val="20"/>
                <w:szCs w:val="20"/>
                <w:highlight w:val="white"/>
              </w:rPr>
              <w:t xml:space="preserve"> Площу отворів в огороджуючих конструкціях визначають з урахуванням площі потенційно відкритих для дії вибуху отворів: вікна, двері, технологічні отвори інженерних комунікацій (вентиляція, димовидалення тощо)</w:t>
            </w:r>
          </w:p>
        </w:tc>
      </w:tr>
    </w:tbl>
    <w:p w14:paraId="5CBBB64C" w14:textId="77777777" w:rsidR="003C4E04" w:rsidRPr="00CA7C54" w:rsidRDefault="003C4E04" w:rsidP="00C07081">
      <w:pPr>
        <w:pBdr>
          <w:top w:val="nil"/>
          <w:left w:val="nil"/>
          <w:bottom w:val="nil"/>
          <w:right w:val="nil"/>
          <w:between w:val="nil"/>
        </w:pBdr>
        <w:spacing w:before="0" w:after="60" w:line="288" w:lineRule="auto"/>
        <w:ind w:right="141" w:firstLine="0"/>
        <w:contextualSpacing/>
        <w:rPr>
          <w:b/>
          <w:color w:val="000000" w:themeColor="text1"/>
          <w:sz w:val="21"/>
          <w:szCs w:val="21"/>
          <w:highlight w:val="white"/>
        </w:rPr>
      </w:pPr>
    </w:p>
    <w:p w14:paraId="284D7573" w14:textId="77777777" w:rsidR="003C4E04" w:rsidRPr="00CA7C54" w:rsidRDefault="001E748C" w:rsidP="009461BC">
      <w:pPr>
        <w:pBdr>
          <w:top w:val="nil"/>
          <w:left w:val="nil"/>
          <w:bottom w:val="nil"/>
          <w:right w:val="nil"/>
          <w:between w:val="nil"/>
        </w:pBdr>
        <w:spacing w:before="0" w:after="60" w:line="288" w:lineRule="auto"/>
        <w:ind w:right="142" w:firstLine="0"/>
        <w:contextualSpacing/>
        <w:rPr>
          <w:color w:val="000000" w:themeColor="text1"/>
          <w:sz w:val="21"/>
          <w:szCs w:val="21"/>
          <w:highlight w:val="white"/>
        </w:rPr>
      </w:pPr>
      <w:r w:rsidRPr="00CA7C54">
        <w:rPr>
          <w:b/>
          <w:color w:val="000000" w:themeColor="text1"/>
          <w:sz w:val="21"/>
          <w:szCs w:val="21"/>
          <w:highlight w:val="white"/>
        </w:rPr>
        <w:t xml:space="preserve">Таблиця 14.10 </w:t>
      </w:r>
      <w:r w:rsidRPr="00CA7C54">
        <w:rPr>
          <w:color w:val="000000" w:themeColor="text1"/>
          <w:sz w:val="21"/>
          <w:szCs w:val="21"/>
          <w:highlight w:val="white"/>
        </w:rPr>
        <w:t>–Коефіцієнт динамічності К</w:t>
      </w:r>
      <w:r w:rsidRPr="00CA7C54">
        <w:rPr>
          <w:color w:val="000000" w:themeColor="text1"/>
          <w:sz w:val="21"/>
          <w:szCs w:val="21"/>
          <w:highlight w:val="white"/>
          <w:vertAlign w:val="subscript"/>
        </w:rPr>
        <w:t>д</w:t>
      </w:r>
      <w:r w:rsidRPr="00CA7C54">
        <w:rPr>
          <w:color w:val="000000" w:themeColor="text1"/>
          <w:sz w:val="21"/>
          <w:szCs w:val="21"/>
          <w:highlight w:val="white"/>
        </w:rPr>
        <w:t xml:space="preserve"> для навантаження на стрічкові та окремо розташовані фундаменти</w:t>
      </w:r>
    </w:p>
    <w:tbl>
      <w:tblPr>
        <w:tblStyle w:val="affffffffffffffffffffffffffffffff4"/>
        <w:tblW w:w="9498" w:type="dxa"/>
        <w:tblInd w:w="-5" w:type="dxa"/>
        <w:tblLayout w:type="fixed"/>
        <w:tblLook w:val="0000" w:firstRow="0" w:lastRow="0" w:firstColumn="0" w:lastColumn="0" w:noHBand="0" w:noVBand="0"/>
      </w:tblPr>
      <w:tblGrid>
        <w:gridCol w:w="6232"/>
        <w:gridCol w:w="1565"/>
        <w:gridCol w:w="1701"/>
      </w:tblGrid>
      <w:tr w:rsidR="00CA7C54" w:rsidRPr="00CA7C54" w14:paraId="4B5B9335" w14:textId="77777777" w:rsidTr="0057173E">
        <w:trPr>
          <w:trHeight w:val="342"/>
        </w:trPr>
        <w:tc>
          <w:tcPr>
            <w:tcW w:w="6232" w:type="dxa"/>
            <w:vMerge w:val="restart"/>
            <w:tcBorders>
              <w:top w:val="single" w:sz="4" w:space="0" w:color="000000"/>
              <w:left w:val="single" w:sz="4" w:space="0" w:color="000000"/>
              <w:bottom w:val="single" w:sz="4" w:space="0" w:color="000000"/>
            </w:tcBorders>
            <w:shd w:val="clear" w:color="auto" w:fill="auto"/>
            <w:vAlign w:val="center"/>
          </w:tcPr>
          <w:p w14:paraId="3E9F8F9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Умови розташування захисних споруд та СПП</w:t>
            </w:r>
          </w:p>
        </w:tc>
        <w:tc>
          <w:tcPr>
            <w:tcW w:w="3266" w:type="dxa"/>
            <w:gridSpan w:val="2"/>
            <w:tcBorders>
              <w:top w:val="single" w:sz="4" w:space="0" w:color="000000"/>
              <w:left w:val="single" w:sz="4" w:space="0" w:color="000000"/>
              <w:bottom w:val="single" w:sz="4" w:space="0" w:color="000000"/>
              <w:right w:val="single" w:sz="4" w:space="0" w:color="000000"/>
            </w:tcBorders>
            <w:shd w:val="clear" w:color="auto" w:fill="auto"/>
          </w:tcPr>
          <w:p w14:paraId="0A53C93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Коефіцієнт К</w:t>
            </w:r>
            <w:r w:rsidRPr="00CA7C54">
              <w:rPr>
                <w:rFonts w:ascii="Arial" w:hAnsi="Arial" w:cs="Arial"/>
                <w:b/>
                <w:color w:val="000000" w:themeColor="text1"/>
                <w:sz w:val="20"/>
                <w:szCs w:val="20"/>
                <w:vertAlign w:val="subscript"/>
              </w:rPr>
              <w:t>д</w:t>
            </w:r>
          </w:p>
        </w:tc>
      </w:tr>
      <w:tr w:rsidR="00CA7C54" w:rsidRPr="00CA7C54" w14:paraId="6A408F27" w14:textId="77777777" w:rsidTr="0057173E">
        <w:trPr>
          <w:trHeight w:val="471"/>
        </w:trPr>
        <w:tc>
          <w:tcPr>
            <w:tcW w:w="6232" w:type="dxa"/>
            <w:vMerge/>
            <w:tcBorders>
              <w:top w:val="single" w:sz="4" w:space="0" w:color="000000"/>
              <w:left w:val="single" w:sz="4" w:space="0" w:color="000000"/>
              <w:bottom w:val="single" w:sz="4" w:space="0" w:color="000000"/>
            </w:tcBorders>
            <w:shd w:val="clear" w:color="auto" w:fill="auto"/>
            <w:vAlign w:val="center"/>
          </w:tcPr>
          <w:p w14:paraId="132B29A1"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p>
        </w:tc>
        <w:tc>
          <w:tcPr>
            <w:tcW w:w="1565" w:type="dxa"/>
            <w:tcBorders>
              <w:top w:val="single" w:sz="4" w:space="0" w:color="000000"/>
              <w:left w:val="single" w:sz="4" w:space="0" w:color="000000"/>
              <w:bottom w:val="single" w:sz="4" w:space="0" w:color="000000"/>
            </w:tcBorders>
            <w:shd w:val="clear" w:color="auto" w:fill="auto"/>
            <w:vAlign w:val="center"/>
          </w:tcPr>
          <w:p w14:paraId="79E8C300" w14:textId="77777777" w:rsidR="003C4E04" w:rsidRPr="00CA7C54" w:rsidRDefault="001E748C" w:rsidP="008A04E5">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вбудованих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18DDC12"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окремо розташованих</w:t>
            </w:r>
          </w:p>
        </w:tc>
      </w:tr>
      <w:tr w:rsidR="00CA7C54" w:rsidRPr="00CA7C54" w14:paraId="0651AD45" w14:textId="77777777" w:rsidTr="0057173E">
        <w:trPr>
          <w:trHeight w:val="411"/>
        </w:trPr>
        <w:tc>
          <w:tcPr>
            <w:tcW w:w="6232" w:type="dxa"/>
            <w:tcBorders>
              <w:top w:val="single" w:sz="4" w:space="0" w:color="000000"/>
              <w:left w:val="single" w:sz="4" w:space="0" w:color="000000"/>
              <w:bottom w:val="single" w:sz="4" w:space="0" w:color="000000"/>
            </w:tcBorders>
            <w:shd w:val="clear" w:color="auto" w:fill="auto"/>
          </w:tcPr>
          <w:p w14:paraId="49C0CBAB"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На основах iз нескельних грунтiв при розташуваннi фундаменту вище рiвня грунтових вод</w:t>
            </w:r>
          </w:p>
        </w:tc>
        <w:tc>
          <w:tcPr>
            <w:tcW w:w="1565" w:type="dxa"/>
            <w:tcBorders>
              <w:top w:val="single" w:sz="4" w:space="0" w:color="000000"/>
              <w:left w:val="single" w:sz="4" w:space="0" w:color="000000"/>
              <w:bottom w:val="single" w:sz="4" w:space="0" w:color="000000"/>
            </w:tcBorders>
            <w:shd w:val="clear" w:color="auto" w:fill="auto"/>
            <w:vAlign w:val="center"/>
          </w:tcPr>
          <w:p w14:paraId="04524CA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050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w:t>
            </w:r>
          </w:p>
        </w:tc>
      </w:tr>
      <w:tr w:rsidR="00CA7C54" w:rsidRPr="00CA7C54" w14:paraId="7841E0E3" w14:textId="77777777" w:rsidTr="0057173E">
        <w:tc>
          <w:tcPr>
            <w:tcW w:w="6232" w:type="dxa"/>
            <w:tcBorders>
              <w:top w:val="single" w:sz="4" w:space="0" w:color="000000"/>
              <w:left w:val="single" w:sz="4" w:space="0" w:color="000000"/>
              <w:bottom w:val="single" w:sz="4" w:space="0" w:color="000000"/>
            </w:tcBorders>
            <w:shd w:val="clear" w:color="auto" w:fill="auto"/>
          </w:tcPr>
          <w:p w14:paraId="0670EDBC"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На основах iз нескельних грунтiв при розташуваннi фундаменту нижче рiвня ґрунтових вод</w:t>
            </w:r>
          </w:p>
        </w:tc>
        <w:tc>
          <w:tcPr>
            <w:tcW w:w="1565" w:type="dxa"/>
            <w:tcBorders>
              <w:top w:val="single" w:sz="4" w:space="0" w:color="000000"/>
              <w:left w:val="single" w:sz="4" w:space="0" w:color="000000"/>
              <w:bottom w:val="single" w:sz="4" w:space="0" w:color="000000"/>
            </w:tcBorders>
            <w:shd w:val="clear" w:color="auto" w:fill="auto"/>
            <w:vAlign w:val="center"/>
          </w:tcPr>
          <w:p w14:paraId="355D0B9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2152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1,4</w:t>
            </w:r>
          </w:p>
        </w:tc>
      </w:tr>
      <w:tr w:rsidR="00CA7C54" w:rsidRPr="00CA7C54" w14:paraId="0E85043F" w14:textId="77777777" w:rsidTr="0057173E">
        <w:tc>
          <w:tcPr>
            <w:tcW w:w="6232" w:type="dxa"/>
            <w:tcBorders>
              <w:top w:val="single" w:sz="4" w:space="0" w:color="000000"/>
              <w:left w:val="single" w:sz="4" w:space="0" w:color="000000"/>
              <w:bottom w:val="single" w:sz="4" w:space="0" w:color="000000"/>
            </w:tcBorders>
            <w:shd w:val="clear" w:color="auto" w:fill="auto"/>
          </w:tcPr>
          <w:p w14:paraId="125D6A5D"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На скельних основах</w:t>
            </w:r>
          </w:p>
        </w:tc>
        <w:tc>
          <w:tcPr>
            <w:tcW w:w="1565" w:type="dxa"/>
            <w:tcBorders>
              <w:top w:val="single" w:sz="4" w:space="0" w:color="000000"/>
              <w:left w:val="single" w:sz="4" w:space="0" w:color="000000"/>
              <w:bottom w:val="single" w:sz="4" w:space="0" w:color="000000"/>
            </w:tcBorders>
            <w:shd w:val="clear" w:color="auto" w:fill="auto"/>
            <w:vAlign w:val="center"/>
          </w:tcPr>
          <w:p w14:paraId="24C63C0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A25B2"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1,8</w:t>
            </w:r>
          </w:p>
        </w:tc>
      </w:tr>
    </w:tbl>
    <w:p w14:paraId="20008B8D" w14:textId="4C22944E" w:rsidR="00C07081" w:rsidRDefault="00C07081" w:rsidP="00326D96">
      <w:pPr>
        <w:pBdr>
          <w:top w:val="nil"/>
          <w:left w:val="nil"/>
          <w:bottom w:val="nil"/>
          <w:right w:val="nil"/>
          <w:between w:val="nil"/>
        </w:pBdr>
        <w:spacing w:before="0" w:line="288" w:lineRule="auto"/>
        <w:ind w:right="142" w:firstLine="0"/>
        <w:contextualSpacing/>
        <w:rPr>
          <w:b/>
          <w:color w:val="000000" w:themeColor="text1"/>
          <w:sz w:val="21"/>
          <w:szCs w:val="21"/>
          <w:highlight w:val="white"/>
        </w:rPr>
      </w:pPr>
      <w:r>
        <w:rPr>
          <w:b/>
          <w:color w:val="000000" w:themeColor="text1"/>
          <w:sz w:val="21"/>
          <w:szCs w:val="21"/>
          <w:highlight w:val="white"/>
        </w:rPr>
        <w:br w:type="page"/>
      </w:r>
    </w:p>
    <w:p w14:paraId="4FF66F92" w14:textId="77777777" w:rsidR="003C4E04" w:rsidRPr="00CA7C54" w:rsidRDefault="001E748C" w:rsidP="00326D96">
      <w:pPr>
        <w:pBdr>
          <w:top w:val="nil"/>
          <w:left w:val="nil"/>
          <w:bottom w:val="nil"/>
          <w:right w:val="nil"/>
          <w:between w:val="nil"/>
        </w:pBdr>
        <w:spacing w:before="0" w:line="288" w:lineRule="auto"/>
        <w:ind w:right="142" w:firstLine="0"/>
        <w:contextualSpacing/>
        <w:rPr>
          <w:b/>
          <w:color w:val="000000" w:themeColor="text1"/>
          <w:sz w:val="21"/>
          <w:szCs w:val="21"/>
          <w:highlight w:val="white"/>
        </w:rPr>
      </w:pPr>
      <w:r w:rsidRPr="00CA7C54">
        <w:rPr>
          <w:b/>
          <w:color w:val="000000" w:themeColor="text1"/>
          <w:sz w:val="21"/>
          <w:szCs w:val="21"/>
          <w:highlight w:val="white"/>
        </w:rPr>
        <w:lastRenderedPageBreak/>
        <w:t xml:space="preserve">Таблиця 14.11 </w:t>
      </w:r>
      <w:r w:rsidRPr="00CA7C54">
        <w:rPr>
          <w:color w:val="000000" w:themeColor="text1"/>
          <w:sz w:val="21"/>
          <w:szCs w:val="21"/>
          <w:highlight w:val="white"/>
        </w:rPr>
        <w:t>– Коефіцієнт динамічності К</w:t>
      </w:r>
      <w:r w:rsidRPr="00CA7C54">
        <w:rPr>
          <w:color w:val="000000" w:themeColor="text1"/>
          <w:sz w:val="21"/>
          <w:szCs w:val="21"/>
          <w:highlight w:val="white"/>
          <w:vertAlign w:val="subscript"/>
        </w:rPr>
        <w:t>д</w:t>
      </w:r>
      <w:r w:rsidRPr="00CA7C54">
        <w:rPr>
          <w:color w:val="000000" w:themeColor="text1"/>
          <w:sz w:val="21"/>
          <w:szCs w:val="21"/>
          <w:highlight w:val="white"/>
        </w:rPr>
        <w:t xml:space="preserve"> фундаментних плит</w:t>
      </w:r>
    </w:p>
    <w:tbl>
      <w:tblPr>
        <w:tblStyle w:val="affffffffffffffffffffffffffffffff5"/>
        <w:tblW w:w="9639" w:type="dxa"/>
        <w:tblInd w:w="-5" w:type="dxa"/>
        <w:tblLayout w:type="fixed"/>
        <w:tblLook w:val="0000" w:firstRow="0" w:lastRow="0" w:firstColumn="0" w:lastColumn="0" w:noHBand="0" w:noVBand="0"/>
      </w:tblPr>
      <w:tblGrid>
        <w:gridCol w:w="6230"/>
        <w:gridCol w:w="1567"/>
        <w:gridCol w:w="1842"/>
      </w:tblGrid>
      <w:tr w:rsidR="00CA7C54" w:rsidRPr="00CA7C54" w14:paraId="02CE4188" w14:textId="77777777" w:rsidTr="0057173E">
        <w:trPr>
          <w:trHeight w:val="484"/>
        </w:trPr>
        <w:tc>
          <w:tcPr>
            <w:tcW w:w="6230" w:type="dxa"/>
            <w:vMerge w:val="restart"/>
            <w:tcBorders>
              <w:top w:val="single" w:sz="4" w:space="0" w:color="000000"/>
              <w:left w:val="single" w:sz="4" w:space="0" w:color="000000"/>
              <w:bottom w:val="single" w:sz="4" w:space="0" w:color="000000"/>
            </w:tcBorders>
            <w:shd w:val="clear" w:color="auto" w:fill="auto"/>
            <w:vAlign w:val="center"/>
          </w:tcPr>
          <w:p w14:paraId="3C231B97" w14:textId="77777777" w:rsidR="003C4E04" w:rsidRPr="00CA7C54" w:rsidRDefault="001E748C" w:rsidP="00326D96">
            <w:pPr>
              <w:pBdr>
                <w:top w:val="nil"/>
                <w:left w:val="nil"/>
                <w:bottom w:val="nil"/>
                <w:right w:val="nil"/>
                <w:between w:val="nil"/>
              </w:pBdr>
              <w:spacing w:before="0" w:line="288" w:lineRule="auto"/>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Умови розмiщення фундаментної плити</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E64ABF"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Коефiцiєнт К</w:t>
            </w:r>
            <w:r w:rsidRPr="00CA7C54">
              <w:rPr>
                <w:rFonts w:ascii="Arial" w:hAnsi="Arial" w:cs="Arial"/>
                <w:b/>
                <w:color w:val="000000" w:themeColor="text1"/>
                <w:sz w:val="20"/>
                <w:szCs w:val="20"/>
                <w:highlight w:val="white"/>
                <w:vertAlign w:val="subscript"/>
              </w:rPr>
              <w:t>д</w:t>
            </w:r>
          </w:p>
        </w:tc>
      </w:tr>
      <w:tr w:rsidR="00CA7C54" w:rsidRPr="00CA7C54" w14:paraId="07B307C9" w14:textId="77777777" w:rsidTr="0057173E">
        <w:trPr>
          <w:trHeight w:val="178"/>
        </w:trPr>
        <w:tc>
          <w:tcPr>
            <w:tcW w:w="6230" w:type="dxa"/>
            <w:vMerge/>
            <w:tcBorders>
              <w:top w:val="single" w:sz="4" w:space="0" w:color="000000"/>
              <w:left w:val="single" w:sz="4" w:space="0" w:color="000000"/>
              <w:bottom w:val="single" w:sz="4" w:space="0" w:color="000000"/>
            </w:tcBorders>
            <w:shd w:val="clear" w:color="auto" w:fill="auto"/>
            <w:vAlign w:val="center"/>
          </w:tcPr>
          <w:p w14:paraId="3DB49E1A"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c>
          <w:tcPr>
            <w:tcW w:w="1567" w:type="dxa"/>
            <w:tcBorders>
              <w:top w:val="single" w:sz="4" w:space="0" w:color="000000"/>
              <w:left w:val="single" w:sz="4" w:space="0" w:color="000000"/>
              <w:bottom w:val="single" w:sz="4" w:space="0" w:color="000000"/>
            </w:tcBorders>
            <w:shd w:val="clear" w:color="auto" w:fill="auto"/>
            <w:vAlign w:val="center"/>
          </w:tcPr>
          <w:p w14:paraId="55221EE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вбудованих</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8F53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окремо розташованих</w:t>
            </w:r>
          </w:p>
        </w:tc>
      </w:tr>
      <w:tr w:rsidR="00CA7C54" w:rsidRPr="00CA7C54" w14:paraId="3A224B65" w14:textId="77777777" w:rsidTr="0057173E">
        <w:trPr>
          <w:trHeight w:val="403"/>
        </w:trPr>
        <w:tc>
          <w:tcPr>
            <w:tcW w:w="6230" w:type="dxa"/>
            <w:tcBorders>
              <w:top w:val="single" w:sz="4" w:space="0" w:color="000000"/>
              <w:left w:val="single" w:sz="4" w:space="0" w:color="000000"/>
              <w:bottom w:val="single" w:sz="4" w:space="0" w:color="000000"/>
            </w:tcBorders>
            <w:shd w:val="clear" w:color="auto" w:fill="auto"/>
            <w:vAlign w:val="center"/>
          </w:tcPr>
          <w:p w14:paraId="7A3E5939"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 xml:space="preserve">На нескельних </w:t>
            </w:r>
            <w:r w:rsidRPr="00CA7C54">
              <w:rPr>
                <w:rFonts w:ascii="Arial" w:hAnsi="Arial" w:cs="Arial"/>
                <w:color w:val="000000" w:themeColor="text1"/>
                <w:sz w:val="18"/>
                <w:szCs w:val="18"/>
                <w:highlight w:val="white"/>
              </w:rPr>
              <w:t>ґрунтах</w:t>
            </w:r>
            <w:r w:rsidRPr="00CA7C54">
              <w:rPr>
                <w:rFonts w:ascii="Arial" w:hAnsi="Arial" w:cs="Arial"/>
                <w:color w:val="000000" w:themeColor="text1"/>
                <w:sz w:val="20"/>
                <w:szCs w:val="20"/>
                <w:highlight w:val="white"/>
              </w:rPr>
              <w:t xml:space="preserve"> при розрахунку за розрахунковою умовою ІА</w:t>
            </w:r>
          </w:p>
        </w:tc>
        <w:tc>
          <w:tcPr>
            <w:tcW w:w="1567" w:type="dxa"/>
            <w:tcBorders>
              <w:top w:val="single" w:sz="4" w:space="0" w:color="000000"/>
              <w:left w:val="single" w:sz="4" w:space="0" w:color="000000"/>
              <w:bottom w:val="single" w:sz="4" w:space="0" w:color="000000"/>
            </w:tcBorders>
            <w:shd w:val="clear" w:color="auto" w:fill="auto"/>
            <w:vAlign w:val="center"/>
          </w:tcPr>
          <w:p w14:paraId="44F1CA2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624E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r>
      <w:tr w:rsidR="00CA7C54" w:rsidRPr="00CA7C54" w14:paraId="4850CC1D" w14:textId="77777777" w:rsidTr="0057173E">
        <w:trPr>
          <w:trHeight w:val="214"/>
        </w:trPr>
        <w:tc>
          <w:tcPr>
            <w:tcW w:w="6230" w:type="dxa"/>
            <w:tcBorders>
              <w:top w:val="single" w:sz="4" w:space="0" w:color="000000"/>
              <w:left w:val="single" w:sz="4" w:space="0" w:color="000000"/>
              <w:bottom w:val="single" w:sz="4" w:space="0" w:color="000000"/>
            </w:tcBorders>
            <w:shd w:val="clear" w:color="auto" w:fill="auto"/>
            <w:vAlign w:val="center"/>
          </w:tcPr>
          <w:p w14:paraId="50B3323D"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На водонасичених ґрунтах при розрахунку за розрахунковою умовою ІБ</w:t>
            </w:r>
          </w:p>
        </w:tc>
        <w:tc>
          <w:tcPr>
            <w:tcW w:w="1567" w:type="dxa"/>
            <w:tcBorders>
              <w:top w:val="single" w:sz="4" w:space="0" w:color="000000"/>
              <w:left w:val="single" w:sz="4" w:space="0" w:color="000000"/>
              <w:bottom w:val="single" w:sz="4" w:space="0" w:color="000000"/>
            </w:tcBorders>
            <w:shd w:val="clear" w:color="auto" w:fill="auto"/>
            <w:vAlign w:val="center"/>
          </w:tcPr>
          <w:p w14:paraId="059B321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E6837"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r>
      <w:tr w:rsidR="00CA7C54" w:rsidRPr="00CA7C54" w14:paraId="786B4518" w14:textId="77777777" w:rsidTr="0057173E">
        <w:trPr>
          <w:trHeight w:val="21"/>
        </w:trPr>
        <w:tc>
          <w:tcPr>
            <w:tcW w:w="6230" w:type="dxa"/>
            <w:tcBorders>
              <w:top w:val="single" w:sz="4" w:space="0" w:color="000000"/>
              <w:left w:val="single" w:sz="4" w:space="0" w:color="000000"/>
              <w:bottom w:val="single" w:sz="4" w:space="0" w:color="000000"/>
            </w:tcBorders>
            <w:shd w:val="clear" w:color="auto" w:fill="auto"/>
            <w:vAlign w:val="center"/>
          </w:tcPr>
          <w:p w14:paraId="5EB34EF9"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На скельних ґрунтах</w:t>
            </w:r>
          </w:p>
        </w:tc>
        <w:tc>
          <w:tcPr>
            <w:tcW w:w="1567" w:type="dxa"/>
            <w:tcBorders>
              <w:top w:val="single" w:sz="4" w:space="0" w:color="000000"/>
              <w:left w:val="single" w:sz="4" w:space="0" w:color="000000"/>
              <w:bottom w:val="single" w:sz="4" w:space="0" w:color="000000"/>
            </w:tcBorders>
            <w:shd w:val="clear" w:color="auto" w:fill="auto"/>
            <w:vAlign w:val="center"/>
          </w:tcPr>
          <w:p w14:paraId="1FE9898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D455F"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r>
      <w:tr w:rsidR="00CA7C54" w:rsidRPr="00CA7C54" w14:paraId="1F5C1B35" w14:textId="77777777" w:rsidTr="0057173E">
        <w:trPr>
          <w:trHeight w:val="246"/>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646A606"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18"/>
                <w:szCs w:val="18"/>
                <w:highlight w:val="white"/>
              </w:rPr>
            </w:pPr>
            <w:r w:rsidRPr="00CA7C54">
              <w:rPr>
                <w:rFonts w:ascii="Arial" w:hAnsi="Arial" w:cs="Arial"/>
                <w:b/>
                <w:color w:val="000000" w:themeColor="text1"/>
                <w:sz w:val="18"/>
                <w:szCs w:val="18"/>
                <w:highlight w:val="white"/>
              </w:rPr>
              <w:t xml:space="preserve">Примiтка. </w:t>
            </w:r>
            <w:r w:rsidRPr="00CA7C54">
              <w:rPr>
                <w:rFonts w:ascii="Arial" w:hAnsi="Arial" w:cs="Arial"/>
                <w:color w:val="000000" w:themeColor="text1"/>
                <w:sz w:val="18"/>
                <w:szCs w:val="18"/>
                <w:highlight w:val="white"/>
              </w:rPr>
              <w:t>Визначення розрахункових умов ІА і ІБ див. примітки таблиці 14.8.</w:t>
            </w:r>
          </w:p>
        </w:tc>
      </w:tr>
    </w:tbl>
    <w:p w14:paraId="2B8C90BA" w14:textId="77777777" w:rsidR="003C4E04" w:rsidRPr="00CA7C54" w:rsidRDefault="003C4E04" w:rsidP="00326D96">
      <w:pPr>
        <w:pBdr>
          <w:top w:val="nil"/>
          <w:left w:val="nil"/>
          <w:bottom w:val="nil"/>
          <w:right w:val="nil"/>
          <w:between w:val="nil"/>
        </w:pBdr>
        <w:spacing w:before="0" w:line="288" w:lineRule="auto"/>
        <w:contextualSpacing/>
        <w:rPr>
          <w:color w:val="000000" w:themeColor="text1"/>
          <w:sz w:val="21"/>
          <w:szCs w:val="21"/>
        </w:rPr>
      </w:pPr>
    </w:p>
    <w:p w14:paraId="4A990C8E"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14.1.3.6</w:t>
      </w:r>
      <w:r w:rsidRPr="00CA7C54">
        <w:rPr>
          <w:color w:val="000000" w:themeColor="text1"/>
          <w:sz w:val="21"/>
          <w:szCs w:val="21"/>
        </w:rPr>
        <w:t xml:space="preserve"> Оголовки аварiйних виходiв, пiднесених над поверхнею землi, слiд розраховувати на горизонтальне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 яке дорiвнює надмірному тиску у фронтi повітряної ударної хвилi </w:t>
      </w:r>
      <w:sdt>
        <w:sdtPr>
          <w:rPr>
            <w:color w:val="000000" w:themeColor="text1"/>
            <w:sz w:val="21"/>
            <w:szCs w:val="21"/>
          </w:rPr>
          <w:tag w:val="goog_rdk_45"/>
          <w:id w:val="-578210470"/>
        </w:sdtPr>
        <w:sdtEndPr/>
        <w:sdtContent>
          <w:r w:rsidRPr="00CA7C54">
            <w:rPr>
              <w:rFonts w:eastAsia="Arial Unicode MS"/>
              <w:i/>
              <w:color w:val="000000" w:themeColor="text1"/>
              <w:sz w:val="21"/>
              <w:szCs w:val="21"/>
            </w:rPr>
            <w:t>∆Р</w:t>
          </w:r>
        </w:sdtContent>
      </w:sdt>
      <w:r w:rsidRPr="00CA7C54">
        <w:rPr>
          <w:i/>
          <w:color w:val="000000" w:themeColor="text1"/>
          <w:sz w:val="21"/>
          <w:szCs w:val="21"/>
          <w:vertAlign w:val="subscript"/>
        </w:rPr>
        <w:t>ex</w:t>
      </w:r>
      <w:r w:rsidRPr="00CA7C54">
        <w:rPr>
          <w:color w:val="000000" w:themeColor="text1"/>
          <w:sz w:val="21"/>
          <w:szCs w:val="21"/>
        </w:rPr>
        <w:t xml:space="preserve">, помноженому на коефiцiєнт динамiчностi </w:t>
      </w:r>
      <w:r w:rsidRPr="00CA7C54">
        <w:rPr>
          <w:i/>
          <w:color w:val="000000" w:themeColor="text1"/>
          <w:sz w:val="21"/>
          <w:szCs w:val="21"/>
        </w:rPr>
        <w:t>К</w:t>
      </w:r>
      <w:r w:rsidRPr="00CA7C54">
        <w:rPr>
          <w:i/>
          <w:color w:val="000000" w:themeColor="text1"/>
          <w:sz w:val="21"/>
          <w:szCs w:val="21"/>
          <w:vertAlign w:val="subscript"/>
        </w:rPr>
        <w:t>Д</w:t>
      </w:r>
      <w:r w:rsidRPr="00CA7C54">
        <w:rPr>
          <w:color w:val="000000" w:themeColor="text1"/>
          <w:sz w:val="21"/>
          <w:szCs w:val="21"/>
        </w:rPr>
        <w:t xml:space="preserve"> = 2.</w:t>
      </w:r>
    </w:p>
    <w:p w14:paraId="6C838D62"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розрахунку оголовкiв на зсув та перекидання приведене навантаження слiд приймати рiвним:</w:t>
      </w:r>
    </w:p>
    <w:p w14:paraId="0DD3D4BA"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 на стiну, повернуту до вибуху,– за формулою </w:t>
      </w:r>
      <w:sdt>
        <w:sdtPr>
          <w:rPr>
            <w:color w:val="000000" w:themeColor="text1"/>
            <w:sz w:val="21"/>
            <w:szCs w:val="21"/>
          </w:rPr>
          <w:tag w:val="goog_rdk_46"/>
          <w:id w:val="-66575238"/>
        </w:sdtPr>
        <w:sdtEndPr/>
        <w:sdtContent>
          <w:r w:rsidRPr="00CA7C54">
            <w:rPr>
              <w:rFonts w:eastAsia="Arial Unicode MS"/>
              <w:i/>
              <w:color w:val="000000" w:themeColor="text1"/>
              <w:sz w:val="21"/>
              <w:szCs w:val="21"/>
            </w:rPr>
            <w:t>Р= ∆Р</w:t>
          </w:r>
        </w:sdtContent>
      </w:sdt>
      <w:r w:rsidRPr="00CA7C54">
        <w:rPr>
          <w:i/>
          <w:color w:val="000000" w:themeColor="text1"/>
          <w:sz w:val="21"/>
          <w:szCs w:val="21"/>
          <w:vertAlign w:val="subscript"/>
        </w:rPr>
        <w:t>ex</w:t>
      </w:r>
      <w:sdt>
        <w:sdtPr>
          <w:rPr>
            <w:color w:val="000000" w:themeColor="text1"/>
            <w:sz w:val="21"/>
            <w:szCs w:val="21"/>
          </w:rPr>
          <w:tag w:val="goog_rdk_47"/>
          <w:id w:val="-1393117861"/>
        </w:sdtPr>
        <w:sdtEndPr/>
        <w:sdtContent>
          <w:r w:rsidRPr="00CA7C54">
            <w:rPr>
              <w:rFonts w:eastAsia="Arial Unicode MS"/>
              <w:i/>
              <w:color w:val="000000" w:themeColor="text1"/>
              <w:sz w:val="21"/>
              <w:szCs w:val="21"/>
            </w:rPr>
            <w:t xml:space="preserve">  + 2,5·∆Р</w:t>
          </w:r>
        </w:sdtContent>
      </w:sdt>
      <w:r w:rsidRPr="00CA7C54">
        <w:rPr>
          <w:i/>
          <w:color w:val="000000" w:themeColor="text1"/>
          <w:sz w:val="21"/>
          <w:szCs w:val="21"/>
          <w:vertAlign w:val="subscript"/>
        </w:rPr>
        <w:t>ex</w:t>
      </w:r>
      <w:r w:rsidRPr="00CA7C54">
        <w:rPr>
          <w:i/>
          <w:color w:val="000000" w:themeColor="text1"/>
          <w:sz w:val="21"/>
          <w:szCs w:val="21"/>
          <w:vertAlign w:val="superscript"/>
        </w:rPr>
        <w:t>2</w:t>
      </w:r>
      <w:sdt>
        <w:sdtPr>
          <w:rPr>
            <w:color w:val="000000" w:themeColor="text1"/>
            <w:sz w:val="21"/>
            <w:szCs w:val="21"/>
          </w:rPr>
          <w:tag w:val="goog_rdk_48"/>
          <w:id w:val="-994950594"/>
        </w:sdtPr>
        <w:sdtEndPr/>
        <w:sdtContent>
          <w:r w:rsidRPr="00CA7C54">
            <w:rPr>
              <w:rFonts w:eastAsia="Arial Unicode MS"/>
              <w:i/>
              <w:color w:val="000000" w:themeColor="text1"/>
              <w:sz w:val="21"/>
              <w:szCs w:val="21"/>
            </w:rPr>
            <w:t xml:space="preserve"> /(∆Р</w:t>
          </w:r>
        </w:sdtContent>
      </w:sdt>
      <w:r w:rsidRPr="00CA7C54">
        <w:rPr>
          <w:i/>
          <w:color w:val="000000" w:themeColor="text1"/>
          <w:sz w:val="21"/>
          <w:szCs w:val="21"/>
          <w:vertAlign w:val="subscript"/>
        </w:rPr>
        <w:t>ex</w:t>
      </w:r>
      <w:r w:rsidRPr="00CA7C54">
        <w:rPr>
          <w:i/>
          <w:color w:val="000000" w:themeColor="text1"/>
          <w:sz w:val="21"/>
          <w:szCs w:val="21"/>
        </w:rPr>
        <w:t xml:space="preserve"> + 720);</w:t>
      </w:r>
    </w:p>
    <w:p w14:paraId="12949B3F"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 на тильну стiну – </w:t>
      </w:r>
      <w:sdt>
        <w:sdtPr>
          <w:rPr>
            <w:color w:val="000000" w:themeColor="text1"/>
            <w:sz w:val="21"/>
            <w:szCs w:val="21"/>
          </w:rPr>
          <w:tag w:val="goog_rdk_49"/>
          <w:id w:val="-1975974119"/>
        </w:sdtPr>
        <w:sdtEndPr/>
        <w:sdtContent>
          <w:r w:rsidRPr="00CA7C54">
            <w:rPr>
              <w:rFonts w:eastAsia="Arial Unicode MS"/>
              <w:i/>
              <w:color w:val="000000" w:themeColor="text1"/>
              <w:sz w:val="21"/>
              <w:szCs w:val="21"/>
            </w:rPr>
            <w:t>Р = 1,3 ∆Р</w:t>
          </w:r>
        </w:sdtContent>
      </w:sdt>
      <w:r w:rsidRPr="00CA7C54">
        <w:rPr>
          <w:i/>
          <w:color w:val="000000" w:themeColor="text1"/>
          <w:sz w:val="21"/>
          <w:szCs w:val="21"/>
          <w:vertAlign w:val="subscript"/>
        </w:rPr>
        <w:t>ex</w:t>
      </w:r>
      <w:r w:rsidRPr="00CA7C54">
        <w:rPr>
          <w:color w:val="000000" w:themeColor="text1"/>
          <w:sz w:val="21"/>
          <w:szCs w:val="21"/>
        </w:rPr>
        <w:t>;</w:t>
      </w:r>
    </w:p>
    <w:p w14:paraId="6A1471C9" w14:textId="77777777" w:rsidR="003C4E04" w:rsidRPr="00CA7C54" w:rsidRDefault="001E748C" w:rsidP="00326D96">
      <w:pPr>
        <w:pBdr>
          <w:top w:val="nil"/>
          <w:left w:val="nil"/>
          <w:bottom w:val="nil"/>
          <w:right w:val="nil"/>
          <w:between w:val="nil"/>
        </w:pBdr>
        <w:spacing w:before="0" w:line="288" w:lineRule="auto"/>
        <w:contextualSpacing/>
        <w:rPr>
          <w:i/>
          <w:color w:val="000000" w:themeColor="text1"/>
          <w:sz w:val="21"/>
          <w:szCs w:val="21"/>
        </w:rPr>
      </w:pPr>
      <w:r w:rsidRPr="00CA7C54">
        <w:rPr>
          <w:color w:val="000000" w:themeColor="text1"/>
          <w:sz w:val="21"/>
          <w:szCs w:val="21"/>
        </w:rPr>
        <w:t xml:space="preserve">- на покриття та боковi стiни – </w:t>
      </w:r>
      <w:sdt>
        <w:sdtPr>
          <w:rPr>
            <w:color w:val="000000" w:themeColor="text1"/>
            <w:sz w:val="21"/>
            <w:szCs w:val="21"/>
          </w:rPr>
          <w:tag w:val="goog_rdk_50"/>
          <w:id w:val="-1697926696"/>
        </w:sdtPr>
        <w:sdtEndPr/>
        <w:sdtContent>
          <w:r w:rsidRPr="00CA7C54">
            <w:rPr>
              <w:rFonts w:eastAsia="Arial Unicode MS"/>
              <w:i/>
              <w:color w:val="000000" w:themeColor="text1"/>
              <w:sz w:val="21"/>
              <w:szCs w:val="21"/>
            </w:rPr>
            <w:t>Р = 1,25  ∆Р</w:t>
          </w:r>
        </w:sdtContent>
      </w:sdt>
      <w:r w:rsidRPr="00CA7C54">
        <w:rPr>
          <w:i/>
          <w:color w:val="000000" w:themeColor="text1"/>
          <w:sz w:val="21"/>
          <w:szCs w:val="21"/>
          <w:vertAlign w:val="subscript"/>
        </w:rPr>
        <w:t>ex</w:t>
      </w:r>
      <w:r w:rsidRPr="00CA7C54">
        <w:rPr>
          <w:i/>
          <w:color w:val="000000" w:themeColor="text1"/>
          <w:sz w:val="21"/>
          <w:szCs w:val="21"/>
        </w:rPr>
        <w:t>.</w:t>
      </w:r>
    </w:p>
    <w:p w14:paraId="2D5E2B2D" w14:textId="77777777" w:rsidR="003C4E04" w:rsidRPr="00CA7C54" w:rsidRDefault="001E748C" w:rsidP="00326D96">
      <w:pPr>
        <w:spacing w:before="0" w:line="288" w:lineRule="auto"/>
        <w:ind w:firstLine="566"/>
        <w:contextualSpacing/>
        <w:rPr>
          <w:color w:val="000000" w:themeColor="text1"/>
          <w:sz w:val="21"/>
          <w:szCs w:val="21"/>
        </w:rPr>
      </w:pPr>
      <w:r w:rsidRPr="00CA7C54">
        <w:rPr>
          <w:color w:val="000000" w:themeColor="text1"/>
          <w:sz w:val="21"/>
          <w:szCs w:val="21"/>
        </w:rPr>
        <w:t>При розрахунку оголовків аварiйних виходiв, що потрапляють в зону можливих завалів та пiднесених над поверхнею землi, слiд враховувати навантаження від завалів конструкцій зруйнованої будівлі/споруди окремою комбінацією навантажень.</w:t>
      </w:r>
    </w:p>
    <w:p w14:paraId="10AB1A31"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pacing w:val="-6"/>
          <w:sz w:val="21"/>
          <w:szCs w:val="21"/>
        </w:rPr>
      </w:pPr>
      <w:r w:rsidRPr="00CA7C54">
        <w:rPr>
          <w:b/>
          <w:color w:val="000000" w:themeColor="text1"/>
          <w:sz w:val="21"/>
          <w:szCs w:val="21"/>
        </w:rPr>
        <w:t>14.1.3.7</w:t>
      </w:r>
      <w:r w:rsidRPr="00CA7C54">
        <w:rPr>
          <w:color w:val="000000" w:themeColor="text1"/>
          <w:sz w:val="21"/>
          <w:szCs w:val="21"/>
        </w:rPr>
        <w:t xml:space="preserve">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 на зовнiшнi стiни у мiсцях розташування входiв, на </w:t>
      </w:r>
      <w:r w:rsidRPr="00CA7C54">
        <w:rPr>
          <w:color w:val="000000" w:themeColor="text1"/>
          <w:spacing w:val="-6"/>
          <w:sz w:val="21"/>
          <w:szCs w:val="21"/>
        </w:rPr>
        <w:t xml:space="preserve">стiни тамбурів-шлюзів i тамбурiв, на огороджувальнi конструкцiї аварiйних виходiв та захисно-герметичнi й захисні двері слід приймати рiвним приведеному навантаженню, яке визначається згiдно з  14.1.2.6 цих </w:t>
      </w:r>
      <w:r w:rsidR="00B86010" w:rsidRPr="00CA7C54">
        <w:rPr>
          <w:color w:val="000000" w:themeColor="text1"/>
          <w:spacing w:val="-6"/>
          <w:sz w:val="21"/>
          <w:szCs w:val="21"/>
        </w:rPr>
        <w:t>н</w:t>
      </w:r>
      <w:r w:rsidRPr="00CA7C54">
        <w:rPr>
          <w:color w:val="000000" w:themeColor="text1"/>
          <w:spacing w:val="-6"/>
          <w:sz w:val="21"/>
          <w:szCs w:val="21"/>
        </w:rPr>
        <w:t xml:space="preserve">орм, помноженому на коефiцiєнт динамiчностi </w:t>
      </w:r>
      <w:r w:rsidRPr="00CA7C54">
        <w:rPr>
          <w:i/>
          <w:color w:val="000000" w:themeColor="text1"/>
          <w:spacing w:val="-6"/>
          <w:sz w:val="21"/>
          <w:szCs w:val="21"/>
        </w:rPr>
        <w:t>К</w:t>
      </w:r>
      <w:r w:rsidRPr="00CA7C54">
        <w:rPr>
          <w:i/>
          <w:color w:val="000000" w:themeColor="text1"/>
          <w:spacing w:val="-6"/>
          <w:sz w:val="21"/>
          <w:szCs w:val="21"/>
          <w:vertAlign w:val="subscript"/>
        </w:rPr>
        <w:t>Д</w:t>
      </w:r>
      <w:r w:rsidRPr="00CA7C54">
        <w:rPr>
          <w:color w:val="000000" w:themeColor="text1"/>
          <w:spacing w:val="-6"/>
          <w:sz w:val="21"/>
          <w:szCs w:val="21"/>
        </w:rPr>
        <w:t>згiдно з таблицею 14.12.</w:t>
      </w:r>
    </w:p>
    <w:p w14:paraId="0F189029"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Для огороджувальних конструкцiй аварiйних виходiв наскрiзного та тупикового типiв коефiцiєнт динамічності слiд приймати</w:t>
      </w:r>
      <w:r w:rsidRPr="00CA7C54">
        <w:rPr>
          <w:i/>
          <w:color w:val="000000" w:themeColor="text1"/>
          <w:sz w:val="21"/>
          <w:szCs w:val="21"/>
        </w:rPr>
        <w:t xml:space="preserve"> К</w:t>
      </w:r>
      <w:r w:rsidRPr="00CA7C54">
        <w:rPr>
          <w:i/>
          <w:color w:val="000000" w:themeColor="text1"/>
          <w:sz w:val="21"/>
          <w:szCs w:val="21"/>
          <w:vertAlign w:val="subscript"/>
        </w:rPr>
        <w:t>Д</w:t>
      </w:r>
      <w:r w:rsidRPr="00CA7C54">
        <w:rPr>
          <w:color w:val="000000" w:themeColor="text1"/>
          <w:sz w:val="21"/>
          <w:szCs w:val="21"/>
        </w:rPr>
        <w:t xml:space="preserve"> = 1,3.</w:t>
      </w:r>
    </w:p>
    <w:p w14:paraId="3C5F3DE0" w14:textId="77777777" w:rsidR="0084511E" w:rsidRPr="00CA7C54" w:rsidRDefault="0084511E" w:rsidP="00326D96">
      <w:pPr>
        <w:pBdr>
          <w:top w:val="nil"/>
          <w:left w:val="nil"/>
          <w:bottom w:val="nil"/>
          <w:right w:val="nil"/>
          <w:between w:val="nil"/>
        </w:pBdr>
        <w:spacing w:before="0" w:line="288" w:lineRule="auto"/>
        <w:contextualSpacing/>
        <w:rPr>
          <w:color w:val="000000" w:themeColor="text1"/>
          <w:sz w:val="21"/>
          <w:szCs w:val="21"/>
        </w:rPr>
      </w:pPr>
    </w:p>
    <w:p w14:paraId="2CD59112"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rPr>
      </w:pPr>
      <w:r w:rsidRPr="00CA7C54">
        <w:rPr>
          <w:b/>
          <w:color w:val="000000" w:themeColor="text1"/>
          <w:sz w:val="21"/>
          <w:szCs w:val="21"/>
        </w:rPr>
        <w:t xml:space="preserve">Таблиця 14.12 </w:t>
      </w:r>
      <w:r w:rsidRPr="00CA7C54">
        <w:rPr>
          <w:color w:val="000000" w:themeColor="text1"/>
          <w:sz w:val="21"/>
          <w:szCs w:val="21"/>
        </w:rPr>
        <w:t>– Коефіцієнт динамічності К</w:t>
      </w:r>
      <w:r w:rsidRPr="00CA7C54">
        <w:rPr>
          <w:color w:val="000000" w:themeColor="text1"/>
          <w:sz w:val="21"/>
          <w:szCs w:val="21"/>
          <w:vertAlign w:val="subscript"/>
        </w:rPr>
        <w:t>д</w:t>
      </w:r>
      <w:r w:rsidRPr="00CA7C54">
        <w:rPr>
          <w:color w:val="000000" w:themeColor="text1"/>
          <w:sz w:val="21"/>
          <w:szCs w:val="21"/>
        </w:rPr>
        <w:t xml:space="preserve"> для елементів входу</w:t>
      </w:r>
    </w:p>
    <w:tbl>
      <w:tblPr>
        <w:tblStyle w:val="affffffffffffffffffffffffffffffff6"/>
        <w:tblW w:w="9781" w:type="dxa"/>
        <w:tblInd w:w="-5" w:type="dxa"/>
        <w:tblLayout w:type="fixed"/>
        <w:tblLook w:val="0000" w:firstRow="0" w:lastRow="0" w:firstColumn="0" w:lastColumn="0" w:noHBand="0" w:noVBand="0"/>
      </w:tblPr>
      <w:tblGrid>
        <w:gridCol w:w="3960"/>
        <w:gridCol w:w="1569"/>
        <w:gridCol w:w="1275"/>
        <w:gridCol w:w="1134"/>
        <w:gridCol w:w="1843"/>
      </w:tblGrid>
      <w:tr w:rsidR="00CA7C54" w:rsidRPr="00CA7C54" w14:paraId="44F3F028" w14:textId="77777777" w:rsidTr="0057173E">
        <w:trPr>
          <w:trHeight w:val="359"/>
          <w:tblHeader/>
        </w:trPr>
        <w:tc>
          <w:tcPr>
            <w:tcW w:w="3960" w:type="dxa"/>
            <w:vMerge w:val="restart"/>
            <w:tcBorders>
              <w:top w:val="single" w:sz="4" w:space="0" w:color="000000"/>
              <w:left w:val="single" w:sz="4" w:space="0" w:color="000000"/>
              <w:bottom w:val="single" w:sz="4" w:space="0" w:color="000000"/>
            </w:tcBorders>
            <w:shd w:val="clear" w:color="auto" w:fill="auto"/>
            <w:vAlign w:val="center"/>
          </w:tcPr>
          <w:p w14:paraId="182B1916"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ТИП ВХОДІВ</w:t>
            </w:r>
          </w:p>
        </w:tc>
        <w:tc>
          <w:tcPr>
            <w:tcW w:w="582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86E27A6"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Коефіцієнт динамічності К</w:t>
            </w:r>
            <w:r w:rsidRPr="0057173E">
              <w:rPr>
                <w:rFonts w:ascii="Arial" w:hAnsi="Arial" w:cs="Arial"/>
                <w:b/>
                <w:color w:val="000000" w:themeColor="text1"/>
                <w:sz w:val="20"/>
                <w:szCs w:val="20"/>
                <w:vertAlign w:val="subscript"/>
              </w:rPr>
              <w:t>д</w:t>
            </w:r>
            <w:r w:rsidRPr="0057173E">
              <w:rPr>
                <w:rFonts w:ascii="Arial" w:hAnsi="Arial" w:cs="Arial"/>
                <w:b/>
                <w:color w:val="000000" w:themeColor="text1"/>
                <w:sz w:val="20"/>
                <w:szCs w:val="20"/>
              </w:rPr>
              <w:t xml:space="preserve"> для елементів входу</w:t>
            </w:r>
          </w:p>
        </w:tc>
      </w:tr>
      <w:tr w:rsidR="00CA7C54" w:rsidRPr="00CA7C54" w14:paraId="5F28B023" w14:textId="77777777" w:rsidTr="0057173E">
        <w:trPr>
          <w:trHeight w:val="641"/>
          <w:tblHeader/>
        </w:trPr>
        <w:tc>
          <w:tcPr>
            <w:tcW w:w="3960" w:type="dxa"/>
            <w:vMerge/>
            <w:tcBorders>
              <w:top w:val="single" w:sz="4" w:space="0" w:color="000000"/>
              <w:left w:val="single" w:sz="4" w:space="0" w:color="000000"/>
              <w:bottom w:val="single" w:sz="4" w:space="0" w:color="000000"/>
            </w:tcBorders>
            <w:shd w:val="clear" w:color="auto" w:fill="auto"/>
            <w:vAlign w:val="center"/>
          </w:tcPr>
          <w:p w14:paraId="5D511B1A" w14:textId="77777777" w:rsidR="003C4E04" w:rsidRPr="0057173E"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p>
        </w:tc>
        <w:tc>
          <w:tcPr>
            <w:tcW w:w="1569" w:type="dxa"/>
            <w:tcBorders>
              <w:top w:val="single" w:sz="4" w:space="0" w:color="000000"/>
              <w:left w:val="single" w:sz="4" w:space="0" w:color="000000"/>
              <w:bottom w:val="single" w:sz="4" w:space="0" w:color="000000"/>
            </w:tcBorders>
            <w:shd w:val="clear" w:color="auto" w:fill="auto"/>
            <w:vAlign w:val="center"/>
          </w:tcPr>
          <w:p w14:paraId="0B8995DB"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стін в місцях примикання входів</w:t>
            </w:r>
          </w:p>
        </w:tc>
        <w:tc>
          <w:tcPr>
            <w:tcW w:w="1275" w:type="dxa"/>
            <w:tcBorders>
              <w:top w:val="single" w:sz="4" w:space="0" w:color="000000"/>
              <w:left w:val="single" w:sz="4" w:space="0" w:color="000000"/>
              <w:bottom w:val="single" w:sz="4" w:space="0" w:color="000000"/>
            </w:tcBorders>
            <w:shd w:val="clear" w:color="auto" w:fill="auto"/>
            <w:vAlign w:val="center"/>
          </w:tcPr>
          <w:p w14:paraId="3846AB21"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стін тамбурів- шлюзів</w:t>
            </w:r>
          </w:p>
        </w:tc>
        <w:tc>
          <w:tcPr>
            <w:tcW w:w="1134" w:type="dxa"/>
            <w:tcBorders>
              <w:top w:val="single" w:sz="4" w:space="0" w:color="000000"/>
              <w:left w:val="single" w:sz="4" w:space="0" w:color="000000"/>
              <w:bottom w:val="single" w:sz="4" w:space="0" w:color="000000"/>
            </w:tcBorders>
            <w:shd w:val="clear" w:color="auto" w:fill="auto"/>
            <w:vAlign w:val="center"/>
          </w:tcPr>
          <w:p w14:paraId="0A1FF027"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стін тамбурів</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CAF82" w14:textId="77777777" w:rsidR="0057173E" w:rsidRDefault="001E748C" w:rsidP="00326D96">
            <w:pPr>
              <w:pBdr>
                <w:top w:val="nil"/>
                <w:left w:val="nil"/>
                <w:bottom w:val="nil"/>
                <w:right w:val="nil"/>
                <w:between w:val="nil"/>
              </w:pBdr>
              <w:spacing w:before="0" w:line="288" w:lineRule="auto"/>
              <w:ind w:firstLine="0"/>
              <w:contextualSpacing/>
              <w:jc w:val="center"/>
              <w:rPr>
                <w:rFonts w:ascii="Arial" w:hAnsi="Arial" w:cs="Arial"/>
                <w:b/>
                <w:color w:val="000000" w:themeColor="text1"/>
                <w:sz w:val="20"/>
                <w:szCs w:val="20"/>
              </w:rPr>
            </w:pPr>
            <w:r w:rsidRPr="0057173E">
              <w:rPr>
                <w:rFonts w:ascii="Arial" w:hAnsi="Arial" w:cs="Arial"/>
                <w:b/>
                <w:color w:val="000000" w:themeColor="text1"/>
                <w:sz w:val="20"/>
                <w:szCs w:val="20"/>
              </w:rPr>
              <w:t>захисно-герметичних</w:t>
            </w:r>
          </w:p>
          <w:p w14:paraId="46F5CF90"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 xml:space="preserve"> та захисних дверей</w:t>
            </w:r>
          </w:p>
        </w:tc>
      </w:tr>
      <w:tr w:rsidR="00CA7C54" w:rsidRPr="00CA7C54" w14:paraId="6F3393F1" w14:textId="77777777" w:rsidTr="0057173E">
        <w:trPr>
          <w:trHeight w:val="320"/>
        </w:trPr>
        <w:tc>
          <w:tcPr>
            <w:tcW w:w="3960" w:type="dxa"/>
            <w:tcBorders>
              <w:top w:val="single" w:sz="4" w:space="0" w:color="000000"/>
              <w:left w:val="single" w:sz="4" w:space="0" w:color="000000"/>
              <w:bottom w:val="single" w:sz="4" w:space="0" w:color="000000"/>
            </w:tcBorders>
            <w:shd w:val="clear" w:color="auto" w:fill="auto"/>
          </w:tcPr>
          <w:p w14:paraId="36FA0CFA"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1. З підвалів не захищених вiд ударної хвилі</w:t>
            </w:r>
          </w:p>
        </w:tc>
        <w:tc>
          <w:tcPr>
            <w:tcW w:w="1569" w:type="dxa"/>
            <w:tcBorders>
              <w:top w:val="single" w:sz="4" w:space="0" w:color="000000"/>
              <w:left w:val="single" w:sz="4" w:space="0" w:color="000000"/>
              <w:bottom w:val="single" w:sz="4" w:space="0" w:color="000000"/>
            </w:tcBorders>
            <w:shd w:val="clear" w:color="auto" w:fill="auto"/>
            <w:vAlign w:val="center"/>
          </w:tcPr>
          <w:p w14:paraId="31D099A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1,2</w:t>
            </w:r>
          </w:p>
        </w:tc>
        <w:tc>
          <w:tcPr>
            <w:tcW w:w="1275" w:type="dxa"/>
            <w:tcBorders>
              <w:top w:val="single" w:sz="4" w:space="0" w:color="000000"/>
              <w:left w:val="single" w:sz="4" w:space="0" w:color="000000"/>
              <w:bottom w:val="single" w:sz="4" w:space="0" w:color="000000"/>
            </w:tcBorders>
            <w:shd w:val="clear" w:color="auto" w:fill="auto"/>
            <w:vAlign w:val="center"/>
          </w:tcPr>
          <w:p w14:paraId="2AA281E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1,2</w:t>
            </w:r>
          </w:p>
        </w:tc>
        <w:tc>
          <w:tcPr>
            <w:tcW w:w="1134" w:type="dxa"/>
            <w:tcBorders>
              <w:top w:val="single" w:sz="4" w:space="0" w:color="000000"/>
              <w:left w:val="single" w:sz="4" w:space="0" w:color="000000"/>
              <w:bottom w:val="single" w:sz="4" w:space="0" w:color="000000"/>
            </w:tcBorders>
            <w:shd w:val="clear" w:color="auto" w:fill="auto"/>
            <w:vAlign w:val="center"/>
          </w:tcPr>
          <w:p w14:paraId="375ED25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80F6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r>
      <w:tr w:rsidR="00CA7C54" w:rsidRPr="00CA7C54" w14:paraId="4D843798" w14:textId="77777777" w:rsidTr="0057173E">
        <w:tc>
          <w:tcPr>
            <w:tcW w:w="3960" w:type="dxa"/>
            <w:tcBorders>
              <w:top w:val="single" w:sz="4" w:space="0" w:color="000000"/>
              <w:left w:val="single" w:sz="4" w:space="0" w:color="000000"/>
              <w:bottom w:val="single" w:sz="4" w:space="0" w:color="000000"/>
            </w:tcBorders>
            <w:shd w:val="clear" w:color="auto" w:fill="auto"/>
          </w:tcPr>
          <w:p w14:paraId="28BF873A"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2. Наскрізний з перекритою дiлянкою проти вхідного отвору</w:t>
            </w:r>
          </w:p>
        </w:tc>
        <w:tc>
          <w:tcPr>
            <w:tcW w:w="1569" w:type="dxa"/>
            <w:tcBorders>
              <w:top w:val="single" w:sz="4" w:space="0" w:color="000000"/>
              <w:left w:val="single" w:sz="4" w:space="0" w:color="000000"/>
              <w:bottom w:val="single" w:sz="4" w:space="0" w:color="000000"/>
            </w:tcBorders>
            <w:shd w:val="clear" w:color="auto" w:fill="auto"/>
            <w:vAlign w:val="center"/>
          </w:tcPr>
          <w:p w14:paraId="56B38D8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c>
          <w:tcPr>
            <w:tcW w:w="1275" w:type="dxa"/>
            <w:tcBorders>
              <w:top w:val="single" w:sz="4" w:space="0" w:color="000000"/>
              <w:left w:val="single" w:sz="4" w:space="0" w:color="000000"/>
              <w:bottom w:val="single" w:sz="4" w:space="0" w:color="000000"/>
            </w:tcBorders>
            <w:shd w:val="clear" w:color="auto" w:fill="auto"/>
            <w:vAlign w:val="center"/>
          </w:tcPr>
          <w:p w14:paraId="4148EBCD"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134" w:type="dxa"/>
            <w:tcBorders>
              <w:top w:val="single" w:sz="4" w:space="0" w:color="000000"/>
              <w:left w:val="single" w:sz="4" w:space="0" w:color="000000"/>
              <w:bottom w:val="single" w:sz="4" w:space="0" w:color="000000"/>
            </w:tcBorders>
            <w:shd w:val="clear" w:color="auto" w:fill="auto"/>
            <w:vAlign w:val="center"/>
          </w:tcPr>
          <w:p w14:paraId="258AF210"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51A7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1,8</w:t>
            </w:r>
          </w:p>
        </w:tc>
      </w:tr>
      <w:tr w:rsidR="00CA7C54" w:rsidRPr="00CA7C54" w14:paraId="62529215" w14:textId="77777777" w:rsidTr="0057173E">
        <w:tc>
          <w:tcPr>
            <w:tcW w:w="3960" w:type="dxa"/>
            <w:tcBorders>
              <w:top w:val="single" w:sz="4" w:space="0" w:color="000000"/>
              <w:left w:val="single" w:sz="4" w:space="0" w:color="000000"/>
              <w:bottom w:val="single" w:sz="4" w:space="0" w:color="000000"/>
            </w:tcBorders>
            <w:shd w:val="clear" w:color="auto" w:fill="auto"/>
          </w:tcPr>
          <w:p w14:paraId="64559430"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3. З приміщень першого поверху у захисну споруду</w:t>
            </w:r>
          </w:p>
        </w:tc>
        <w:tc>
          <w:tcPr>
            <w:tcW w:w="1569" w:type="dxa"/>
            <w:tcBorders>
              <w:top w:val="single" w:sz="4" w:space="0" w:color="000000"/>
              <w:left w:val="single" w:sz="4" w:space="0" w:color="000000"/>
              <w:bottom w:val="single" w:sz="4" w:space="0" w:color="000000"/>
            </w:tcBorders>
            <w:shd w:val="clear" w:color="auto" w:fill="auto"/>
            <w:vAlign w:val="center"/>
          </w:tcPr>
          <w:p w14:paraId="4222EAB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1,4</w:t>
            </w:r>
          </w:p>
          <w:p w14:paraId="5092B92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1,6</w:t>
            </w:r>
          </w:p>
        </w:tc>
        <w:tc>
          <w:tcPr>
            <w:tcW w:w="1275" w:type="dxa"/>
            <w:tcBorders>
              <w:top w:val="single" w:sz="4" w:space="0" w:color="000000"/>
              <w:left w:val="single" w:sz="4" w:space="0" w:color="000000"/>
              <w:bottom w:val="single" w:sz="4" w:space="0" w:color="000000"/>
            </w:tcBorders>
            <w:shd w:val="clear" w:color="auto" w:fill="auto"/>
            <w:vAlign w:val="center"/>
          </w:tcPr>
          <w:p w14:paraId="27D51A9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1,2</w:t>
            </w:r>
          </w:p>
          <w:p w14:paraId="356A6A3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134" w:type="dxa"/>
            <w:tcBorders>
              <w:top w:val="single" w:sz="4" w:space="0" w:color="000000"/>
              <w:left w:val="single" w:sz="4" w:space="0" w:color="000000"/>
              <w:bottom w:val="single" w:sz="4" w:space="0" w:color="000000"/>
            </w:tcBorders>
            <w:shd w:val="clear" w:color="auto" w:fill="auto"/>
            <w:vAlign w:val="center"/>
          </w:tcPr>
          <w:p w14:paraId="4E7901B7"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1,0</w:t>
            </w:r>
          </w:p>
          <w:p w14:paraId="1343A57F"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0AEB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1,5</w:t>
            </w:r>
          </w:p>
          <w:p w14:paraId="57AB511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r>
    </w:tbl>
    <w:p w14:paraId="14BB0859" w14:textId="77777777" w:rsidR="005D6AB1" w:rsidRPr="00CA7C54" w:rsidRDefault="005D6AB1">
      <w:pPr>
        <w:rPr>
          <w:color w:val="000000" w:themeColor="text1"/>
        </w:rPr>
      </w:pPr>
      <w:r w:rsidRPr="00CA7C54">
        <w:rPr>
          <w:color w:val="000000" w:themeColor="text1"/>
        </w:rPr>
        <w:br w:type="page"/>
      </w:r>
    </w:p>
    <w:tbl>
      <w:tblPr>
        <w:tblStyle w:val="affffffffffffffffffffffffffffffff6"/>
        <w:tblW w:w="9781" w:type="dxa"/>
        <w:tblLayout w:type="fixed"/>
        <w:tblLook w:val="0000" w:firstRow="0" w:lastRow="0" w:firstColumn="0" w:lastColumn="0" w:noHBand="0" w:noVBand="0"/>
      </w:tblPr>
      <w:tblGrid>
        <w:gridCol w:w="3960"/>
        <w:gridCol w:w="1569"/>
        <w:gridCol w:w="1275"/>
        <w:gridCol w:w="1276"/>
        <w:gridCol w:w="1701"/>
      </w:tblGrid>
      <w:tr w:rsidR="00CA7C54" w:rsidRPr="00CA7C54" w14:paraId="25145FBC" w14:textId="77777777" w:rsidTr="0057173E">
        <w:tc>
          <w:tcPr>
            <w:tcW w:w="9781" w:type="dxa"/>
            <w:gridSpan w:val="5"/>
            <w:tcBorders>
              <w:top w:val="nil"/>
              <w:bottom w:val="single" w:sz="4" w:space="0" w:color="000000"/>
            </w:tcBorders>
            <w:shd w:val="clear" w:color="auto" w:fill="auto"/>
          </w:tcPr>
          <w:p w14:paraId="663BF434" w14:textId="77777777" w:rsidR="005D6AB1" w:rsidRPr="00CA7C54" w:rsidRDefault="005D6AB1" w:rsidP="005D6AB1">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14.12</w:t>
            </w:r>
          </w:p>
        </w:tc>
      </w:tr>
      <w:tr w:rsidR="00CA7C54" w:rsidRPr="00CA7C54" w14:paraId="1309ED81" w14:textId="77777777" w:rsidTr="0057173E">
        <w:tc>
          <w:tcPr>
            <w:tcW w:w="3960" w:type="dxa"/>
            <w:vMerge w:val="restart"/>
            <w:tcBorders>
              <w:top w:val="single" w:sz="4" w:space="0" w:color="000000"/>
              <w:left w:val="single" w:sz="4" w:space="0" w:color="000000"/>
            </w:tcBorders>
            <w:shd w:val="clear" w:color="auto" w:fill="auto"/>
            <w:vAlign w:val="center"/>
          </w:tcPr>
          <w:p w14:paraId="19A977E8"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rPr>
            </w:pPr>
            <w:r w:rsidRPr="0057173E">
              <w:rPr>
                <w:rFonts w:ascii="Arial" w:hAnsi="Arial" w:cs="Arial"/>
                <w:b/>
                <w:color w:val="000000" w:themeColor="text1"/>
                <w:sz w:val="20"/>
                <w:szCs w:val="20"/>
              </w:rPr>
              <w:t>ТИП ВХОДІВ</w:t>
            </w:r>
          </w:p>
        </w:tc>
        <w:tc>
          <w:tcPr>
            <w:tcW w:w="582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569B322"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Коефіцієнт динамічності К</w:t>
            </w:r>
            <w:r w:rsidRPr="0057173E">
              <w:rPr>
                <w:rFonts w:ascii="Arial" w:hAnsi="Arial" w:cs="Arial"/>
                <w:b/>
                <w:color w:val="000000" w:themeColor="text1"/>
                <w:sz w:val="20"/>
                <w:szCs w:val="20"/>
                <w:vertAlign w:val="subscript"/>
              </w:rPr>
              <w:t>д</w:t>
            </w:r>
            <w:r w:rsidRPr="0057173E">
              <w:rPr>
                <w:rFonts w:ascii="Arial" w:hAnsi="Arial" w:cs="Arial"/>
                <w:b/>
                <w:color w:val="000000" w:themeColor="text1"/>
                <w:sz w:val="20"/>
                <w:szCs w:val="20"/>
              </w:rPr>
              <w:t xml:space="preserve"> для елементів входу</w:t>
            </w:r>
          </w:p>
        </w:tc>
      </w:tr>
      <w:tr w:rsidR="00CA7C54" w:rsidRPr="00CA7C54" w14:paraId="27606637" w14:textId="77777777" w:rsidTr="0057173E">
        <w:tc>
          <w:tcPr>
            <w:tcW w:w="3960" w:type="dxa"/>
            <w:vMerge/>
            <w:tcBorders>
              <w:left w:val="single" w:sz="4" w:space="0" w:color="000000"/>
              <w:bottom w:val="single" w:sz="4" w:space="0" w:color="000000"/>
            </w:tcBorders>
            <w:shd w:val="clear" w:color="auto" w:fill="auto"/>
            <w:vAlign w:val="center"/>
          </w:tcPr>
          <w:p w14:paraId="7EE932A5" w14:textId="77777777" w:rsidR="005D6AB1" w:rsidRPr="0057173E" w:rsidRDefault="005D6AB1" w:rsidP="005D6AB1">
            <w:pPr>
              <w:pBdr>
                <w:top w:val="nil"/>
                <w:left w:val="nil"/>
                <w:bottom w:val="nil"/>
                <w:right w:val="nil"/>
                <w:between w:val="nil"/>
              </w:pBdr>
              <w:spacing w:before="0" w:line="288" w:lineRule="auto"/>
              <w:ind w:firstLine="0"/>
              <w:contextualSpacing/>
              <w:rPr>
                <w:color w:val="000000" w:themeColor="text1"/>
                <w:sz w:val="20"/>
                <w:szCs w:val="20"/>
              </w:rPr>
            </w:pPr>
          </w:p>
        </w:tc>
        <w:tc>
          <w:tcPr>
            <w:tcW w:w="1569" w:type="dxa"/>
            <w:tcBorders>
              <w:top w:val="single" w:sz="4" w:space="0" w:color="000000"/>
              <w:left w:val="single" w:sz="4" w:space="0" w:color="000000"/>
              <w:bottom w:val="single" w:sz="4" w:space="0" w:color="000000"/>
            </w:tcBorders>
            <w:shd w:val="clear" w:color="auto" w:fill="auto"/>
            <w:vAlign w:val="center"/>
          </w:tcPr>
          <w:p w14:paraId="5348DA67"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стін в місцях примикання входів</w:t>
            </w:r>
          </w:p>
        </w:tc>
        <w:tc>
          <w:tcPr>
            <w:tcW w:w="1275" w:type="dxa"/>
            <w:tcBorders>
              <w:top w:val="single" w:sz="4" w:space="0" w:color="000000"/>
              <w:left w:val="single" w:sz="4" w:space="0" w:color="000000"/>
              <w:bottom w:val="single" w:sz="4" w:space="0" w:color="000000"/>
            </w:tcBorders>
            <w:shd w:val="clear" w:color="auto" w:fill="auto"/>
            <w:vAlign w:val="center"/>
          </w:tcPr>
          <w:p w14:paraId="2CEF8201"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стін тамбурів- шлюзів</w:t>
            </w:r>
          </w:p>
        </w:tc>
        <w:tc>
          <w:tcPr>
            <w:tcW w:w="1276" w:type="dxa"/>
            <w:tcBorders>
              <w:top w:val="single" w:sz="4" w:space="0" w:color="000000"/>
              <w:left w:val="single" w:sz="4" w:space="0" w:color="000000"/>
              <w:bottom w:val="single" w:sz="4" w:space="0" w:color="000000"/>
            </w:tcBorders>
            <w:shd w:val="clear" w:color="auto" w:fill="auto"/>
            <w:vAlign w:val="center"/>
          </w:tcPr>
          <w:p w14:paraId="7B5B1901"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стін тамбурів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B47DA"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захисно-герметичних та захисних дверей</w:t>
            </w:r>
          </w:p>
        </w:tc>
      </w:tr>
      <w:tr w:rsidR="00CA7C54" w:rsidRPr="00CA7C54" w14:paraId="6148003A" w14:textId="77777777" w:rsidTr="0057173E">
        <w:tc>
          <w:tcPr>
            <w:tcW w:w="3960" w:type="dxa"/>
            <w:tcBorders>
              <w:top w:val="single" w:sz="4" w:space="0" w:color="000000"/>
              <w:left w:val="single" w:sz="4" w:space="0" w:color="000000"/>
              <w:bottom w:val="single" w:sz="4" w:space="0" w:color="000000"/>
            </w:tcBorders>
            <w:shd w:val="clear" w:color="auto" w:fill="auto"/>
          </w:tcPr>
          <w:p w14:paraId="383E14BD" w14:textId="77777777" w:rsidR="005D6AB1" w:rsidRPr="00CA7C54" w:rsidRDefault="005D6AB1" w:rsidP="005D6AB1">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4. Із сходових кліток при входi у сходову клітку з вулиці</w:t>
            </w:r>
          </w:p>
        </w:tc>
        <w:tc>
          <w:tcPr>
            <w:tcW w:w="1569" w:type="dxa"/>
            <w:tcBorders>
              <w:top w:val="single" w:sz="4" w:space="0" w:color="000000"/>
              <w:left w:val="single" w:sz="4" w:space="0" w:color="000000"/>
              <w:bottom w:val="single" w:sz="4" w:space="0" w:color="000000"/>
            </w:tcBorders>
            <w:shd w:val="clear" w:color="auto" w:fill="auto"/>
            <w:vAlign w:val="center"/>
          </w:tcPr>
          <w:p w14:paraId="40AE5873"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1,5</w:t>
            </w:r>
          </w:p>
          <w:p w14:paraId="7B83F9AF"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c>
          <w:tcPr>
            <w:tcW w:w="1275" w:type="dxa"/>
            <w:tcBorders>
              <w:top w:val="single" w:sz="4" w:space="0" w:color="000000"/>
              <w:left w:val="single" w:sz="4" w:space="0" w:color="000000"/>
              <w:bottom w:val="single" w:sz="4" w:space="0" w:color="000000"/>
            </w:tcBorders>
            <w:shd w:val="clear" w:color="auto" w:fill="auto"/>
            <w:vAlign w:val="center"/>
          </w:tcPr>
          <w:p w14:paraId="110E9A79"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1,2</w:t>
            </w:r>
          </w:p>
          <w:p w14:paraId="7848DD02"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276" w:type="dxa"/>
            <w:tcBorders>
              <w:top w:val="single" w:sz="4" w:space="0" w:color="000000"/>
              <w:left w:val="single" w:sz="4" w:space="0" w:color="000000"/>
              <w:bottom w:val="single" w:sz="4" w:space="0" w:color="000000"/>
            </w:tcBorders>
            <w:shd w:val="clear" w:color="auto" w:fill="auto"/>
            <w:vAlign w:val="center"/>
          </w:tcPr>
          <w:p w14:paraId="1E5399C1"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1,0</w:t>
            </w:r>
          </w:p>
          <w:p w14:paraId="083E36B1"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4D2E8"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1,6</w:t>
            </w:r>
          </w:p>
          <w:p w14:paraId="7ADBE75E"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1,8</w:t>
            </w:r>
          </w:p>
        </w:tc>
      </w:tr>
      <w:tr w:rsidR="00CA7C54" w:rsidRPr="00CA7C54" w14:paraId="627F07B7" w14:textId="77777777" w:rsidTr="0057173E">
        <w:tc>
          <w:tcPr>
            <w:tcW w:w="3960" w:type="dxa"/>
            <w:tcBorders>
              <w:top w:val="single" w:sz="4" w:space="0" w:color="000000"/>
              <w:left w:val="single" w:sz="4" w:space="0" w:color="000000"/>
              <w:bottom w:val="single" w:sz="4" w:space="0" w:color="000000"/>
            </w:tcBorders>
            <w:shd w:val="clear" w:color="auto" w:fill="auto"/>
          </w:tcPr>
          <w:p w14:paraId="223D8D4F" w14:textId="77777777" w:rsidR="005D6AB1" w:rsidRPr="00CA7C54" w:rsidRDefault="005D6AB1" w:rsidP="005D6AB1">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5. Тупиковий без оголовка або з легким (що руйнується) павільйоном</w:t>
            </w:r>
          </w:p>
        </w:tc>
        <w:tc>
          <w:tcPr>
            <w:tcW w:w="1569" w:type="dxa"/>
            <w:tcBorders>
              <w:top w:val="single" w:sz="4" w:space="0" w:color="000000"/>
              <w:left w:val="single" w:sz="4" w:space="0" w:color="000000"/>
              <w:bottom w:val="single" w:sz="4" w:space="0" w:color="000000"/>
            </w:tcBorders>
            <w:shd w:val="clear" w:color="auto" w:fill="auto"/>
            <w:vAlign w:val="center"/>
          </w:tcPr>
          <w:p w14:paraId="2E62DA2E"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c>
          <w:tcPr>
            <w:tcW w:w="1275" w:type="dxa"/>
            <w:tcBorders>
              <w:top w:val="single" w:sz="4" w:space="0" w:color="000000"/>
              <w:left w:val="single" w:sz="4" w:space="0" w:color="000000"/>
              <w:bottom w:val="single" w:sz="4" w:space="0" w:color="000000"/>
            </w:tcBorders>
            <w:shd w:val="clear" w:color="auto" w:fill="auto"/>
            <w:vAlign w:val="center"/>
          </w:tcPr>
          <w:p w14:paraId="2158DF52"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276" w:type="dxa"/>
            <w:tcBorders>
              <w:top w:val="single" w:sz="4" w:space="0" w:color="000000"/>
              <w:left w:val="single" w:sz="4" w:space="0" w:color="000000"/>
              <w:bottom w:val="single" w:sz="4" w:space="0" w:color="000000"/>
            </w:tcBorders>
            <w:shd w:val="clear" w:color="auto" w:fill="auto"/>
            <w:vAlign w:val="center"/>
          </w:tcPr>
          <w:p w14:paraId="697C00A3"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161BA"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1,8</w:t>
            </w:r>
          </w:p>
        </w:tc>
      </w:tr>
      <w:tr w:rsidR="00CA7C54" w:rsidRPr="00CA7C54" w14:paraId="32BA8BFF" w14:textId="77777777" w:rsidTr="0057173E">
        <w:tc>
          <w:tcPr>
            <w:tcW w:w="3960" w:type="dxa"/>
            <w:tcBorders>
              <w:top w:val="single" w:sz="4" w:space="0" w:color="000000"/>
              <w:left w:val="single" w:sz="4" w:space="0" w:color="000000"/>
              <w:bottom w:val="single" w:sz="4" w:space="0" w:color="000000"/>
            </w:tcBorders>
            <w:shd w:val="clear" w:color="auto" w:fill="auto"/>
          </w:tcPr>
          <w:p w14:paraId="3E57EDF1" w14:textId="77777777" w:rsidR="005D6AB1" w:rsidRPr="00CA7C54" w:rsidRDefault="005D6AB1" w:rsidP="005D6AB1">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6. У піднесених над відкритих зовнішніх стінах, а також вхід з апареллю</w:t>
            </w:r>
          </w:p>
        </w:tc>
        <w:tc>
          <w:tcPr>
            <w:tcW w:w="1569" w:type="dxa"/>
            <w:tcBorders>
              <w:top w:val="single" w:sz="4" w:space="0" w:color="000000"/>
              <w:left w:val="single" w:sz="4" w:space="0" w:color="000000"/>
              <w:bottom w:val="single" w:sz="4" w:space="0" w:color="000000"/>
            </w:tcBorders>
            <w:shd w:val="clear" w:color="auto" w:fill="auto"/>
            <w:vAlign w:val="center"/>
          </w:tcPr>
          <w:p w14:paraId="4E50170F"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1,6</w:t>
            </w:r>
          </w:p>
        </w:tc>
        <w:tc>
          <w:tcPr>
            <w:tcW w:w="1275" w:type="dxa"/>
            <w:tcBorders>
              <w:top w:val="single" w:sz="4" w:space="0" w:color="000000"/>
              <w:left w:val="single" w:sz="4" w:space="0" w:color="000000"/>
              <w:bottom w:val="single" w:sz="4" w:space="0" w:color="000000"/>
            </w:tcBorders>
            <w:shd w:val="clear" w:color="auto" w:fill="auto"/>
            <w:vAlign w:val="center"/>
          </w:tcPr>
          <w:p w14:paraId="7191727D"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276" w:type="dxa"/>
            <w:tcBorders>
              <w:top w:val="single" w:sz="4" w:space="0" w:color="000000"/>
              <w:left w:val="single" w:sz="4" w:space="0" w:color="000000"/>
              <w:bottom w:val="single" w:sz="4" w:space="0" w:color="000000"/>
            </w:tcBorders>
            <w:shd w:val="clear" w:color="auto" w:fill="auto"/>
            <w:vAlign w:val="center"/>
          </w:tcPr>
          <w:p w14:paraId="73E20FA8"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F8FC0"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r>
      <w:tr w:rsidR="00CA7C54" w:rsidRPr="00CA7C54" w14:paraId="6476FB66" w14:textId="77777777" w:rsidTr="0057173E">
        <w:tc>
          <w:tcPr>
            <w:tcW w:w="3960" w:type="dxa"/>
            <w:tcBorders>
              <w:top w:val="single" w:sz="4" w:space="0" w:color="000000"/>
              <w:left w:val="single" w:sz="4" w:space="0" w:color="000000"/>
              <w:bottom w:val="single" w:sz="4" w:space="0" w:color="000000"/>
            </w:tcBorders>
            <w:shd w:val="clear" w:color="auto" w:fill="auto"/>
          </w:tcPr>
          <w:p w14:paraId="399987E9" w14:textId="77777777" w:rsidR="005D6AB1" w:rsidRPr="00CA7C54" w:rsidRDefault="005D6AB1" w:rsidP="005D6AB1">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7. Аварійний вихід з вертикальною шахтою</w:t>
            </w:r>
          </w:p>
        </w:tc>
        <w:tc>
          <w:tcPr>
            <w:tcW w:w="1569" w:type="dxa"/>
            <w:tcBorders>
              <w:top w:val="single" w:sz="4" w:space="0" w:color="000000"/>
              <w:left w:val="single" w:sz="4" w:space="0" w:color="000000"/>
              <w:bottom w:val="single" w:sz="4" w:space="0" w:color="000000"/>
            </w:tcBorders>
            <w:shd w:val="clear" w:color="auto" w:fill="auto"/>
            <w:vAlign w:val="center"/>
          </w:tcPr>
          <w:p w14:paraId="51FFBA0E"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c>
          <w:tcPr>
            <w:tcW w:w="1275" w:type="dxa"/>
            <w:tcBorders>
              <w:top w:val="single" w:sz="4" w:space="0" w:color="000000"/>
              <w:left w:val="single" w:sz="4" w:space="0" w:color="000000"/>
              <w:bottom w:val="single" w:sz="4" w:space="0" w:color="000000"/>
            </w:tcBorders>
            <w:shd w:val="clear" w:color="auto" w:fill="auto"/>
            <w:vAlign w:val="center"/>
          </w:tcPr>
          <w:p w14:paraId="5A917EB4"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w:t>
            </w:r>
          </w:p>
        </w:tc>
        <w:tc>
          <w:tcPr>
            <w:tcW w:w="1276" w:type="dxa"/>
            <w:tcBorders>
              <w:top w:val="single" w:sz="4" w:space="0" w:color="000000"/>
              <w:left w:val="single" w:sz="4" w:space="0" w:color="000000"/>
              <w:bottom w:val="single" w:sz="4" w:space="0" w:color="000000"/>
            </w:tcBorders>
            <w:shd w:val="clear" w:color="auto" w:fill="auto"/>
            <w:vAlign w:val="center"/>
          </w:tcPr>
          <w:p w14:paraId="1AB6B482"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78F07"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1,8</w:t>
            </w:r>
          </w:p>
        </w:tc>
      </w:tr>
      <w:tr w:rsidR="005D6AB1" w:rsidRPr="00CA7C54" w14:paraId="31B6B076" w14:textId="77777777" w:rsidTr="0057173E">
        <w:trPr>
          <w:trHeight w:val="940"/>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43975BA2" w14:textId="77777777" w:rsidR="005D6AB1" w:rsidRPr="00CA7C54" w:rsidRDefault="005D6AB1" w:rsidP="005D6AB1">
            <w:pPr>
              <w:pBdr>
                <w:top w:val="nil"/>
                <w:left w:val="nil"/>
                <w:bottom w:val="nil"/>
                <w:right w:val="nil"/>
                <w:between w:val="nil"/>
              </w:pBdr>
              <w:spacing w:before="0" w:line="288" w:lineRule="auto"/>
              <w:ind w:left="1172" w:hanging="1172"/>
              <w:contextualSpacing/>
              <w:rPr>
                <w:rFonts w:ascii="Arial" w:hAnsi="Arial" w:cs="Arial"/>
                <w:color w:val="000000" w:themeColor="text1"/>
                <w:sz w:val="20"/>
                <w:szCs w:val="20"/>
              </w:rPr>
            </w:pPr>
            <w:r w:rsidRPr="00CA7C54">
              <w:rPr>
                <w:rFonts w:ascii="Arial" w:hAnsi="Arial" w:cs="Arial"/>
                <w:b/>
                <w:color w:val="000000" w:themeColor="text1"/>
                <w:sz w:val="20"/>
                <w:szCs w:val="20"/>
              </w:rPr>
              <w:t>Примітка 1.</w:t>
            </w:r>
            <w:r w:rsidRPr="00CA7C54">
              <w:rPr>
                <w:rFonts w:ascii="Arial" w:hAnsi="Arial" w:cs="Arial"/>
                <w:color w:val="000000" w:themeColor="text1"/>
                <w:sz w:val="20"/>
                <w:szCs w:val="20"/>
              </w:rPr>
              <w:t xml:space="preserve"> Над рискою наведенi данi для елементiв входiв у примiщення першого поверху та сходовi клітки з площею отворiв  до 50%, пiд рискою - з площею отворiв бiльше</w:t>
            </w:r>
            <w:r w:rsidR="00AE7545">
              <w:rPr>
                <w:rFonts w:ascii="Arial" w:hAnsi="Arial" w:cs="Arial"/>
                <w:color w:val="000000" w:themeColor="text1"/>
                <w:sz w:val="20"/>
                <w:szCs w:val="20"/>
              </w:rPr>
              <w:t xml:space="preserve"> ніж</w:t>
            </w:r>
            <w:r w:rsidRPr="00CA7C54">
              <w:rPr>
                <w:rFonts w:ascii="Arial" w:hAnsi="Arial" w:cs="Arial"/>
                <w:color w:val="000000" w:themeColor="text1"/>
                <w:sz w:val="20"/>
                <w:szCs w:val="20"/>
              </w:rPr>
              <w:t xml:space="preserve"> 50%, а також для елементів входів до приміщень з легкоруйнiвними конструкцiями.</w:t>
            </w:r>
          </w:p>
          <w:p w14:paraId="20A33F0E" w14:textId="77777777" w:rsidR="005D6AB1" w:rsidRPr="00CA7C54" w:rsidRDefault="005D6AB1" w:rsidP="005D6AB1">
            <w:pPr>
              <w:pBdr>
                <w:top w:val="nil"/>
                <w:left w:val="nil"/>
                <w:bottom w:val="nil"/>
                <w:right w:val="nil"/>
                <w:between w:val="nil"/>
              </w:pBdr>
              <w:spacing w:before="0" w:line="288" w:lineRule="auto"/>
              <w:ind w:left="1172" w:hanging="1172"/>
              <w:contextualSpacing/>
              <w:rPr>
                <w:rFonts w:ascii="Arial" w:hAnsi="Arial" w:cs="Arial"/>
                <w:color w:val="000000" w:themeColor="text1"/>
                <w:sz w:val="20"/>
                <w:szCs w:val="20"/>
              </w:rPr>
            </w:pPr>
            <w:r w:rsidRPr="00CA7C54">
              <w:rPr>
                <w:rFonts w:ascii="Arial" w:hAnsi="Arial" w:cs="Arial"/>
                <w:b/>
                <w:color w:val="000000" w:themeColor="text1"/>
                <w:sz w:val="20"/>
                <w:szCs w:val="20"/>
              </w:rPr>
              <w:t>Примітка 2.</w:t>
            </w:r>
            <w:r w:rsidRPr="00CA7C54">
              <w:rPr>
                <w:rFonts w:ascii="Arial" w:hAnsi="Arial" w:cs="Arial"/>
                <w:color w:val="000000" w:themeColor="text1"/>
                <w:sz w:val="20"/>
                <w:szCs w:val="20"/>
              </w:rPr>
              <w:t xml:space="preserve"> Площу отворів в огороджуючих конструкціях визначають з урахуванням площі потенційно відкритих для дії вибуху отворів: вікна, двері, технологічні отвори інженерних комунікацій (вентиляція, димовидалення тощо)</w:t>
            </w:r>
          </w:p>
        </w:tc>
      </w:tr>
    </w:tbl>
    <w:p w14:paraId="489C776F" w14:textId="77777777" w:rsidR="003C4E04" w:rsidRPr="00CA7C54" w:rsidRDefault="003C4E04" w:rsidP="00326D96">
      <w:pPr>
        <w:pBdr>
          <w:top w:val="nil"/>
          <w:left w:val="nil"/>
          <w:bottom w:val="nil"/>
          <w:right w:val="nil"/>
          <w:between w:val="nil"/>
        </w:pBdr>
        <w:spacing w:before="0" w:line="288" w:lineRule="auto"/>
        <w:ind w:right="141" w:firstLine="709"/>
        <w:contextualSpacing/>
        <w:rPr>
          <w:rFonts w:eastAsia="Times New Roman"/>
          <w:color w:val="000000" w:themeColor="text1"/>
          <w:sz w:val="21"/>
          <w:szCs w:val="21"/>
        </w:rPr>
      </w:pPr>
    </w:p>
    <w:p w14:paraId="359EABA0"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14.1.3.8</w:t>
      </w:r>
      <w:r w:rsidRPr="00CA7C54">
        <w:rPr>
          <w:color w:val="000000" w:themeColor="text1"/>
          <w:sz w:val="21"/>
          <w:szCs w:val="21"/>
        </w:rPr>
        <w:t xml:space="preserve"> Закладні деталi для закрiплення дверей i вiконниць мають розраховуватися на квазістатичне навантаження, прикладене перпендикулярно до площини стiни та спрямоване у бiк, протилежний дії хвилi.</w:t>
      </w:r>
    </w:p>
    <w:p w14:paraId="232AEBD9"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Величину цього квазістатичного навантаження слiд приймати:</w:t>
      </w:r>
    </w:p>
    <w:p w14:paraId="40A6ABB0"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сховищ / СПП із захисними властивостями класів А-ІІ та А-ІІІ – 25 кПа;</w:t>
      </w:r>
    </w:p>
    <w:p w14:paraId="55156032" w14:textId="77777777" w:rsidR="003C4E04" w:rsidRPr="00CA7C54" w:rsidRDefault="00C7348B" w:rsidP="00C7348B">
      <w:pPr>
        <w:pBdr>
          <w:top w:val="nil"/>
          <w:left w:val="nil"/>
          <w:bottom w:val="nil"/>
          <w:right w:val="nil"/>
          <w:between w:val="nil"/>
        </w:pBdr>
        <w:spacing w:before="0" w:line="288" w:lineRule="auto"/>
        <w:contextualSpacing/>
        <w:jc w:val="left"/>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сховищ / СПП із захисними властивостями класу А-IV та ПРУ / СПП із захисними властивостями ПРУ групи П-1, П-2, П-3, П-4, П-5, П-6  – 15 кПа.</w:t>
      </w:r>
    </w:p>
    <w:p w14:paraId="30182F2A"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Внутрішні стіни розширювальних камер, розташованих за противибуховими пристроями, повиннi розраховуватись на квазістатичне навантаження, що дорiвнює 20 кПа, незалежно класу чи групи захисної споруди / СПП.</w:t>
      </w:r>
    </w:p>
    <w:p w14:paraId="2AD61F4C"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14.1.3.9</w:t>
      </w:r>
      <w:r w:rsidRPr="00CA7C54">
        <w:rPr>
          <w:color w:val="000000" w:themeColor="text1"/>
          <w:sz w:val="21"/>
          <w:szCs w:val="21"/>
        </w:rPr>
        <w:t xml:space="preserve"> Стіни вiдкритих дiлянок та пiдхiднi тунелi входiв на дiю приведеного навантаження не розраховуються, вони перевiряються розрахунком на навантаження при усталеній розрахунковій ситуації.</w:t>
      </w:r>
    </w:p>
    <w:p w14:paraId="737B738F"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Зроблені у входах наскрiзного типу перекриття слiд розраховувати на навантаження, прикладене знизу</w:t>
      </w:r>
      <w:r w:rsidR="00E72B41" w:rsidRPr="00CA7C54">
        <w:rPr>
          <w:color w:val="000000" w:themeColor="text1"/>
          <w:sz w:val="21"/>
          <w:szCs w:val="21"/>
        </w:rPr>
        <w:t>,</w:t>
      </w:r>
      <w:r w:rsidRPr="00CA7C54">
        <w:rPr>
          <w:color w:val="000000" w:themeColor="text1"/>
          <w:sz w:val="21"/>
          <w:szCs w:val="21"/>
        </w:rPr>
        <w:t xml:space="preserve"> та яке дорiвнює значенню надмірного тиску у фронтi повітряної ударної хвилi, помноженому на коефiцiєнт 0,2. Крiм того, перекриття слід перевiряти розрахунком на навантаження вiд зруйнувань вище розташованих конструкцій, яке приймати 0,03 МПа.</w:t>
      </w:r>
    </w:p>
    <w:p w14:paraId="620D23B1"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14.1.3.10</w:t>
      </w:r>
      <w:r w:rsidRPr="00CA7C54">
        <w:rPr>
          <w:color w:val="000000" w:themeColor="text1"/>
          <w:sz w:val="21"/>
          <w:szCs w:val="21"/>
        </w:rPr>
        <w:t xml:space="preserve"> Тунелi аварiйних виходiв та входiв, сумiщених з аварiйними виходами, на дiлянках вiд гирла до захисно-герметичних і захисних дверей (вiконниця) або противибухового пристрою слiд розраховувати на два випадки:</w:t>
      </w:r>
    </w:p>
    <w:p w14:paraId="2D1F2920"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навантаження тiльки ззовні;</w:t>
      </w:r>
    </w:p>
    <w:p w14:paraId="1F7972B7" w14:textId="77777777" w:rsidR="00293FA8" w:rsidRPr="00CA7C54" w:rsidRDefault="00C7348B" w:rsidP="00293FA8">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результуюче – навантаження ззовні та зсередини.</w:t>
      </w:r>
    </w:p>
    <w:p w14:paraId="113291E7" w14:textId="77777777" w:rsidR="003C4E04" w:rsidRPr="00CA7C54" w:rsidRDefault="001E748C" w:rsidP="00293FA8">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lastRenderedPageBreak/>
        <w:t xml:space="preserve">Величини квазістатичних навантажень ззовні визначаються за </w:t>
      </w:r>
      <w:r w:rsidRPr="00CA7C54">
        <w:rPr>
          <w:color w:val="000000" w:themeColor="text1"/>
          <w:sz w:val="21"/>
          <w:szCs w:val="21"/>
          <w:highlight w:val="white"/>
        </w:rPr>
        <w:t xml:space="preserve"> 14.1.3.1 – 14.1.3.5, а зсередини – за 14.1.3.7 цих </w:t>
      </w:r>
      <w:r w:rsidR="00197F09" w:rsidRPr="00CA7C54">
        <w:rPr>
          <w:color w:val="000000" w:themeColor="text1"/>
          <w:sz w:val="21"/>
          <w:szCs w:val="21"/>
          <w:highlight w:val="white"/>
        </w:rPr>
        <w:t>н</w:t>
      </w:r>
      <w:r w:rsidRPr="00CA7C54">
        <w:rPr>
          <w:color w:val="000000" w:themeColor="text1"/>
          <w:sz w:val="21"/>
          <w:szCs w:val="21"/>
          <w:highlight w:val="white"/>
        </w:rPr>
        <w:t>орм. При цьому для тунелів, розташованих у ґрунті, необхідно враховувати пасивний опір ґрунту.</w:t>
      </w:r>
    </w:p>
    <w:p w14:paraId="5C13FFF7"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14.1.3.11</w:t>
      </w:r>
      <w:r w:rsidRPr="00CA7C54">
        <w:rPr>
          <w:color w:val="000000" w:themeColor="text1"/>
          <w:sz w:val="21"/>
          <w:szCs w:val="21"/>
        </w:rPr>
        <w:t xml:space="preserve"> З метою зниження навантаження на основні (огороджувальні) конструкції захисних споруд і СПП допускається встановлювати із зовнішньої сторони додаткові захисні конструкції (щити)  для сприйняття основного впливу від вибухової хвилі.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  на зовнішні стіни, покриття, конструкції тамбурів, тамбур-шлюзів, конструкцій аварійних виходів на елементи залізобетонних конструкцій, із сторони яких встановлено щити, допускається зменшувати на величину </w:t>
      </w:r>
      <w:r w:rsidRPr="00CA7C54">
        <w:rPr>
          <w:i/>
          <w:color w:val="000000" w:themeColor="text1"/>
          <w:sz w:val="21"/>
          <w:szCs w:val="21"/>
        </w:rPr>
        <w:t>q</w:t>
      </w:r>
      <w:r w:rsidRPr="00CA7C54">
        <w:rPr>
          <w:i/>
          <w:color w:val="000000" w:themeColor="text1"/>
          <w:sz w:val="21"/>
          <w:szCs w:val="21"/>
          <w:vertAlign w:val="subscript"/>
        </w:rPr>
        <w:t>col</w:t>
      </w:r>
      <w:r w:rsidRPr="00CA7C54">
        <w:rPr>
          <w:color w:val="000000" w:themeColor="text1"/>
          <w:sz w:val="21"/>
          <w:szCs w:val="21"/>
        </w:rPr>
        <w:t xml:space="preserve"> (руйнуюче) - навантаження, що призводить до руйнування конструкції щита за умови одночасного виконання наступних вимог:</w:t>
      </w:r>
    </w:p>
    <w:p w14:paraId="064F97A7"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щит встановлюється із зовнішньої сторони захисної споруди або СПП;</w:t>
      </w:r>
    </w:p>
    <w:p w14:paraId="36798AE1"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конструкція щита є суцільною та із сторони її встановлення перекриває всю площину захисної споруди та СПП;</w:t>
      </w:r>
    </w:p>
    <w:p w14:paraId="6FD1AFD4"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щит встановлено на відстані не менше аварійного прогину граничного стану по міцності f</w:t>
      </w:r>
      <w:r w:rsidR="001E748C" w:rsidRPr="00CA7C54">
        <w:rPr>
          <w:color w:val="000000" w:themeColor="text1"/>
          <w:sz w:val="21"/>
          <w:szCs w:val="21"/>
          <w:vertAlign w:val="subscript"/>
        </w:rPr>
        <w:t>col</w:t>
      </w:r>
      <w:r w:rsidR="001E748C" w:rsidRPr="00CA7C54">
        <w:rPr>
          <w:color w:val="000000" w:themeColor="text1"/>
          <w:sz w:val="21"/>
          <w:szCs w:val="21"/>
        </w:rPr>
        <w:t xml:space="preserve">  (граничного прогину конструкції екрану від дії руйнуючого навантаження q</w:t>
      </w:r>
      <w:r w:rsidR="001E748C" w:rsidRPr="00CA7C54">
        <w:rPr>
          <w:color w:val="000000" w:themeColor="text1"/>
          <w:sz w:val="21"/>
          <w:szCs w:val="21"/>
          <w:vertAlign w:val="subscript"/>
        </w:rPr>
        <w:t>col</w:t>
      </w:r>
      <w:r w:rsidR="001E748C" w:rsidRPr="00CA7C54">
        <w:rPr>
          <w:color w:val="000000" w:themeColor="text1"/>
          <w:sz w:val="21"/>
          <w:szCs w:val="21"/>
        </w:rPr>
        <w:t>);</w:t>
      </w:r>
    </w:p>
    <w:p w14:paraId="5A534CE7"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щит встановлено на відстані не більше</w:t>
      </w:r>
      <w:r w:rsidR="00E72B41" w:rsidRPr="00CA7C54">
        <w:rPr>
          <w:color w:val="000000" w:themeColor="text1"/>
          <w:sz w:val="21"/>
          <w:szCs w:val="21"/>
        </w:rPr>
        <w:t xml:space="preserve"> ніж </w:t>
      </w:r>
      <w:r w:rsidR="001E748C" w:rsidRPr="00CA7C54">
        <w:rPr>
          <w:color w:val="000000" w:themeColor="text1"/>
          <w:sz w:val="21"/>
          <w:szCs w:val="21"/>
        </w:rPr>
        <w:t>1 м від конструкцій, які він захищає;</w:t>
      </w:r>
    </w:p>
    <w:p w14:paraId="48BA218B"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проміжок між щитом та конструкціями захисної споруди або СПП – виконується у вигляді замкнутих просторів (окремо по кожній із граней захисної споруди чи СПП – для унеможливлення затікання вибухової хвилі вздовж щита) та залишається вільним, без заповнення (для уникнення передачі навантаження на основні конструкції захисної споруди чи СПП).</w:t>
      </w:r>
    </w:p>
    <w:p w14:paraId="27A5B35B" w14:textId="77777777" w:rsidR="003C4E04" w:rsidRPr="00CA7C54" w:rsidRDefault="001E748C" w:rsidP="00E72B41">
      <w:pPr>
        <w:pStyle w:val="3"/>
        <w:spacing w:before="0" w:after="0" w:line="288" w:lineRule="auto"/>
        <w:ind w:left="1276" w:hanging="709"/>
        <w:contextualSpacing/>
        <w:rPr>
          <w:color w:val="000000" w:themeColor="text1"/>
          <w:sz w:val="21"/>
          <w:szCs w:val="21"/>
        </w:rPr>
      </w:pPr>
      <w:r w:rsidRPr="00CA7C54">
        <w:rPr>
          <w:color w:val="000000" w:themeColor="text1"/>
          <w:sz w:val="21"/>
          <w:szCs w:val="21"/>
        </w:rPr>
        <w:t>14.2 Розрахунок бетонних, залізобетонних та сталезалізобетонних конструкцій (елементів)</w:t>
      </w:r>
    </w:p>
    <w:p w14:paraId="1ADE6614" w14:textId="77777777" w:rsidR="003C4E04" w:rsidRPr="00CA7C54" w:rsidRDefault="001E748C" w:rsidP="00326D96">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14.2.1 Загальні положення</w:t>
      </w:r>
    </w:p>
    <w:p w14:paraId="60FED3B2" w14:textId="17C4592D"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14.2.1.1</w:t>
      </w:r>
      <w:r w:rsidRPr="00CA7C54">
        <w:rPr>
          <w:color w:val="000000" w:themeColor="text1"/>
          <w:sz w:val="21"/>
          <w:szCs w:val="21"/>
        </w:rPr>
        <w:t xml:space="preserve"> Розрахунок бетонних і залізобетонних конструкцій з важкого бетону необхідно виконувати відповідно до </w:t>
      </w:r>
      <w:hyperlink r:id="rId302" w:history="1">
        <w:r w:rsidRPr="001F3728">
          <w:rPr>
            <w:rStyle w:val="ac"/>
            <w:rFonts w:cs="Arial"/>
            <w:sz w:val="21"/>
            <w:szCs w:val="21"/>
          </w:rPr>
          <w:t>ДБН В.2.6-98</w:t>
        </w:r>
      </w:hyperlink>
      <w:r w:rsidRPr="00CA7C54">
        <w:rPr>
          <w:color w:val="000000" w:themeColor="text1"/>
          <w:sz w:val="21"/>
          <w:szCs w:val="21"/>
        </w:rPr>
        <w:t xml:space="preserve"> за граничними станами першої та другої груп.</w:t>
      </w:r>
    </w:p>
    <w:p w14:paraId="2B0C49FA" w14:textId="650CA871"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У випадках використання для виготовлення конструкцій дисперсно армованого бетону їх необхідно розраховувати з дотриманням вимог </w:t>
      </w:r>
      <w:hyperlink r:id="rId303" w:history="1">
        <w:r w:rsidRPr="001F3728">
          <w:rPr>
            <w:rStyle w:val="ac"/>
            <w:rFonts w:cs="Arial"/>
            <w:sz w:val="21"/>
            <w:szCs w:val="21"/>
          </w:rPr>
          <w:t>ДСТУ-Н Б В.2.6-218</w:t>
        </w:r>
      </w:hyperlink>
      <w:r w:rsidRPr="00CA7C54">
        <w:rPr>
          <w:color w:val="000000" w:themeColor="text1"/>
          <w:sz w:val="21"/>
          <w:szCs w:val="21"/>
        </w:rPr>
        <w:t>.</w:t>
      </w:r>
    </w:p>
    <w:p w14:paraId="117ECE65" w14:textId="45F4E3FE"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 xml:space="preserve">14.2.1.2 </w:t>
      </w:r>
      <w:r w:rsidRPr="00CA7C54">
        <w:rPr>
          <w:color w:val="000000" w:themeColor="text1"/>
          <w:sz w:val="21"/>
          <w:szCs w:val="21"/>
        </w:rPr>
        <w:t xml:space="preserve">Розрахунок сталезалізобетонних конструкцій необхідно виконувати відповідно вимог до </w:t>
      </w:r>
      <w:hyperlink r:id="rId304" w:history="1">
        <w:r w:rsidRPr="001F3728">
          <w:rPr>
            <w:rStyle w:val="ac"/>
            <w:rFonts w:cs="Arial"/>
            <w:sz w:val="21"/>
            <w:szCs w:val="21"/>
          </w:rPr>
          <w:t>ДБН В.2.6-160</w:t>
        </w:r>
      </w:hyperlink>
      <w:r w:rsidRPr="00CA7C54">
        <w:rPr>
          <w:color w:val="000000" w:themeColor="text1"/>
          <w:sz w:val="21"/>
          <w:szCs w:val="21"/>
        </w:rPr>
        <w:t>.</w:t>
      </w:r>
    </w:p>
    <w:p w14:paraId="48C0B29C"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14.2.1.3.</w:t>
      </w:r>
      <w:r w:rsidRPr="00CA7C54">
        <w:rPr>
          <w:color w:val="000000" w:themeColor="text1"/>
          <w:sz w:val="21"/>
          <w:szCs w:val="21"/>
        </w:rPr>
        <w:t xml:space="preserve"> Захисні споруди та СПП рекомендується проєктувати з монолітного залізобетону та сталезалізобетону. </w:t>
      </w:r>
    </w:p>
    <w:p w14:paraId="2390F42C" w14:textId="2B7BD04E"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14.2.1.4</w:t>
      </w:r>
      <w:r w:rsidRPr="00CA7C54">
        <w:rPr>
          <w:color w:val="000000" w:themeColor="text1"/>
          <w:sz w:val="21"/>
          <w:szCs w:val="21"/>
        </w:rPr>
        <w:t xml:space="preserve"> Показники надійності бетонних і залізобетонних конструкцій (несучої здатності, тріщиностійкості, деформування) захисних споруд цивільного захисту повинні задовольняти вимоги </w:t>
      </w:r>
      <w:hyperlink r:id="rId305" w:history="1">
        <w:r w:rsidRPr="00B82061">
          <w:rPr>
            <w:rStyle w:val="ac"/>
            <w:rFonts w:cs="Arial"/>
            <w:sz w:val="21"/>
            <w:szCs w:val="21"/>
          </w:rPr>
          <w:t>ДБН В.1.2-14.</w:t>
        </w:r>
      </w:hyperlink>
      <w:r w:rsidRPr="00CA7C54">
        <w:rPr>
          <w:color w:val="000000" w:themeColor="text1"/>
          <w:sz w:val="21"/>
          <w:szCs w:val="21"/>
        </w:rPr>
        <w:t xml:space="preserve"> </w:t>
      </w:r>
    </w:p>
    <w:p w14:paraId="0AF40C3C"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14.2.1.5</w:t>
      </w:r>
      <w:r w:rsidRPr="00CA7C54">
        <w:rPr>
          <w:color w:val="000000" w:themeColor="text1"/>
          <w:sz w:val="21"/>
          <w:szCs w:val="21"/>
        </w:rPr>
        <w:t xml:space="preserve"> Використання попереднє напружених  залізобетонних конструкцій в захисних спорудах та СПП не рекомендується.</w:t>
      </w:r>
    </w:p>
    <w:p w14:paraId="4F8621E1"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використаннi у захисних спорудах та СПП попередньо напружених залiзобетонних конструкцій граничне зусилля, яке вiдповiдає розрахунковим динамiчним характеристикам матерiалiв при розрахунку на квазістатичнi навантаження, повинно мати величину, яка викликає виникнення трiщин в укриттях, бiльше</w:t>
      </w:r>
      <w:r w:rsidR="00100A3B" w:rsidRPr="00CA7C54">
        <w:rPr>
          <w:color w:val="000000" w:themeColor="text1"/>
          <w:sz w:val="21"/>
          <w:szCs w:val="21"/>
        </w:rPr>
        <w:t xml:space="preserve"> ніж</w:t>
      </w:r>
      <w:r w:rsidRPr="00CA7C54">
        <w:rPr>
          <w:color w:val="000000" w:themeColor="text1"/>
          <w:sz w:val="21"/>
          <w:szCs w:val="21"/>
        </w:rPr>
        <w:t xml:space="preserve"> на 25%.</w:t>
      </w:r>
    </w:p>
    <w:p w14:paraId="67CE8489"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У попередньо напружених конструкцiях, якi використовуються для захисних споруд, не дозволяється використовувати арматуру, для якої вiдносне подовження при розривi менше 4%. Попередньо напружені конструкцiї, у яких арматура не має зчеплення з бетоном, використовувати в укриттях не допускається.</w:t>
      </w:r>
    </w:p>
    <w:p w14:paraId="78BF66C4" w14:textId="6C067C92"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w:t>
      </w:r>
      <w:r w:rsidR="00CA2158" w:rsidRPr="00CA7C54">
        <w:rPr>
          <w:b/>
          <w:color w:val="000000" w:themeColor="text1"/>
          <w:sz w:val="21"/>
          <w:szCs w:val="21"/>
        </w:rPr>
        <w:t>4</w:t>
      </w:r>
      <w:r w:rsidRPr="00CA7C54">
        <w:rPr>
          <w:b/>
          <w:color w:val="000000" w:themeColor="text1"/>
          <w:sz w:val="21"/>
          <w:szCs w:val="21"/>
        </w:rPr>
        <w:t>.2.1.6</w:t>
      </w:r>
      <w:r w:rsidRPr="00CA7C54">
        <w:rPr>
          <w:color w:val="000000" w:themeColor="text1"/>
          <w:sz w:val="21"/>
          <w:szCs w:val="21"/>
        </w:rPr>
        <w:t> </w:t>
      </w:r>
      <w:r w:rsidRPr="00CA7C54">
        <w:rPr>
          <w:color w:val="000000" w:themeColor="text1"/>
          <w:spacing w:val="-4"/>
          <w:sz w:val="21"/>
          <w:szCs w:val="21"/>
        </w:rPr>
        <w:t xml:space="preserve">Розрахунки за граничним станом першої групи згідно з </w:t>
      </w:r>
      <w:hyperlink r:id="rId306" w:history="1">
        <w:r w:rsidRPr="001F3728">
          <w:rPr>
            <w:rStyle w:val="ac"/>
            <w:rFonts w:cs="Arial"/>
            <w:spacing w:val="-4"/>
            <w:sz w:val="21"/>
            <w:szCs w:val="21"/>
          </w:rPr>
          <w:t>ДБН В.2.6-98</w:t>
        </w:r>
      </w:hyperlink>
      <w:r w:rsidRPr="00CA7C54">
        <w:rPr>
          <w:color w:val="000000" w:themeColor="text1"/>
          <w:spacing w:val="-4"/>
          <w:sz w:val="21"/>
          <w:szCs w:val="21"/>
        </w:rPr>
        <w:t xml:space="preserve"> та </w:t>
      </w:r>
      <w:hyperlink r:id="rId307" w:history="1">
        <w:r w:rsidRPr="00B82061">
          <w:rPr>
            <w:rStyle w:val="ac"/>
            <w:rFonts w:cs="Arial"/>
            <w:spacing w:val="-4"/>
            <w:sz w:val="21"/>
            <w:szCs w:val="21"/>
          </w:rPr>
          <w:t>ДБН В.2.6-160</w:t>
        </w:r>
      </w:hyperlink>
      <w:r w:rsidRPr="00CA7C54">
        <w:rPr>
          <w:color w:val="000000" w:themeColor="text1"/>
          <w:spacing w:val="-4"/>
          <w:sz w:val="21"/>
          <w:szCs w:val="21"/>
        </w:rPr>
        <w:t xml:space="preserve"> містять розрахунки щодо:</w:t>
      </w:r>
    </w:p>
    <w:p w14:paraId="61D655BA"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втрати несучої здатності у зв’язку з крихким, в’язким руйнуванням або руйнуванням від втоми, включаючи руйнування під час сумісної дії зовнішніх навантажень та несприятливого впливу навколишнього середовища;</w:t>
      </w:r>
    </w:p>
    <w:p w14:paraId="76A3A964"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втрати стійкості форми або положення (деформований стан конструкції).</w:t>
      </w:r>
    </w:p>
    <w:p w14:paraId="7FA665F3"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lastRenderedPageBreak/>
        <w:t>Розрахунок конструкції захисних споруд та СПП за граничним станом першої групи повинен забезпечити надійність споруд протягом усього терміну служби та під час будівництва.</w:t>
      </w:r>
    </w:p>
    <w:p w14:paraId="2DA20899"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Розрахунки за граничними станами другої групи містять розрахунки щодо утворення та розкриття тріщин та за деформаціями (прогинами, кутами повороту, переміщеннями, коливаннями).</w:t>
      </w:r>
    </w:p>
    <w:p w14:paraId="3C30B005"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14.2.1.7</w:t>
      </w:r>
      <w:r w:rsidRPr="00CA7C54">
        <w:rPr>
          <w:color w:val="000000" w:themeColor="text1"/>
          <w:sz w:val="21"/>
          <w:szCs w:val="21"/>
        </w:rPr>
        <w:t xml:space="preserve"> В розрахунках конструкцій за граничними станами першої групи за критерій вичерпання несучої здатності перерізів приймається:</w:t>
      </w:r>
    </w:p>
    <w:p w14:paraId="32DD92DF"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втрата рівноваги між внутрішніми та зовнішніми зусиллями (досягнення максимуму на діаграмах «момент – кривизна (прогин)» або «стискальна сила  - деформація бетону найбільш стиснутої фібри» - екстремальний критерій;</w:t>
      </w:r>
    </w:p>
    <w:p w14:paraId="795853CB" w14:textId="0E293770"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руйнування стиснутого бетону при досягненні фібровими деформаціями граничних значень або розрив усіх розтягнутих стрижнів арматури внаслідок досягнення в них граничних деформацій (граничні деформації встановлені</w:t>
      </w:r>
      <w:r w:rsidR="00100A3B" w:rsidRPr="00CA7C54">
        <w:rPr>
          <w:color w:val="000000" w:themeColor="text1"/>
          <w:sz w:val="21"/>
          <w:szCs w:val="21"/>
        </w:rPr>
        <w:t xml:space="preserve"> у </w:t>
      </w:r>
      <w:r w:rsidR="001E748C" w:rsidRPr="00CA7C54">
        <w:rPr>
          <w:color w:val="000000" w:themeColor="text1"/>
          <w:sz w:val="21"/>
          <w:szCs w:val="21"/>
        </w:rPr>
        <w:t xml:space="preserve"> </w:t>
      </w:r>
      <w:hyperlink r:id="rId308" w:history="1">
        <w:r w:rsidR="001E748C" w:rsidRPr="001F3728">
          <w:rPr>
            <w:rStyle w:val="ac"/>
            <w:rFonts w:cs="Arial"/>
            <w:sz w:val="21"/>
            <w:szCs w:val="21"/>
          </w:rPr>
          <w:t>ДБН В.2.6-98</w:t>
        </w:r>
      </w:hyperlink>
      <w:r w:rsidR="001E748C" w:rsidRPr="00CA7C54">
        <w:rPr>
          <w:color w:val="000000" w:themeColor="text1"/>
          <w:sz w:val="21"/>
          <w:szCs w:val="21"/>
        </w:rPr>
        <w:t>).</w:t>
      </w:r>
    </w:p>
    <w:p w14:paraId="4C938A55"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14.2.1.8</w:t>
      </w:r>
      <w:r w:rsidRPr="00CA7C54">
        <w:rPr>
          <w:color w:val="000000" w:themeColor="text1"/>
          <w:sz w:val="21"/>
          <w:szCs w:val="21"/>
        </w:rPr>
        <w:t xml:space="preserve"> В розрахунках допускається використовувати при відповідному обґрунтовані значення коефіцієнтів динамічного зміцнення (збільшення опорів) матеріалів. </w:t>
      </w:r>
    </w:p>
    <w:p w14:paraId="532EB4D2"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14.2.1.9</w:t>
      </w:r>
      <w:r w:rsidRPr="00CA7C54">
        <w:rPr>
          <w:color w:val="000000" w:themeColor="text1"/>
          <w:sz w:val="21"/>
          <w:szCs w:val="21"/>
        </w:rPr>
        <w:t xml:space="preserve"> Жорсткість залізобетонних елементів, при виконанні статичних розрахунків на квазістатичні навантаження, визначається з урахуванням тріщин в розтягнутій зоні, за умови, що вони виникають при усталених значеннях експлуатаційних навантажень. При цьому модуль пружності бетону приймається за розрахунковими значенням E</w:t>
      </w:r>
      <w:r w:rsidRPr="00CA7C54">
        <w:rPr>
          <w:color w:val="000000" w:themeColor="text1"/>
          <w:sz w:val="21"/>
          <w:szCs w:val="21"/>
          <w:vertAlign w:val="subscript"/>
        </w:rPr>
        <w:t>cd</w:t>
      </w:r>
      <w:r w:rsidRPr="00CA7C54">
        <w:rPr>
          <w:color w:val="000000" w:themeColor="text1"/>
          <w:sz w:val="21"/>
          <w:szCs w:val="21"/>
        </w:rPr>
        <w:t>.</w:t>
      </w:r>
    </w:p>
    <w:p w14:paraId="41DBC33E" w14:textId="77777777" w:rsidR="003C4E04" w:rsidRPr="00CA7C54" w:rsidRDefault="001E748C" w:rsidP="00326D96">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14.2.2 Матеріали та їх розрахунковi характеристики</w:t>
      </w:r>
    </w:p>
    <w:p w14:paraId="26DDEB08" w14:textId="77777777" w:rsidR="003C4E04" w:rsidRPr="00CA7C54" w:rsidRDefault="001E748C" w:rsidP="00326D96">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Бетон</w:t>
      </w:r>
    </w:p>
    <w:p w14:paraId="2A8E4CA7"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14.2.2.1</w:t>
      </w:r>
      <w:r w:rsidRPr="00CA7C54">
        <w:rPr>
          <w:color w:val="000000" w:themeColor="text1"/>
          <w:sz w:val="21"/>
          <w:szCs w:val="21"/>
        </w:rPr>
        <w:t xml:space="preserve"> Для виготовлення бетонних, залізобетонних та сталезалізобетонних конструкцій захисних споруд та СПП потрібно використовувати важкий бетон з середньою густиною від 2000 кг/м</w:t>
      </w:r>
      <w:r w:rsidRPr="00CA7C54">
        <w:rPr>
          <w:color w:val="000000" w:themeColor="text1"/>
          <w:sz w:val="21"/>
          <w:szCs w:val="21"/>
          <w:vertAlign w:val="superscript"/>
        </w:rPr>
        <w:t>3</w:t>
      </w:r>
      <w:r w:rsidRPr="00CA7C54">
        <w:rPr>
          <w:color w:val="000000" w:themeColor="text1"/>
          <w:sz w:val="21"/>
          <w:szCs w:val="21"/>
        </w:rPr>
        <w:t xml:space="preserve"> класу не нижче С12/15, а для колон і ригелів – не нижче С20/25. </w:t>
      </w:r>
    </w:p>
    <w:p w14:paraId="301F65BB"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Бетонні блоки для стін потрібно про</w:t>
      </w:r>
      <w:r w:rsidR="004306C2" w:rsidRPr="00CA7C54">
        <w:rPr>
          <w:color w:val="000000" w:themeColor="text1"/>
          <w:sz w:val="21"/>
          <w:szCs w:val="21"/>
        </w:rPr>
        <w:t>є</w:t>
      </w:r>
      <w:r w:rsidRPr="00CA7C54">
        <w:rPr>
          <w:color w:val="000000" w:themeColor="text1"/>
          <w:sz w:val="21"/>
          <w:szCs w:val="21"/>
        </w:rPr>
        <w:t xml:space="preserve">ктувати з бетону класу не нижче </w:t>
      </w:r>
      <w:r w:rsidRPr="00CA7C54">
        <w:rPr>
          <w:color w:val="000000" w:themeColor="text1"/>
          <w:sz w:val="21"/>
          <w:szCs w:val="21"/>
        </w:rPr>
        <w:br/>
        <w:t>С8/10. Розчин для замурування стін збірних елементів залізобетонних конструкцій має бути не нижче С8/10.</w:t>
      </w:r>
    </w:p>
    <w:p w14:paraId="3F8E8037" w14:textId="4CBEA4EF"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14.2.2.2</w:t>
      </w:r>
      <w:r w:rsidRPr="00CA7C54">
        <w:rPr>
          <w:color w:val="000000" w:themeColor="text1"/>
          <w:sz w:val="21"/>
          <w:szCs w:val="21"/>
        </w:rPr>
        <w:t xml:space="preserve"> При розрахунках конструкцій захисних споруд та СПП на аварійну розрахункову ситуацію вводять розрахунковий опір бетону на осьовий стиск що приймається рівним</w:t>
      </w:r>
      <w:r w:rsidRPr="00CA7C54">
        <w:rPr>
          <w:i/>
          <w:color w:val="000000" w:themeColor="text1"/>
          <w:sz w:val="21"/>
          <w:szCs w:val="21"/>
        </w:rPr>
        <w:t xml:space="preserve"> f</w:t>
      </w:r>
      <w:r w:rsidRPr="00CA7C54">
        <w:rPr>
          <w:i/>
          <w:color w:val="000000" w:themeColor="text1"/>
          <w:sz w:val="21"/>
          <w:szCs w:val="21"/>
          <w:vertAlign w:val="subscript"/>
        </w:rPr>
        <w:t>ck,prism</w:t>
      </w:r>
      <w:r w:rsidRPr="00CA7C54">
        <w:rPr>
          <w:color w:val="000000" w:themeColor="text1"/>
          <w:sz w:val="21"/>
          <w:szCs w:val="21"/>
        </w:rPr>
        <w:t xml:space="preserve">та на осьовий розтяг що приймається рівним </w:t>
      </w:r>
      <w:r w:rsidRPr="00CA7C54">
        <w:rPr>
          <w:i/>
          <w:color w:val="000000" w:themeColor="text1"/>
          <w:sz w:val="21"/>
          <w:szCs w:val="21"/>
        </w:rPr>
        <w:t xml:space="preserve"> f</w:t>
      </w:r>
      <w:r w:rsidRPr="00CA7C54">
        <w:rPr>
          <w:i/>
          <w:color w:val="000000" w:themeColor="text1"/>
          <w:sz w:val="21"/>
          <w:szCs w:val="21"/>
          <w:vertAlign w:val="subscript"/>
        </w:rPr>
        <w:t>ctk,0,95</w:t>
      </w:r>
      <w:r w:rsidRPr="00CA7C54">
        <w:rPr>
          <w:color w:val="000000" w:themeColor="text1"/>
          <w:sz w:val="21"/>
          <w:szCs w:val="21"/>
        </w:rPr>
        <w:t xml:space="preserve"> відповідно до </w:t>
      </w:r>
      <w:hyperlink r:id="rId309" w:history="1">
        <w:r w:rsidRPr="001F3728">
          <w:rPr>
            <w:rStyle w:val="ac"/>
            <w:rFonts w:cs="Arial"/>
            <w:sz w:val="21"/>
            <w:szCs w:val="21"/>
          </w:rPr>
          <w:t>ДБН В.2.6-98</w:t>
        </w:r>
      </w:hyperlink>
      <w:r w:rsidRPr="00CA7C54">
        <w:rPr>
          <w:color w:val="000000" w:themeColor="text1"/>
          <w:sz w:val="21"/>
          <w:szCs w:val="21"/>
        </w:rPr>
        <w:t>.</w:t>
      </w:r>
    </w:p>
    <w:p w14:paraId="58D98A2E" w14:textId="44F6B923"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Характеристичні значення міцнісних характеристик опору бетону осьовому стиску (призмова міцність) та осьовому розтягу приймають залежно від класу бетону на стиск С згідно з табл</w:t>
      </w:r>
      <w:r w:rsidR="004306C2" w:rsidRPr="00CA7C54">
        <w:rPr>
          <w:color w:val="000000" w:themeColor="text1"/>
          <w:sz w:val="21"/>
          <w:szCs w:val="21"/>
        </w:rPr>
        <w:t>ицею</w:t>
      </w:r>
      <w:r w:rsidRPr="00CA7C54">
        <w:rPr>
          <w:color w:val="000000" w:themeColor="text1"/>
          <w:sz w:val="21"/>
          <w:szCs w:val="21"/>
        </w:rPr>
        <w:t xml:space="preserve"> 3.1 </w:t>
      </w:r>
      <w:r w:rsidR="004306C2" w:rsidRPr="00CA7C54">
        <w:rPr>
          <w:color w:val="000000" w:themeColor="text1"/>
          <w:sz w:val="21"/>
          <w:szCs w:val="21"/>
        </w:rPr>
        <w:t xml:space="preserve"> до </w:t>
      </w:r>
      <w:hyperlink r:id="rId310" w:history="1">
        <w:r w:rsidRPr="001F3728">
          <w:rPr>
            <w:rStyle w:val="ac"/>
            <w:rFonts w:cs="Arial"/>
            <w:sz w:val="21"/>
            <w:szCs w:val="21"/>
          </w:rPr>
          <w:t>ДБН В.2.6-98</w:t>
        </w:r>
      </w:hyperlink>
      <w:r w:rsidRPr="00CA7C54">
        <w:rPr>
          <w:color w:val="000000" w:themeColor="text1"/>
          <w:sz w:val="21"/>
          <w:szCs w:val="21"/>
        </w:rPr>
        <w:t xml:space="preserve">. </w:t>
      </w:r>
    </w:p>
    <w:p w14:paraId="2C96FC80" w14:textId="39029F25"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Розрахункову міцність бетону на стиск і розтяг визначають згідно з 3.1.5 </w:t>
      </w:r>
      <w:hyperlink r:id="rId311" w:history="1">
        <w:r w:rsidRPr="001F3728">
          <w:rPr>
            <w:rStyle w:val="ac"/>
            <w:rFonts w:cs="Arial"/>
            <w:sz w:val="21"/>
            <w:szCs w:val="21"/>
          </w:rPr>
          <w:t>ДБН В.2.6-98</w:t>
        </w:r>
      </w:hyperlink>
      <w:r w:rsidRPr="00CA7C54">
        <w:rPr>
          <w:color w:val="000000" w:themeColor="text1"/>
          <w:sz w:val="21"/>
          <w:szCs w:val="21"/>
        </w:rPr>
        <w:t>.</w:t>
      </w:r>
    </w:p>
    <w:p w14:paraId="376182A8" w14:textId="5877B796"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14.2.2.3</w:t>
      </w:r>
      <w:bookmarkStart w:id="31" w:name="OLE_LINK4"/>
      <w:r w:rsidRPr="00CA7C54">
        <w:rPr>
          <w:color w:val="000000" w:themeColor="text1"/>
          <w:sz w:val="21"/>
          <w:szCs w:val="21"/>
        </w:rPr>
        <w:t xml:space="preserve">У необхідних випадках розрахункові значення міцнісних характеристик бетону множать на коефіцієнти умов роботи </w:t>
      </w:r>
      <m:oMath>
        <m:sSub>
          <m:sSubPr>
            <m:ctrlPr>
              <w:rPr>
                <w:rFonts w:ascii="Cambria Math" w:eastAsia="Cambria Math" w:hAnsi="Cambria Math"/>
                <w:color w:val="000000" w:themeColor="text1"/>
                <w:sz w:val="21"/>
                <w:szCs w:val="21"/>
              </w:rPr>
            </m:ctrlPr>
          </m:sSubPr>
          <m:e>
            <m:r>
              <w:rPr>
                <w:rFonts w:ascii="Cambria Math" w:hAnsi="Cambria Math"/>
                <w:color w:val="000000" w:themeColor="text1"/>
                <w:sz w:val="21"/>
                <w:szCs w:val="21"/>
              </w:rPr>
              <m:t>γ</m:t>
            </m:r>
          </m:e>
          <m:sub>
            <m:r>
              <w:rPr>
                <w:rFonts w:ascii="Cambria Math" w:eastAsia="Cambria Math" w:hAnsi="Cambria Math"/>
                <w:color w:val="000000" w:themeColor="text1"/>
                <w:sz w:val="21"/>
                <w:szCs w:val="21"/>
              </w:rPr>
              <m:t>ci</m:t>
            </m:r>
          </m:sub>
        </m:sSub>
      </m:oMath>
      <w:r w:rsidRPr="00CA7C54">
        <w:rPr>
          <w:color w:val="000000" w:themeColor="text1"/>
          <w:sz w:val="21"/>
          <w:szCs w:val="21"/>
        </w:rPr>
        <w:t xml:space="preserve"> відповідно до 3.1.2.5 </w:t>
      </w:r>
      <w:hyperlink r:id="rId312" w:history="1">
        <w:r w:rsidRPr="00B82061">
          <w:rPr>
            <w:rStyle w:val="ac"/>
            <w:rFonts w:cs="Arial"/>
            <w:sz w:val="21"/>
            <w:szCs w:val="21"/>
          </w:rPr>
          <w:t>ДСТУ Б В.2.6-156</w:t>
        </w:r>
      </w:hyperlink>
      <w:r w:rsidRPr="00CA7C54">
        <w:rPr>
          <w:color w:val="000000" w:themeColor="text1"/>
          <w:sz w:val="21"/>
          <w:szCs w:val="21"/>
        </w:rPr>
        <w:t>.</w:t>
      </w:r>
    </w:p>
    <w:bookmarkEnd w:id="31"/>
    <w:p w14:paraId="32DE3DCD" w14:textId="77777777" w:rsidR="003C4E04" w:rsidRPr="00CA7C54" w:rsidRDefault="001E748C" w:rsidP="00326D96">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Армування</w:t>
      </w:r>
    </w:p>
    <w:p w14:paraId="12F5A1FD" w14:textId="480C8401"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 xml:space="preserve">14.2.2.4 </w:t>
      </w:r>
      <w:r w:rsidRPr="00CA7C54">
        <w:rPr>
          <w:color w:val="000000" w:themeColor="text1"/>
          <w:sz w:val="21"/>
          <w:szCs w:val="21"/>
        </w:rPr>
        <w:t xml:space="preserve">Згідно з 3.2.1 </w:t>
      </w:r>
      <w:hyperlink r:id="rId313" w:history="1">
        <w:r w:rsidRPr="001F3728">
          <w:rPr>
            <w:rStyle w:val="ac"/>
            <w:rFonts w:cs="Arial"/>
            <w:sz w:val="21"/>
            <w:szCs w:val="21"/>
          </w:rPr>
          <w:t>ДБН В.2.6-98</w:t>
        </w:r>
      </w:hyperlink>
      <w:r w:rsidRPr="00CA7C54">
        <w:rPr>
          <w:color w:val="000000" w:themeColor="text1"/>
          <w:sz w:val="21"/>
          <w:szCs w:val="21"/>
        </w:rPr>
        <w:t xml:space="preserve"> для армування залізобетонних конструкцій захисних споруд та СПП з відповідними захисними властивостями у якості основного армування слід використовувати арматуру класу А400 С і А500С, а також арматуру класу В500 у зварних сітках і каркасах. </w:t>
      </w:r>
    </w:p>
    <w:p w14:paraId="74542972" w14:textId="0BF28441"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Рекомендовані марки сталі та діаметри прокату для виробництва арматурного прокату наведено </w:t>
      </w:r>
      <w:r w:rsidR="001B3090" w:rsidRPr="00CA7C54">
        <w:rPr>
          <w:color w:val="000000" w:themeColor="text1"/>
          <w:sz w:val="21"/>
          <w:szCs w:val="21"/>
        </w:rPr>
        <w:t>у</w:t>
      </w:r>
      <w:r w:rsidRPr="00CA7C54">
        <w:rPr>
          <w:color w:val="000000" w:themeColor="text1"/>
          <w:sz w:val="21"/>
          <w:szCs w:val="21"/>
        </w:rPr>
        <w:t xml:space="preserve"> додатк</w:t>
      </w:r>
      <w:r w:rsidR="00B82061">
        <w:rPr>
          <w:color w:val="000000" w:themeColor="text1"/>
          <w:sz w:val="21"/>
          <w:szCs w:val="21"/>
        </w:rPr>
        <w:t>у</w:t>
      </w:r>
      <w:r w:rsidRPr="00CA7C54">
        <w:rPr>
          <w:color w:val="000000" w:themeColor="text1"/>
          <w:sz w:val="21"/>
          <w:szCs w:val="21"/>
        </w:rPr>
        <w:t xml:space="preserve"> А </w:t>
      </w:r>
      <w:hyperlink r:id="rId314" w:history="1">
        <w:r w:rsidRPr="00B82061">
          <w:rPr>
            <w:rStyle w:val="ac"/>
            <w:rFonts w:cs="Arial"/>
            <w:sz w:val="21"/>
            <w:szCs w:val="21"/>
          </w:rPr>
          <w:t>ДСТУ 3760</w:t>
        </w:r>
      </w:hyperlink>
      <w:r w:rsidRPr="00CA7C54">
        <w:rPr>
          <w:color w:val="000000" w:themeColor="text1"/>
          <w:sz w:val="21"/>
          <w:szCs w:val="21"/>
        </w:rPr>
        <w:t xml:space="preserve">. </w:t>
      </w:r>
    </w:p>
    <w:p w14:paraId="5BC6DFA4"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Механічні характеристики (тимчасовий опір розриванню, границя текучості, відносне видовження після розривання тощо) повинні відповідати нормам, наведеним у таблиці 5</w:t>
      </w:r>
      <w:r w:rsidRPr="00CA7C54">
        <w:rPr>
          <w:color w:val="000000" w:themeColor="text1"/>
          <w:sz w:val="21"/>
          <w:szCs w:val="21"/>
        </w:rPr>
        <w:br/>
        <w:t>ДСТУ 3760.</w:t>
      </w:r>
    </w:p>
    <w:p w14:paraId="777E7FB3" w14:textId="79A0AFEA" w:rsidR="003C4E04" w:rsidRPr="00CA7C54" w:rsidRDefault="001E748C" w:rsidP="00326D96">
      <w:pPr>
        <w:pBdr>
          <w:top w:val="nil"/>
          <w:left w:val="nil"/>
          <w:bottom w:val="nil"/>
          <w:right w:val="nil"/>
          <w:between w:val="nil"/>
        </w:pBdr>
        <w:spacing w:before="0" w:line="288" w:lineRule="auto"/>
        <w:contextualSpacing/>
        <w:rPr>
          <w:strike/>
          <w:color w:val="000000" w:themeColor="text1"/>
          <w:sz w:val="21"/>
          <w:szCs w:val="21"/>
          <w:highlight w:val="cyan"/>
        </w:rPr>
      </w:pPr>
      <w:r w:rsidRPr="00CA7C54">
        <w:rPr>
          <w:b/>
          <w:color w:val="000000" w:themeColor="text1"/>
          <w:sz w:val="21"/>
          <w:szCs w:val="21"/>
        </w:rPr>
        <w:t>14.2.2.</w:t>
      </w:r>
      <w:r w:rsidR="00995294">
        <w:rPr>
          <w:b/>
          <w:color w:val="000000" w:themeColor="text1"/>
          <w:sz w:val="21"/>
          <w:szCs w:val="21"/>
        </w:rPr>
        <w:t>5</w:t>
      </w:r>
      <w:r w:rsidRPr="00CA7C54">
        <w:rPr>
          <w:color w:val="000000" w:themeColor="text1"/>
          <w:sz w:val="21"/>
          <w:szCs w:val="21"/>
        </w:rPr>
        <w:t>Стальний прокат для про</w:t>
      </w:r>
      <w:r w:rsidR="001B3090" w:rsidRPr="00CA7C54">
        <w:rPr>
          <w:color w:val="000000" w:themeColor="text1"/>
          <w:sz w:val="21"/>
          <w:szCs w:val="21"/>
        </w:rPr>
        <w:t>є</w:t>
      </w:r>
      <w:r w:rsidRPr="00CA7C54">
        <w:rPr>
          <w:color w:val="000000" w:themeColor="text1"/>
          <w:sz w:val="21"/>
          <w:szCs w:val="21"/>
        </w:rPr>
        <w:t xml:space="preserve">ктування сталезалізобетонних конструкцій приймається відповідно до вимог </w:t>
      </w:r>
      <w:hyperlink r:id="rId315" w:history="1">
        <w:r w:rsidRPr="00B82061">
          <w:rPr>
            <w:rStyle w:val="ac"/>
            <w:rFonts w:cs="Arial"/>
            <w:sz w:val="21"/>
            <w:szCs w:val="21"/>
          </w:rPr>
          <w:t>ДБН В.2.6-198.</w:t>
        </w:r>
      </w:hyperlink>
    </w:p>
    <w:p w14:paraId="4AF5F029" w14:textId="77777777" w:rsidR="003C4E04" w:rsidRPr="00CA7C54" w:rsidRDefault="001E748C" w:rsidP="00326D96">
      <w:pPr>
        <w:pStyle w:val="4"/>
        <w:pBdr>
          <w:top w:val="nil"/>
          <w:left w:val="nil"/>
          <w:bottom w:val="nil"/>
          <w:right w:val="nil"/>
          <w:between w:val="nil"/>
        </w:pBdr>
        <w:spacing w:before="0" w:after="0" w:line="288" w:lineRule="auto"/>
        <w:contextualSpacing/>
        <w:rPr>
          <w:rFonts w:cs="Arial"/>
          <w:strike/>
          <w:color w:val="000000" w:themeColor="text1"/>
          <w:sz w:val="21"/>
          <w:szCs w:val="21"/>
        </w:rPr>
      </w:pPr>
      <w:r w:rsidRPr="00CA7C54">
        <w:rPr>
          <w:rFonts w:cs="Arial"/>
          <w:color w:val="000000" w:themeColor="text1"/>
          <w:sz w:val="21"/>
          <w:szCs w:val="21"/>
        </w:rPr>
        <w:t>14.2.3 Проникнення та вторинне сколювання</w:t>
      </w:r>
    </w:p>
    <w:p w14:paraId="580B31BB" w14:textId="77777777" w:rsidR="003C4E04" w:rsidRPr="00CA7C54" w:rsidRDefault="001E748C" w:rsidP="00326D96">
      <w:pPr>
        <w:spacing w:before="0" w:line="288" w:lineRule="auto"/>
        <w:contextualSpacing/>
        <w:rPr>
          <w:color w:val="000000" w:themeColor="text1"/>
          <w:sz w:val="21"/>
          <w:szCs w:val="21"/>
        </w:rPr>
      </w:pPr>
      <w:r w:rsidRPr="00CA7C54">
        <w:rPr>
          <w:b/>
          <w:color w:val="000000" w:themeColor="text1"/>
          <w:sz w:val="21"/>
          <w:szCs w:val="21"/>
        </w:rPr>
        <w:t>14.2.3.1</w:t>
      </w:r>
      <w:r w:rsidRPr="00CA7C54">
        <w:rPr>
          <w:color w:val="000000" w:themeColor="text1"/>
          <w:sz w:val="21"/>
          <w:szCs w:val="21"/>
        </w:rPr>
        <w:t xml:space="preserve">  В ході про</w:t>
      </w:r>
      <w:r w:rsidR="004306C2" w:rsidRPr="00CA7C54">
        <w:rPr>
          <w:color w:val="000000" w:themeColor="text1"/>
          <w:sz w:val="21"/>
          <w:szCs w:val="21"/>
        </w:rPr>
        <w:t>є</w:t>
      </w:r>
      <w:r w:rsidRPr="00CA7C54">
        <w:rPr>
          <w:color w:val="000000" w:themeColor="text1"/>
          <w:sz w:val="21"/>
          <w:szCs w:val="21"/>
        </w:rPr>
        <w:t xml:space="preserve">ктування зовнішніх стін, покриття, конструкцій тамбурів, тамбур-шлюзів, захисних стін-екранів, конструкцій аварійних виходів слід виконувати їх перевірку на пробиття </w:t>
      </w:r>
      <w:r w:rsidRPr="00CA7C54">
        <w:rPr>
          <w:color w:val="000000" w:themeColor="text1"/>
          <w:sz w:val="21"/>
          <w:szCs w:val="21"/>
        </w:rPr>
        <w:lastRenderedPageBreak/>
        <w:t xml:space="preserve">(проникнення) уламками засобів звичайного враження, а також на утворення вторинної фрагментації (сколювання бетону на внутрішній поверхні) зазначених конструкцій. </w:t>
      </w:r>
    </w:p>
    <w:p w14:paraId="407FAECC" w14:textId="77777777" w:rsidR="003C4E04" w:rsidRPr="00CA7C54" w:rsidRDefault="001E748C" w:rsidP="00326D96">
      <w:pPr>
        <w:spacing w:before="0" w:line="288" w:lineRule="auto"/>
        <w:contextualSpacing/>
        <w:rPr>
          <w:color w:val="000000" w:themeColor="text1"/>
          <w:sz w:val="21"/>
          <w:szCs w:val="21"/>
          <w:highlight w:val="white"/>
        </w:rPr>
      </w:pPr>
      <w:r w:rsidRPr="00CA7C54">
        <w:rPr>
          <w:b/>
          <w:color w:val="000000" w:themeColor="text1"/>
          <w:sz w:val="21"/>
          <w:szCs w:val="21"/>
        </w:rPr>
        <w:t>14.2.3.2</w:t>
      </w:r>
      <w:r w:rsidRPr="00CA7C54">
        <w:rPr>
          <w:color w:val="000000" w:themeColor="text1"/>
          <w:sz w:val="21"/>
          <w:szCs w:val="21"/>
        </w:rPr>
        <w:t xml:space="preserve">  Мінімальні товщини конструкцій, що здатні у достатній мірі мінімізувати  стійкість </w:t>
      </w:r>
      <w:r w:rsidRPr="00CA7C54">
        <w:rPr>
          <w:color w:val="000000" w:themeColor="text1"/>
          <w:sz w:val="21"/>
          <w:szCs w:val="21"/>
          <w:highlight w:val="white"/>
        </w:rPr>
        <w:t xml:space="preserve">конструкцій до проникнення при виконанні її у один шар - наведені у таблиці 14.13 </w:t>
      </w:r>
    </w:p>
    <w:p w14:paraId="7D61961B" w14:textId="77777777" w:rsidR="003C4E04" w:rsidRPr="00CA7C54" w:rsidRDefault="001E748C" w:rsidP="00326D96">
      <w:pPr>
        <w:spacing w:before="0" w:line="288" w:lineRule="auto"/>
        <w:contextualSpacing/>
        <w:rPr>
          <w:color w:val="000000" w:themeColor="text1"/>
          <w:sz w:val="21"/>
          <w:szCs w:val="21"/>
          <w:highlight w:val="white"/>
        </w:rPr>
      </w:pPr>
      <w:r w:rsidRPr="00CA7C54">
        <w:rPr>
          <w:b/>
          <w:color w:val="000000" w:themeColor="text1"/>
          <w:sz w:val="21"/>
          <w:szCs w:val="21"/>
          <w:highlight w:val="white"/>
        </w:rPr>
        <w:t>14.2.3.3</w:t>
      </w:r>
      <w:r w:rsidRPr="00CA7C54">
        <w:rPr>
          <w:color w:val="000000" w:themeColor="text1"/>
          <w:sz w:val="21"/>
          <w:szCs w:val="21"/>
          <w:highlight w:val="white"/>
        </w:rPr>
        <w:t xml:space="preserve">   В ході розрахунків всі елементи огороджувальних конструкцій умовно приводяться до показників бетону С25/30. Приведена товщина  </w:t>
      </w:r>
      <w:r w:rsidRPr="00CA7C54">
        <w:rPr>
          <w:i/>
          <w:color w:val="000000" w:themeColor="text1"/>
          <w:sz w:val="21"/>
          <w:szCs w:val="21"/>
          <w:highlight w:val="white"/>
        </w:rPr>
        <w:t>h</w:t>
      </w:r>
      <w:r w:rsidRPr="00CA7C54">
        <w:rPr>
          <w:i/>
          <w:color w:val="000000" w:themeColor="text1"/>
          <w:sz w:val="21"/>
          <w:szCs w:val="21"/>
          <w:highlight w:val="white"/>
          <w:vertAlign w:val="subscript"/>
        </w:rPr>
        <w:t>пр.</w:t>
      </w:r>
      <w:r w:rsidRPr="00CA7C54">
        <w:rPr>
          <w:color w:val="000000" w:themeColor="text1"/>
          <w:sz w:val="21"/>
          <w:szCs w:val="21"/>
          <w:highlight w:val="white"/>
        </w:rPr>
        <w:t xml:space="preserve"> всіх шарів конструкцій визначається як:</w:t>
      </w:r>
    </w:p>
    <w:p w14:paraId="23C88D62" w14:textId="77777777" w:rsidR="00733581" w:rsidRPr="00CA7C54" w:rsidRDefault="00733581" w:rsidP="00326D96">
      <w:pPr>
        <w:spacing w:before="0" w:line="288" w:lineRule="auto"/>
        <w:contextualSpacing/>
        <w:rPr>
          <w:color w:val="000000" w:themeColor="text1"/>
          <w:sz w:val="21"/>
          <w:szCs w:val="21"/>
          <w:highlight w:val="white"/>
        </w:rPr>
      </w:pPr>
    </w:p>
    <w:p w14:paraId="5FE4C0F1" w14:textId="77777777" w:rsidR="003C4E04" w:rsidRPr="00CA7C54" w:rsidRDefault="001E748C" w:rsidP="00326D96">
      <w:pPr>
        <w:spacing w:before="0" w:line="288" w:lineRule="auto"/>
        <w:ind w:firstLine="4536"/>
        <w:contextualSpacing/>
        <w:jc w:val="left"/>
        <w:rPr>
          <w:i/>
          <w:color w:val="000000" w:themeColor="text1"/>
          <w:sz w:val="21"/>
          <w:szCs w:val="21"/>
          <w:highlight w:val="white"/>
        </w:rPr>
      </w:pPr>
      <w:r w:rsidRPr="002F5686">
        <w:rPr>
          <w:rFonts w:ascii="Times New Roman" w:hAnsi="Times New Roman" w:cs="Times New Roman"/>
          <w:i/>
          <w:color w:val="000000" w:themeColor="text1"/>
          <w:sz w:val="21"/>
          <w:szCs w:val="21"/>
          <w:highlight w:val="white"/>
        </w:rPr>
        <w:t>h</w:t>
      </w:r>
      <w:r w:rsidRPr="002F5686">
        <w:rPr>
          <w:rFonts w:ascii="Times New Roman" w:hAnsi="Times New Roman" w:cs="Times New Roman"/>
          <w:i/>
          <w:color w:val="000000" w:themeColor="text1"/>
          <w:sz w:val="21"/>
          <w:szCs w:val="21"/>
          <w:highlight w:val="white"/>
          <w:vertAlign w:val="subscript"/>
        </w:rPr>
        <w:t>пр</w:t>
      </w:r>
      <w:sdt>
        <w:sdtPr>
          <w:rPr>
            <w:rFonts w:ascii="Times New Roman" w:hAnsi="Times New Roman" w:cs="Times New Roman"/>
            <w:color w:val="000000" w:themeColor="text1"/>
            <w:sz w:val="21"/>
            <w:szCs w:val="21"/>
          </w:rPr>
          <w:tag w:val="goog_rdk_51"/>
          <w:id w:val="497924967"/>
        </w:sdtPr>
        <w:sdtEndPr/>
        <w:sdtContent>
          <w:r w:rsidRPr="002F5686">
            <w:rPr>
              <w:rFonts w:ascii="Times New Roman" w:eastAsia="Arial Unicode MS" w:hAnsi="Times New Roman" w:cs="Times New Roman"/>
              <w:i/>
              <w:color w:val="000000" w:themeColor="text1"/>
              <w:sz w:val="21"/>
              <w:szCs w:val="21"/>
              <w:highlight w:val="white"/>
            </w:rPr>
            <w:t xml:space="preserve"> = ∑ (h</w:t>
          </w:r>
        </w:sdtContent>
      </w:sdt>
      <w:r w:rsidRPr="002F5686">
        <w:rPr>
          <w:rFonts w:ascii="Times New Roman" w:hAnsi="Times New Roman" w:cs="Times New Roman"/>
          <w:i/>
          <w:color w:val="000000" w:themeColor="text1"/>
          <w:sz w:val="21"/>
          <w:szCs w:val="21"/>
          <w:highlight w:val="white"/>
          <w:vertAlign w:val="subscript"/>
        </w:rPr>
        <w:t>i</w:t>
      </w:r>
      <w:r w:rsidRPr="002F5686">
        <w:rPr>
          <w:rFonts w:ascii="Times New Roman" w:hAnsi="Times New Roman" w:cs="Times New Roman"/>
          <w:i/>
          <w:color w:val="000000" w:themeColor="text1"/>
          <w:sz w:val="21"/>
          <w:szCs w:val="21"/>
          <w:highlight w:val="white"/>
        </w:rPr>
        <w:t xml:space="preserve"> × k</w:t>
      </w:r>
      <w:r w:rsidRPr="002F5686">
        <w:rPr>
          <w:rFonts w:ascii="Times New Roman" w:hAnsi="Times New Roman" w:cs="Times New Roman"/>
          <w:i/>
          <w:color w:val="000000" w:themeColor="text1"/>
          <w:sz w:val="21"/>
          <w:szCs w:val="21"/>
          <w:highlight w:val="white"/>
          <w:vertAlign w:val="subscript"/>
        </w:rPr>
        <w:t>пр,і</w:t>
      </w:r>
      <w:r w:rsidRPr="00CA7C54">
        <w:rPr>
          <w:i/>
          <w:color w:val="000000" w:themeColor="text1"/>
          <w:sz w:val="21"/>
          <w:szCs w:val="21"/>
          <w:highlight w:val="white"/>
        </w:rPr>
        <w:t xml:space="preserve">), </w:t>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highlight w:val="white"/>
        </w:rPr>
        <w:tab/>
      </w:r>
      <w:r w:rsidRPr="00CA7C54">
        <w:rPr>
          <w:color w:val="000000" w:themeColor="text1"/>
          <w:sz w:val="21"/>
          <w:szCs w:val="21"/>
          <w:highlight w:val="white"/>
        </w:rPr>
        <w:tab/>
        <w:t xml:space="preserve">      (14.3)</w:t>
      </w:r>
    </w:p>
    <w:p w14:paraId="65CABD4F" w14:textId="77777777" w:rsidR="003C4E04" w:rsidRPr="00CA7C54" w:rsidRDefault="001E748C" w:rsidP="00326D96">
      <w:pPr>
        <w:spacing w:before="0" w:line="288" w:lineRule="auto"/>
        <w:ind w:firstLine="708"/>
        <w:contextualSpacing/>
        <w:rPr>
          <w:color w:val="000000" w:themeColor="text1"/>
          <w:sz w:val="21"/>
          <w:szCs w:val="21"/>
          <w:highlight w:val="white"/>
        </w:rPr>
      </w:pPr>
      <w:r w:rsidRPr="00CA7C54">
        <w:rPr>
          <w:color w:val="000000" w:themeColor="text1"/>
          <w:sz w:val="21"/>
          <w:szCs w:val="21"/>
          <w:highlight w:val="white"/>
        </w:rPr>
        <w:t xml:space="preserve">де </w:t>
      </w:r>
    </w:p>
    <w:p w14:paraId="2DCD5EC9" w14:textId="77777777" w:rsidR="003C4E04" w:rsidRPr="00CA7C54" w:rsidRDefault="001E748C" w:rsidP="00326D96">
      <w:pPr>
        <w:spacing w:before="0" w:line="288" w:lineRule="auto"/>
        <w:ind w:firstLine="708"/>
        <w:contextualSpacing/>
        <w:rPr>
          <w:color w:val="000000" w:themeColor="text1"/>
          <w:sz w:val="21"/>
          <w:szCs w:val="21"/>
          <w:highlight w:val="white"/>
        </w:rPr>
      </w:pPr>
      <w:r w:rsidRPr="002F5686">
        <w:rPr>
          <w:rFonts w:ascii="Times New Roman" w:hAnsi="Times New Roman" w:cs="Times New Roman"/>
          <w:i/>
          <w:color w:val="000000" w:themeColor="text1"/>
          <w:sz w:val="21"/>
          <w:szCs w:val="21"/>
          <w:highlight w:val="white"/>
        </w:rPr>
        <w:t>h</w:t>
      </w:r>
      <w:r w:rsidRPr="002F5686">
        <w:rPr>
          <w:rFonts w:ascii="Times New Roman" w:hAnsi="Times New Roman" w:cs="Times New Roman"/>
          <w:i/>
          <w:strike/>
          <w:color w:val="000000" w:themeColor="text1"/>
          <w:sz w:val="21"/>
          <w:szCs w:val="21"/>
          <w:highlight w:val="white"/>
          <w:vertAlign w:val="subscript"/>
        </w:rPr>
        <w:t>i</w:t>
      </w:r>
      <w:r w:rsidRPr="00CA7C54">
        <w:rPr>
          <w:color w:val="000000" w:themeColor="text1"/>
          <w:sz w:val="21"/>
          <w:szCs w:val="21"/>
          <w:highlight w:val="white"/>
        </w:rPr>
        <w:t xml:space="preserve"> – фактична або про</w:t>
      </w:r>
      <w:r w:rsidR="004306C2" w:rsidRPr="00CA7C54">
        <w:rPr>
          <w:color w:val="000000" w:themeColor="text1"/>
          <w:sz w:val="21"/>
          <w:szCs w:val="21"/>
          <w:highlight w:val="white"/>
        </w:rPr>
        <w:t>є</w:t>
      </w:r>
      <w:r w:rsidRPr="00CA7C54">
        <w:rPr>
          <w:color w:val="000000" w:themeColor="text1"/>
          <w:sz w:val="21"/>
          <w:szCs w:val="21"/>
          <w:highlight w:val="white"/>
        </w:rPr>
        <w:t xml:space="preserve">ктна товщина і-го шару огороджувальної конструкції (розраховується окремо для кожного шару несучої конструкції,  внутрішнього оздоблення, зовнішнього обвалування, вставок додаткових екранів, «тюфяків» та </w:t>
      </w:r>
      <w:r w:rsidR="00B86010" w:rsidRPr="00CA7C54">
        <w:rPr>
          <w:color w:val="000000" w:themeColor="text1"/>
          <w:sz w:val="21"/>
          <w:szCs w:val="21"/>
          <w:highlight w:val="white"/>
        </w:rPr>
        <w:t>інше</w:t>
      </w:r>
      <w:r w:rsidRPr="00CA7C54">
        <w:rPr>
          <w:color w:val="000000" w:themeColor="text1"/>
          <w:sz w:val="21"/>
          <w:szCs w:val="21"/>
          <w:highlight w:val="white"/>
        </w:rPr>
        <w:t xml:space="preserve">), мм; </w:t>
      </w:r>
    </w:p>
    <w:p w14:paraId="3ABA0BC1" w14:textId="77777777" w:rsidR="003C4E04" w:rsidRPr="00CA7C54" w:rsidRDefault="001E748C" w:rsidP="00326D96">
      <w:pPr>
        <w:spacing w:before="0" w:line="288" w:lineRule="auto"/>
        <w:contextualSpacing/>
        <w:rPr>
          <w:color w:val="000000" w:themeColor="text1"/>
          <w:sz w:val="21"/>
          <w:szCs w:val="21"/>
          <w:highlight w:val="white"/>
        </w:rPr>
      </w:pPr>
      <w:r w:rsidRPr="00CA7C54">
        <w:rPr>
          <w:i/>
          <w:color w:val="000000" w:themeColor="text1"/>
          <w:sz w:val="21"/>
          <w:szCs w:val="21"/>
          <w:highlight w:val="white"/>
        </w:rPr>
        <w:t>k</w:t>
      </w:r>
      <w:r w:rsidRPr="00CA7C54">
        <w:rPr>
          <w:i/>
          <w:color w:val="000000" w:themeColor="text1"/>
          <w:sz w:val="21"/>
          <w:szCs w:val="21"/>
          <w:highlight w:val="white"/>
          <w:vertAlign w:val="subscript"/>
        </w:rPr>
        <w:t>пр,і</w:t>
      </w:r>
      <w:r w:rsidRPr="00CA7C54">
        <w:rPr>
          <w:color w:val="000000" w:themeColor="text1"/>
          <w:sz w:val="21"/>
          <w:szCs w:val="21"/>
          <w:highlight w:val="white"/>
        </w:rPr>
        <w:t>– приведений коефіцієнт матеріалу піддатливості проникненню для даного і-го шару огороджувальної конструкції.</w:t>
      </w:r>
    </w:p>
    <w:p w14:paraId="0E61B093" w14:textId="77777777" w:rsidR="003C4E04" w:rsidRPr="00CA7C54" w:rsidRDefault="003C4E04" w:rsidP="00326D96">
      <w:pPr>
        <w:spacing w:before="0" w:line="288" w:lineRule="auto"/>
        <w:ind w:firstLine="0"/>
        <w:contextualSpacing/>
        <w:rPr>
          <w:color w:val="000000" w:themeColor="text1"/>
          <w:sz w:val="21"/>
          <w:szCs w:val="21"/>
          <w:highlight w:val="white"/>
        </w:rPr>
      </w:pPr>
    </w:p>
    <w:p w14:paraId="54BFB97D" w14:textId="77777777" w:rsidR="003C4E04" w:rsidRPr="00CA7C54" w:rsidRDefault="001E748C" w:rsidP="00326D96">
      <w:pPr>
        <w:spacing w:before="0" w:line="288" w:lineRule="auto"/>
        <w:contextualSpacing/>
        <w:rPr>
          <w:b/>
          <w:color w:val="000000" w:themeColor="text1"/>
          <w:sz w:val="21"/>
          <w:szCs w:val="21"/>
        </w:rPr>
      </w:pPr>
      <w:bookmarkStart w:id="32" w:name="_heading=h.3znysh7" w:colFirst="0" w:colLast="0"/>
      <w:bookmarkEnd w:id="32"/>
      <w:r w:rsidRPr="00CA7C54">
        <w:rPr>
          <w:b/>
          <w:color w:val="000000" w:themeColor="text1"/>
          <w:sz w:val="21"/>
          <w:szCs w:val="21"/>
          <w:highlight w:val="white"/>
        </w:rPr>
        <w:t>Таблиця 14.13</w:t>
      </w:r>
      <w:sdt>
        <w:sdtPr>
          <w:rPr>
            <w:color w:val="000000" w:themeColor="text1"/>
            <w:sz w:val="21"/>
            <w:szCs w:val="21"/>
          </w:rPr>
          <w:tag w:val="goog_rdk_52"/>
          <w:id w:val="-900129021"/>
        </w:sdtPr>
        <w:sdtEndPr/>
        <w:sdtContent>
          <w:r w:rsidRPr="00CA7C54">
            <w:rPr>
              <w:rFonts w:eastAsia="Arial Unicode MS"/>
              <w:color w:val="000000" w:themeColor="text1"/>
              <w:sz w:val="21"/>
              <w:szCs w:val="21"/>
              <w:highlight w:val="white"/>
            </w:rPr>
            <w:t xml:space="preserve"> − П</w:t>
          </w:r>
        </w:sdtContent>
      </w:sdt>
      <w:r w:rsidRPr="00CA7C54">
        <w:rPr>
          <w:rFonts w:eastAsia="Arimo"/>
          <w:color w:val="000000" w:themeColor="text1"/>
          <w:sz w:val="21"/>
          <w:szCs w:val="21"/>
        </w:rPr>
        <w:t>риведені коефіцієнти піддатливості проникненню матеріалів</w:t>
      </w:r>
    </w:p>
    <w:tbl>
      <w:tblPr>
        <w:tblStyle w:val="affffffffffffffffffffffffffffffff7"/>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539"/>
        <w:gridCol w:w="2990"/>
        <w:gridCol w:w="2685"/>
      </w:tblGrid>
      <w:tr w:rsidR="00CA7C54" w:rsidRPr="00CA7C54" w14:paraId="0114E657" w14:textId="77777777" w:rsidTr="009D0E21">
        <w:trPr>
          <w:trHeight w:hRule="exact" w:val="340"/>
          <w:jc w:val="center"/>
        </w:trPr>
        <w:tc>
          <w:tcPr>
            <w:tcW w:w="562" w:type="dxa"/>
            <w:vAlign w:val="center"/>
          </w:tcPr>
          <w:p w14:paraId="5A3BD231"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w:t>
            </w:r>
          </w:p>
          <w:p w14:paraId="43FB7D37"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з/п</w:t>
            </w:r>
          </w:p>
        </w:tc>
        <w:tc>
          <w:tcPr>
            <w:tcW w:w="3539" w:type="dxa"/>
            <w:vAlign w:val="center"/>
          </w:tcPr>
          <w:p w14:paraId="21FF7189"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Назва матеріалу</w:t>
            </w:r>
          </w:p>
        </w:tc>
        <w:tc>
          <w:tcPr>
            <w:tcW w:w="2990" w:type="dxa"/>
          </w:tcPr>
          <w:p w14:paraId="5FB36457"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 xml:space="preserve">Приведений коефіцієнт матеріалу піддатливості проникненню </w:t>
            </w:r>
            <w:r w:rsidRPr="00CA7C54">
              <w:rPr>
                <w:rFonts w:ascii="Arial" w:hAnsi="Arial" w:cs="Arial"/>
                <w:b/>
                <w:bCs/>
                <w:i/>
                <w:color w:val="000000" w:themeColor="text1"/>
                <w:sz w:val="20"/>
                <w:szCs w:val="20"/>
              </w:rPr>
              <w:t>k</w:t>
            </w:r>
            <w:r w:rsidRPr="00CA7C54">
              <w:rPr>
                <w:rFonts w:ascii="Arial" w:hAnsi="Arial" w:cs="Arial"/>
                <w:b/>
                <w:bCs/>
                <w:i/>
                <w:color w:val="000000" w:themeColor="text1"/>
                <w:sz w:val="20"/>
                <w:szCs w:val="20"/>
                <w:vertAlign w:val="subscript"/>
              </w:rPr>
              <w:t>пр</w:t>
            </w:r>
          </w:p>
        </w:tc>
        <w:tc>
          <w:tcPr>
            <w:tcW w:w="2685" w:type="dxa"/>
          </w:tcPr>
          <w:p w14:paraId="001D5A11"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Мінімальна товщина одношарової  конструкції на пробиття (проникнення), мм</w:t>
            </w:r>
          </w:p>
        </w:tc>
      </w:tr>
      <w:tr w:rsidR="00CA7C54" w:rsidRPr="00CA7C54" w14:paraId="0A58C93C" w14:textId="77777777" w:rsidTr="009D0E21">
        <w:trPr>
          <w:trHeight w:hRule="exact" w:val="340"/>
          <w:jc w:val="center"/>
        </w:trPr>
        <w:tc>
          <w:tcPr>
            <w:tcW w:w="562" w:type="dxa"/>
            <w:vAlign w:val="center"/>
          </w:tcPr>
          <w:p w14:paraId="19D558D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w:t>
            </w:r>
          </w:p>
        </w:tc>
        <w:tc>
          <w:tcPr>
            <w:tcW w:w="3539" w:type="dxa"/>
            <w:vAlign w:val="center"/>
          </w:tcPr>
          <w:p w14:paraId="28BF2CE1"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С16/20</w:t>
            </w:r>
          </w:p>
        </w:tc>
        <w:tc>
          <w:tcPr>
            <w:tcW w:w="2990" w:type="dxa"/>
            <w:vAlign w:val="center"/>
          </w:tcPr>
          <w:p w14:paraId="492985E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0,917</w:t>
            </w:r>
          </w:p>
        </w:tc>
        <w:tc>
          <w:tcPr>
            <w:tcW w:w="2685" w:type="dxa"/>
          </w:tcPr>
          <w:p w14:paraId="590405A1"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360</w:t>
            </w:r>
          </w:p>
        </w:tc>
      </w:tr>
      <w:tr w:rsidR="00CA7C54" w:rsidRPr="00CA7C54" w14:paraId="42CA9064" w14:textId="77777777" w:rsidTr="009D0E21">
        <w:trPr>
          <w:trHeight w:hRule="exact" w:val="340"/>
          <w:jc w:val="center"/>
        </w:trPr>
        <w:tc>
          <w:tcPr>
            <w:tcW w:w="562" w:type="dxa"/>
            <w:vAlign w:val="center"/>
          </w:tcPr>
          <w:p w14:paraId="0B2CAAD0"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2</w:t>
            </w:r>
          </w:p>
        </w:tc>
        <w:tc>
          <w:tcPr>
            <w:tcW w:w="3539" w:type="dxa"/>
          </w:tcPr>
          <w:p w14:paraId="4BA1A0E3"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С20/25</w:t>
            </w:r>
          </w:p>
        </w:tc>
        <w:tc>
          <w:tcPr>
            <w:tcW w:w="2990" w:type="dxa"/>
            <w:vAlign w:val="center"/>
          </w:tcPr>
          <w:p w14:paraId="12A60E91"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0,943</w:t>
            </w:r>
          </w:p>
        </w:tc>
        <w:tc>
          <w:tcPr>
            <w:tcW w:w="2685" w:type="dxa"/>
          </w:tcPr>
          <w:p w14:paraId="07898BF3"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350</w:t>
            </w:r>
          </w:p>
        </w:tc>
      </w:tr>
      <w:tr w:rsidR="00CA7C54" w:rsidRPr="00CA7C54" w14:paraId="6051C71E" w14:textId="77777777" w:rsidTr="009D0E21">
        <w:trPr>
          <w:trHeight w:hRule="exact" w:val="340"/>
          <w:jc w:val="center"/>
        </w:trPr>
        <w:tc>
          <w:tcPr>
            <w:tcW w:w="562" w:type="dxa"/>
            <w:vAlign w:val="center"/>
          </w:tcPr>
          <w:p w14:paraId="70121F1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w:t>
            </w:r>
          </w:p>
        </w:tc>
        <w:tc>
          <w:tcPr>
            <w:tcW w:w="3539" w:type="dxa"/>
          </w:tcPr>
          <w:p w14:paraId="0240DD74"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С25/30</w:t>
            </w:r>
          </w:p>
        </w:tc>
        <w:tc>
          <w:tcPr>
            <w:tcW w:w="2990" w:type="dxa"/>
            <w:vAlign w:val="center"/>
          </w:tcPr>
          <w:p w14:paraId="0D7C61EB"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w:t>
            </w:r>
          </w:p>
        </w:tc>
        <w:tc>
          <w:tcPr>
            <w:tcW w:w="2685" w:type="dxa"/>
          </w:tcPr>
          <w:p w14:paraId="77C51F61"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330</w:t>
            </w:r>
          </w:p>
        </w:tc>
      </w:tr>
      <w:tr w:rsidR="00CA7C54" w:rsidRPr="00CA7C54" w14:paraId="2CAABE43" w14:textId="77777777" w:rsidTr="009D0E21">
        <w:trPr>
          <w:trHeight w:hRule="exact" w:val="340"/>
          <w:jc w:val="center"/>
        </w:trPr>
        <w:tc>
          <w:tcPr>
            <w:tcW w:w="562" w:type="dxa"/>
            <w:vAlign w:val="center"/>
          </w:tcPr>
          <w:p w14:paraId="3C50C5E8"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4</w:t>
            </w:r>
          </w:p>
        </w:tc>
        <w:tc>
          <w:tcPr>
            <w:tcW w:w="3539" w:type="dxa"/>
          </w:tcPr>
          <w:p w14:paraId="01C5205D"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С30/35</w:t>
            </w:r>
          </w:p>
        </w:tc>
        <w:tc>
          <w:tcPr>
            <w:tcW w:w="2990" w:type="dxa"/>
            <w:vAlign w:val="center"/>
          </w:tcPr>
          <w:p w14:paraId="0277436A"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1,032</w:t>
            </w:r>
          </w:p>
        </w:tc>
        <w:tc>
          <w:tcPr>
            <w:tcW w:w="2685" w:type="dxa"/>
          </w:tcPr>
          <w:p w14:paraId="3461F2C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320</w:t>
            </w:r>
          </w:p>
        </w:tc>
      </w:tr>
      <w:tr w:rsidR="00CA7C54" w:rsidRPr="00CA7C54" w14:paraId="3AF76876" w14:textId="77777777" w:rsidTr="009D0E21">
        <w:trPr>
          <w:trHeight w:hRule="exact" w:val="340"/>
          <w:jc w:val="center"/>
        </w:trPr>
        <w:tc>
          <w:tcPr>
            <w:tcW w:w="562" w:type="dxa"/>
            <w:vAlign w:val="center"/>
          </w:tcPr>
          <w:p w14:paraId="2D51CE9B"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5</w:t>
            </w:r>
          </w:p>
        </w:tc>
        <w:tc>
          <w:tcPr>
            <w:tcW w:w="3539" w:type="dxa"/>
          </w:tcPr>
          <w:p w14:paraId="366FE7FA"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С32/40</w:t>
            </w:r>
          </w:p>
        </w:tc>
        <w:tc>
          <w:tcPr>
            <w:tcW w:w="2990" w:type="dxa"/>
            <w:vAlign w:val="center"/>
          </w:tcPr>
          <w:p w14:paraId="7E23293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1,065</w:t>
            </w:r>
          </w:p>
        </w:tc>
        <w:tc>
          <w:tcPr>
            <w:tcW w:w="2685" w:type="dxa"/>
          </w:tcPr>
          <w:p w14:paraId="25F173E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310</w:t>
            </w:r>
          </w:p>
        </w:tc>
      </w:tr>
      <w:tr w:rsidR="00CA7C54" w:rsidRPr="00CA7C54" w14:paraId="56AD0E2F" w14:textId="77777777" w:rsidTr="009D0E21">
        <w:trPr>
          <w:trHeight w:hRule="exact" w:val="340"/>
          <w:jc w:val="center"/>
        </w:trPr>
        <w:tc>
          <w:tcPr>
            <w:tcW w:w="562" w:type="dxa"/>
            <w:vAlign w:val="center"/>
          </w:tcPr>
          <w:p w14:paraId="406F5C05"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6</w:t>
            </w:r>
          </w:p>
        </w:tc>
        <w:tc>
          <w:tcPr>
            <w:tcW w:w="3539" w:type="dxa"/>
          </w:tcPr>
          <w:p w14:paraId="0B2A0DE7"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С35/45</w:t>
            </w:r>
          </w:p>
        </w:tc>
        <w:tc>
          <w:tcPr>
            <w:tcW w:w="2990" w:type="dxa"/>
            <w:vAlign w:val="center"/>
          </w:tcPr>
          <w:p w14:paraId="6764017A"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1,1</w:t>
            </w:r>
          </w:p>
        </w:tc>
        <w:tc>
          <w:tcPr>
            <w:tcW w:w="2685" w:type="dxa"/>
          </w:tcPr>
          <w:p w14:paraId="029985C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300</w:t>
            </w:r>
          </w:p>
        </w:tc>
      </w:tr>
      <w:tr w:rsidR="00CA7C54" w:rsidRPr="00CA7C54" w14:paraId="2414FF18" w14:textId="77777777" w:rsidTr="009D0E21">
        <w:trPr>
          <w:trHeight w:hRule="exact" w:val="340"/>
          <w:jc w:val="center"/>
        </w:trPr>
        <w:tc>
          <w:tcPr>
            <w:tcW w:w="562" w:type="dxa"/>
            <w:vAlign w:val="center"/>
          </w:tcPr>
          <w:p w14:paraId="48060F7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7</w:t>
            </w:r>
          </w:p>
        </w:tc>
        <w:tc>
          <w:tcPr>
            <w:tcW w:w="3539" w:type="dxa"/>
          </w:tcPr>
          <w:p w14:paraId="2B8B6840"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С40/50</w:t>
            </w:r>
          </w:p>
        </w:tc>
        <w:tc>
          <w:tcPr>
            <w:tcW w:w="2990" w:type="dxa"/>
            <w:vAlign w:val="center"/>
          </w:tcPr>
          <w:p w14:paraId="1E2B1EF1"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1,138</w:t>
            </w:r>
          </w:p>
        </w:tc>
        <w:tc>
          <w:tcPr>
            <w:tcW w:w="2685" w:type="dxa"/>
          </w:tcPr>
          <w:p w14:paraId="774EC62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290</w:t>
            </w:r>
          </w:p>
        </w:tc>
      </w:tr>
      <w:tr w:rsidR="00CA7C54" w:rsidRPr="00CA7C54" w14:paraId="103E1714" w14:textId="77777777" w:rsidTr="009D0E21">
        <w:trPr>
          <w:trHeight w:hRule="exact" w:val="340"/>
          <w:jc w:val="center"/>
        </w:trPr>
        <w:tc>
          <w:tcPr>
            <w:tcW w:w="562" w:type="dxa"/>
            <w:vAlign w:val="center"/>
          </w:tcPr>
          <w:p w14:paraId="548AFA48"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8</w:t>
            </w:r>
          </w:p>
        </w:tc>
        <w:tc>
          <w:tcPr>
            <w:tcW w:w="3539" w:type="dxa"/>
          </w:tcPr>
          <w:p w14:paraId="72B08FB1"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Грунт звичайний</w:t>
            </w:r>
          </w:p>
        </w:tc>
        <w:tc>
          <w:tcPr>
            <w:tcW w:w="2990" w:type="dxa"/>
            <w:vAlign w:val="center"/>
          </w:tcPr>
          <w:p w14:paraId="7A857CF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0,134</w:t>
            </w:r>
          </w:p>
        </w:tc>
        <w:tc>
          <w:tcPr>
            <w:tcW w:w="2685" w:type="dxa"/>
          </w:tcPr>
          <w:p w14:paraId="6E1755A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2470</w:t>
            </w:r>
          </w:p>
        </w:tc>
      </w:tr>
      <w:tr w:rsidR="00CA7C54" w:rsidRPr="00CA7C54" w14:paraId="47CEE0E1" w14:textId="77777777" w:rsidTr="009D0E21">
        <w:trPr>
          <w:trHeight w:hRule="exact" w:val="340"/>
          <w:jc w:val="center"/>
        </w:trPr>
        <w:tc>
          <w:tcPr>
            <w:tcW w:w="562" w:type="dxa"/>
            <w:vAlign w:val="center"/>
          </w:tcPr>
          <w:p w14:paraId="3908164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9</w:t>
            </w:r>
          </w:p>
        </w:tc>
        <w:tc>
          <w:tcPr>
            <w:tcW w:w="3539" w:type="dxa"/>
          </w:tcPr>
          <w:p w14:paraId="064BB4F5"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Глина</w:t>
            </w:r>
          </w:p>
        </w:tc>
        <w:tc>
          <w:tcPr>
            <w:tcW w:w="2990" w:type="dxa"/>
            <w:vAlign w:val="center"/>
          </w:tcPr>
          <w:p w14:paraId="2169C497"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0,189</w:t>
            </w:r>
          </w:p>
        </w:tc>
        <w:tc>
          <w:tcPr>
            <w:tcW w:w="2685" w:type="dxa"/>
          </w:tcPr>
          <w:p w14:paraId="71A7A76C"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1750</w:t>
            </w:r>
          </w:p>
        </w:tc>
      </w:tr>
      <w:tr w:rsidR="00CA7C54" w:rsidRPr="00CA7C54" w14:paraId="0161C005" w14:textId="77777777" w:rsidTr="009D0E21">
        <w:trPr>
          <w:trHeight w:hRule="exact" w:val="340"/>
          <w:jc w:val="center"/>
        </w:trPr>
        <w:tc>
          <w:tcPr>
            <w:tcW w:w="562" w:type="dxa"/>
            <w:vAlign w:val="center"/>
          </w:tcPr>
          <w:p w14:paraId="6696014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w:t>
            </w:r>
          </w:p>
        </w:tc>
        <w:tc>
          <w:tcPr>
            <w:tcW w:w="3539" w:type="dxa"/>
          </w:tcPr>
          <w:p w14:paraId="23BD3148"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Супісок</w:t>
            </w:r>
          </w:p>
        </w:tc>
        <w:tc>
          <w:tcPr>
            <w:tcW w:w="2990" w:type="dxa"/>
            <w:vAlign w:val="center"/>
          </w:tcPr>
          <w:p w14:paraId="2C185B1E"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0,267</w:t>
            </w:r>
          </w:p>
        </w:tc>
        <w:tc>
          <w:tcPr>
            <w:tcW w:w="2685" w:type="dxa"/>
          </w:tcPr>
          <w:p w14:paraId="3D6C5E1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1240</w:t>
            </w:r>
          </w:p>
        </w:tc>
      </w:tr>
      <w:tr w:rsidR="00CA7C54" w:rsidRPr="00CA7C54" w14:paraId="5AA8D3EE" w14:textId="77777777" w:rsidTr="009D0E21">
        <w:trPr>
          <w:trHeight w:hRule="exact" w:val="340"/>
          <w:jc w:val="center"/>
        </w:trPr>
        <w:tc>
          <w:tcPr>
            <w:tcW w:w="562" w:type="dxa"/>
            <w:vAlign w:val="center"/>
          </w:tcPr>
          <w:p w14:paraId="1E102D60"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11</w:t>
            </w:r>
          </w:p>
        </w:tc>
        <w:tc>
          <w:tcPr>
            <w:tcW w:w="3539" w:type="dxa"/>
          </w:tcPr>
          <w:p w14:paraId="6DA98022"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Суглинок</w:t>
            </w:r>
          </w:p>
        </w:tc>
        <w:tc>
          <w:tcPr>
            <w:tcW w:w="2990" w:type="dxa"/>
            <w:vAlign w:val="center"/>
          </w:tcPr>
          <w:p w14:paraId="1AA58FE7"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0,228</w:t>
            </w:r>
          </w:p>
        </w:tc>
        <w:tc>
          <w:tcPr>
            <w:tcW w:w="2685" w:type="dxa"/>
          </w:tcPr>
          <w:p w14:paraId="5C8E503B"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1450</w:t>
            </w:r>
          </w:p>
        </w:tc>
      </w:tr>
      <w:tr w:rsidR="00CA7C54" w:rsidRPr="00CA7C54" w14:paraId="48943E62" w14:textId="77777777" w:rsidTr="009D0E21">
        <w:trPr>
          <w:trHeight w:hRule="exact" w:val="340"/>
          <w:jc w:val="center"/>
        </w:trPr>
        <w:tc>
          <w:tcPr>
            <w:tcW w:w="562" w:type="dxa"/>
            <w:vAlign w:val="center"/>
          </w:tcPr>
          <w:p w14:paraId="19D72BE7"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w:t>
            </w:r>
          </w:p>
        </w:tc>
        <w:tc>
          <w:tcPr>
            <w:tcW w:w="3539" w:type="dxa"/>
          </w:tcPr>
          <w:p w14:paraId="6EBBF99B"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Пісок</w:t>
            </w:r>
          </w:p>
        </w:tc>
        <w:tc>
          <w:tcPr>
            <w:tcW w:w="2990" w:type="dxa"/>
            <w:vAlign w:val="center"/>
          </w:tcPr>
          <w:p w14:paraId="3C63B475"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0,267</w:t>
            </w:r>
          </w:p>
        </w:tc>
        <w:tc>
          <w:tcPr>
            <w:tcW w:w="2685" w:type="dxa"/>
          </w:tcPr>
          <w:p w14:paraId="580EBDCD"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1240</w:t>
            </w:r>
          </w:p>
        </w:tc>
      </w:tr>
      <w:tr w:rsidR="00CA7C54" w:rsidRPr="00CA7C54" w14:paraId="7F732902" w14:textId="77777777" w:rsidTr="009D0E21">
        <w:trPr>
          <w:trHeight w:hRule="exact" w:val="340"/>
          <w:jc w:val="center"/>
        </w:trPr>
        <w:tc>
          <w:tcPr>
            <w:tcW w:w="562" w:type="dxa"/>
            <w:vAlign w:val="center"/>
          </w:tcPr>
          <w:p w14:paraId="7A2A186E"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13</w:t>
            </w:r>
          </w:p>
        </w:tc>
        <w:tc>
          <w:tcPr>
            <w:tcW w:w="3539" w:type="dxa"/>
          </w:tcPr>
          <w:p w14:paraId="3BF82434"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Сосна</w:t>
            </w:r>
          </w:p>
        </w:tc>
        <w:tc>
          <w:tcPr>
            <w:tcW w:w="2990" w:type="dxa"/>
            <w:vAlign w:val="center"/>
          </w:tcPr>
          <w:p w14:paraId="3991BCA0"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0,152</w:t>
            </w:r>
          </w:p>
        </w:tc>
        <w:tc>
          <w:tcPr>
            <w:tcW w:w="2685" w:type="dxa"/>
          </w:tcPr>
          <w:p w14:paraId="26FE28E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2180</w:t>
            </w:r>
          </w:p>
        </w:tc>
      </w:tr>
      <w:tr w:rsidR="00CA7C54" w:rsidRPr="00CA7C54" w14:paraId="08DB93CB" w14:textId="77777777" w:rsidTr="009D0E21">
        <w:trPr>
          <w:trHeight w:hRule="exact" w:val="340"/>
          <w:jc w:val="center"/>
        </w:trPr>
        <w:tc>
          <w:tcPr>
            <w:tcW w:w="562" w:type="dxa"/>
            <w:vAlign w:val="center"/>
          </w:tcPr>
          <w:p w14:paraId="7FF939CB"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14</w:t>
            </w:r>
          </w:p>
        </w:tc>
        <w:tc>
          <w:tcPr>
            <w:tcW w:w="3539" w:type="dxa"/>
          </w:tcPr>
          <w:p w14:paraId="172B1B8E"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Клен</w:t>
            </w:r>
          </w:p>
        </w:tc>
        <w:tc>
          <w:tcPr>
            <w:tcW w:w="2990" w:type="dxa"/>
            <w:vAlign w:val="center"/>
          </w:tcPr>
          <w:p w14:paraId="6BCCE555"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0,271</w:t>
            </w:r>
          </w:p>
        </w:tc>
        <w:tc>
          <w:tcPr>
            <w:tcW w:w="2685" w:type="dxa"/>
          </w:tcPr>
          <w:p w14:paraId="2E86EA6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1220</w:t>
            </w:r>
          </w:p>
        </w:tc>
      </w:tr>
      <w:tr w:rsidR="00CA7C54" w:rsidRPr="00CA7C54" w14:paraId="472E169E" w14:textId="77777777" w:rsidTr="009D0E21">
        <w:trPr>
          <w:trHeight w:hRule="exact" w:val="340"/>
          <w:jc w:val="center"/>
        </w:trPr>
        <w:tc>
          <w:tcPr>
            <w:tcW w:w="562" w:type="dxa"/>
            <w:vAlign w:val="center"/>
          </w:tcPr>
          <w:p w14:paraId="6AC17775"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15</w:t>
            </w:r>
          </w:p>
        </w:tc>
        <w:tc>
          <w:tcPr>
            <w:tcW w:w="3539" w:type="dxa"/>
          </w:tcPr>
          <w:p w14:paraId="1B10C3DC"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Дуб</w:t>
            </w:r>
          </w:p>
        </w:tc>
        <w:tc>
          <w:tcPr>
            <w:tcW w:w="2990" w:type="dxa"/>
            <w:vAlign w:val="center"/>
          </w:tcPr>
          <w:p w14:paraId="6D36882A"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0,341</w:t>
            </w:r>
          </w:p>
        </w:tc>
        <w:tc>
          <w:tcPr>
            <w:tcW w:w="2685" w:type="dxa"/>
          </w:tcPr>
          <w:p w14:paraId="6012AAC4"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970</w:t>
            </w:r>
          </w:p>
        </w:tc>
      </w:tr>
      <w:tr w:rsidR="00CA7C54" w:rsidRPr="00CA7C54" w14:paraId="06C39FC3" w14:textId="77777777" w:rsidTr="009D0E21">
        <w:trPr>
          <w:trHeight w:hRule="exact" w:val="340"/>
          <w:jc w:val="center"/>
        </w:trPr>
        <w:tc>
          <w:tcPr>
            <w:tcW w:w="562" w:type="dxa"/>
            <w:vAlign w:val="center"/>
          </w:tcPr>
          <w:p w14:paraId="4E267713"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16</w:t>
            </w:r>
          </w:p>
        </w:tc>
        <w:tc>
          <w:tcPr>
            <w:tcW w:w="3539" w:type="dxa"/>
          </w:tcPr>
          <w:p w14:paraId="34B2FF47"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Цегляна кладка</w:t>
            </w:r>
          </w:p>
        </w:tc>
        <w:tc>
          <w:tcPr>
            <w:tcW w:w="2990" w:type="dxa"/>
            <w:vAlign w:val="center"/>
          </w:tcPr>
          <w:p w14:paraId="51F8056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0,703</w:t>
            </w:r>
          </w:p>
        </w:tc>
        <w:tc>
          <w:tcPr>
            <w:tcW w:w="2685" w:type="dxa"/>
          </w:tcPr>
          <w:p w14:paraId="32F54778"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470</w:t>
            </w:r>
          </w:p>
        </w:tc>
      </w:tr>
      <w:tr w:rsidR="00CA7C54" w:rsidRPr="00CA7C54" w14:paraId="7922A59B" w14:textId="77777777" w:rsidTr="00CA2158">
        <w:trPr>
          <w:trHeight w:hRule="exact" w:val="340"/>
          <w:jc w:val="center"/>
        </w:trPr>
        <w:tc>
          <w:tcPr>
            <w:tcW w:w="562" w:type="dxa"/>
            <w:vAlign w:val="center"/>
          </w:tcPr>
          <w:p w14:paraId="19D4B52A" w14:textId="77777777" w:rsidR="00293FA8" w:rsidRPr="00CA7C54" w:rsidRDefault="00293FA8" w:rsidP="00293FA8">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17</w:t>
            </w:r>
          </w:p>
        </w:tc>
        <w:tc>
          <w:tcPr>
            <w:tcW w:w="3539" w:type="dxa"/>
          </w:tcPr>
          <w:p w14:paraId="1036BE03" w14:textId="77777777" w:rsidR="00293FA8" w:rsidRPr="00CA7C54" w:rsidRDefault="00293FA8" w:rsidP="00293FA8">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Сталь</w:t>
            </w:r>
          </w:p>
        </w:tc>
        <w:tc>
          <w:tcPr>
            <w:tcW w:w="2990" w:type="dxa"/>
            <w:vAlign w:val="center"/>
          </w:tcPr>
          <w:p w14:paraId="1F2443F2" w14:textId="77777777" w:rsidR="00293FA8" w:rsidRPr="00CA7C54" w:rsidRDefault="00293FA8" w:rsidP="00293FA8">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3,667</w:t>
            </w:r>
          </w:p>
        </w:tc>
        <w:tc>
          <w:tcPr>
            <w:tcW w:w="2685" w:type="dxa"/>
          </w:tcPr>
          <w:p w14:paraId="4D4F5FFF" w14:textId="77777777" w:rsidR="00293FA8" w:rsidRPr="00CA7C54" w:rsidRDefault="00293FA8" w:rsidP="00293FA8">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90</w:t>
            </w:r>
          </w:p>
        </w:tc>
      </w:tr>
      <w:tr w:rsidR="00293FA8" w:rsidRPr="00CA7C54" w14:paraId="1AC33E0E" w14:textId="77777777" w:rsidTr="00CA2158">
        <w:trPr>
          <w:trHeight w:hRule="exact" w:val="1452"/>
          <w:jc w:val="center"/>
        </w:trPr>
        <w:tc>
          <w:tcPr>
            <w:tcW w:w="9776" w:type="dxa"/>
            <w:gridSpan w:val="4"/>
            <w:vAlign w:val="center"/>
          </w:tcPr>
          <w:p w14:paraId="413821B2" w14:textId="77777777" w:rsidR="00293FA8" w:rsidRPr="00CA7C54" w:rsidRDefault="00293FA8" w:rsidP="00293FA8">
            <w:pPr>
              <w:spacing w:before="0" w:line="288" w:lineRule="auto"/>
              <w:ind w:left="1304" w:hanging="1304"/>
              <w:contextualSpacing/>
              <w:rPr>
                <w:rFonts w:ascii="Arial" w:hAnsi="Arial" w:cs="Arial"/>
                <w:color w:val="000000" w:themeColor="text1"/>
                <w:sz w:val="20"/>
                <w:szCs w:val="20"/>
              </w:rPr>
            </w:pPr>
            <w:r w:rsidRPr="00CA7C54">
              <w:rPr>
                <w:rFonts w:ascii="Arial" w:hAnsi="Arial" w:cs="Arial"/>
                <w:b/>
                <w:color w:val="000000" w:themeColor="text1"/>
                <w:sz w:val="20"/>
                <w:szCs w:val="20"/>
              </w:rPr>
              <w:t>Примітка 1.</w:t>
            </w:r>
            <w:r w:rsidRPr="00CA7C54">
              <w:rPr>
                <w:rFonts w:ascii="Arial" w:hAnsi="Arial" w:cs="Arial"/>
                <w:color w:val="000000" w:themeColor="text1"/>
                <w:sz w:val="20"/>
                <w:szCs w:val="20"/>
              </w:rPr>
              <w:t xml:space="preserve"> Для залізобетонних конструкцій значення коефіцієнту матеріалу піддатливості проникненню приймається по відповідному класу бетону наведеному у рядках 1-7 і збільшенням </w:t>
            </w:r>
            <w:r w:rsidRPr="00CA7C54">
              <w:rPr>
                <w:rFonts w:ascii="Arial" w:hAnsi="Arial" w:cs="Arial"/>
                <w:i/>
                <w:color w:val="000000" w:themeColor="text1"/>
                <w:sz w:val="20"/>
                <w:szCs w:val="20"/>
              </w:rPr>
              <w:t>k</w:t>
            </w:r>
            <w:r w:rsidRPr="00CA7C54">
              <w:rPr>
                <w:rFonts w:ascii="Arial" w:hAnsi="Arial" w:cs="Arial"/>
                <w:i/>
                <w:color w:val="000000" w:themeColor="text1"/>
                <w:sz w:val="20"/>
                <w:szCs w:val="20"/>
                <w:vertAlign w:val="subscript"/>
              </w:rPr>
              <w:t>пр</w:t>
            </w:r>
            <w:r w:rsidRPr="00CA7C54">
              <w:rPr>
                <w:rFonts w:ascii="Arial" w:hAnsi="Arial" w:cs="Arial"/>
                <w:color w:val="000000" w:themeColor="text1"/>
                <w:sz w:val="20"/>
                <w:szCs w:val="20"/>
              </w:rPr>
              <w:t xml:space="preserve"> на 5%.</w:t>
            </w:r>
          </w:p>
          <w:p w14:paraId="21718335" w14:textId="77777777" w:rsidR="00293FA8" w:rsidRPr="00CA7C54" w:rsidRDefault="00293FA8" w:rsidP="00293FA8">
            <w:pPr>
              <w:spacing w:before="0" w:line="288" w:lineRule="auto"/>
              <w:ind w:left="1304" w:hanging="1304"/>
              <w:contextualSpacing/>
              <w:rPr>
                <w:rFonts w:ascii="Arial" w:hAnsi="Arial" w:cs="Arial"/>
                <w:color w:val="000000" w:themeColor="text1"/>
                <w:sz w:val="20"/>
                <w:szCs w:val="20"/>
              </w:rPr>
            </w:pPr>
            <w:r w:rsidRPr="00CA7C54">
              <w:rPr>
                <w:rFonts w:ascii="Arial" w:hAnsi="Arial" w:cs="Arial"/>
                <w:b/>
                <w:color w:val="000000" w:themeColor="text1"/>
                <w:sz w:val="20"/>
                <w:szCs w:val="20"/>
              </w:rPr>
              <w:t>Примітка 2.</w:t>
            </w:r>
            <w:r w:rsidRPr="00CA7C54">
              <w:rPr>
                <w:rFonts w:ascii="Arial" w:hAnsi="Arial" w:cs="Arial"/>
                <w:color w:val="000000" w:themeColor="text1"/>
                <w:sz w:val="20"/>
                <w:szCs w:val="20"/>
              </w:rPr>
              <w:t xml:space="preserve"> При використанні інших матеріалів значення наведені у таблиці приймати по матеріалу аналогічному за міцністю на стиск. </w:t>
            </w:r>
          </w:p>
        </w:tc>
      </w:tr>
    </w:tbl>
    <w:p w14:paraId="4F306299" w14:textId="77777777" w:rsidR="003C4E04" w:rsidRPr="00CA7C54" w:rsidRDefault="003C4E04" w:rsidP="00326D96">
      <w:pPr>
        <w:spacing w:before="0" w:line="288" w:lineRule="auto"/>
        <w:ind w:firstLine="0"/>
        <w:contextualSpacing/>
        <w:rPr>
          <w:b/>
          <w:color w:val="000000" w:themeColor="text1"/>
          <w:sz w:val="21"/>
          <w:szCs w:val="21"/>
        </w:rPr>
      </w:pPr>
    </w:p>
    <w:p w14:paraId="0E435450" w14:textId="77777777" w:rsidR="003C4E04" w:rsidRPr="00CA7C54" w:rsidRDefault="001E748C" w:rsidP="00326D96">
      <w:pPr>
        <w:spacing w:before="0" w:line="288" w:lineRule="auto"/>
        <w:ind w:firstLine="566"/>
        <w:contextualSpacing/>
        <w:rPr>
          <w:color w:val="000000" w:themeColor="text1"/>
          <w:sz w:val="21"/>
          <w:szCs w:val="21"/>
        </w:rPr>
      </w:pPr>
      <w:r w:rsidRPr="00CA7C54">
        <w:rPr>
          <w:b/>
          <w:color w:val="000000" w:themeColor="text1"/>
          <w:sz w:val="21"/>
          <w:szCs w:val="21"/>
        </w:rPr>
        <w:lastRenderedPageBreak/>
        <w:t>14.2.3.4</w:t>
      </w:r>
      <w:r w:rsidRPr="00CA7C54">
        <w:rPr>
          <w:color w:val="000000" w:themeColor="text1"/>
          <w:sz w:val="21"/>
          <w:szCs w:val="21"/>
        </w:rPr>
        <w:t xml:space="preserve"> З метою запобігання проникненню уламків засобів ураження та недопущення небезпеки для осіб, що переховуються, сумарно всі шари огороджувальної конструкції повинні відповідати умові   h</w:t>
      </w:r>
      <w:r w:rsidRPr="00CA7C54">
        <w:rPr>
          <w:color w:val="000000" w:themeColor="text1"/>
          <w:sz w:val="21"/>
          <w:szCs w:val="21"/>
          <w:vertAlign w:val="subscript"/>
        </w:rPr>
        <w:t>пр</w:t>
      </w:r>
      <w:sdt>
        <w:sdtPr>
          <w:rPr>
            <w:color w:val="000000" w:themeColor="text1"/>
            <w:sz w:val="21"/>
            <w:szCs w:val="21"/>
          </w:rPr>
          <w:tag w:val="goog_rdk_53"/>
          <w:id w:val="37489384"/>
        </w:sdtPr>
        <w:sdtEndPr/>
        <w:sdtContent>
          <w:r w:rsidRPr="00CA7C54">
            <w:rPr>
              <w:rFonts w:eastAsia="Arial Unicode MS"/>
              <w:color w:val="000000" w:themeColor="text1"/>
              <w:sz w:val="21"/>
              <w:szCs w:val="21"/>
            </w:rPr>
            <w:t xml:space="preserve"> ≥ 330 мм.</w:t>
          </w:r>
        </w:sdtContent>
      </w:sdt>
    </w:p>
    <w:p w14:paraId="4806348A" w14:textId="77777777" w:rsidR="003C4E04" w:rsidRPr="00CA7C54" w:rsidRDefault="001E748C" w:rsidP="00326D96">
      <w:pPr>
        <w:spacing w:before="0" w:line="288" w:lineRule="auto"/>
        <w:contextualSpacing/>
        <w:rPr>
          <w:color w:val="000000" w:themeColor="text1"/>
          <w:sz w:val="21"/>
          <w:szCs w:val="21"/>
        </w:rPr>
      </w:pPr>
      <w:r w:rsidRPr="00CA7C54">
        <w:rPr>
          <w:b/>
          <w:color w:val="000000" w:themeColor="text1"/>
          <w:sz w:val="21"/>
          <w:szCs w:val="21"/>
        </w:rPr>
        <w:t>14.2.3.5</w:t>
      </w:r>
      <w:r w:rsidRPr="00CA7C54">
        <w:rPr>
          <w:color w:val="000000" w:themeColor="text1"/>
          <w:sz w:val="21"/>
          <w:szCs w:val="21"/>
        </w:rPr>
        <w:t xml:space="preserve"> Для уникнення явища вторинної фрагментації без влаштування додаткових заходів повинна виконуватись вимога h</w:t>
      </w:r>
      <w:r w:rsidRPr="00CA7C54">
        <w:rPr>
          <w:color w:val="000000" w:themeColor="text1"/>
          <w:sz w:val="21"/>
          <w:szCs w:val="21"/>
          <w:vertAlign w:val="subscript"/>
        </w:rPr>
        <w:t xml:space="preserve">пр </w:t>
      </w:r>
      <w:sdt>
        <w:sdtPr>
          <w:rPr>
            <w:color w:val="000000" w:themeColor="text1"/>
            <w:sz w:val="21"/>
            <w:szCs w:val="21"/>
          </w:rPr>
          <w:tag w:val="goog_rdk_54"/>
          <w:id w:val="-1427343952"/>
        </w:sdtPr>
        <w:sdtEndPr/>
        <w:sdtContent>
          <w:r w:rsidRPr="00CA7C54">
            <w:rPr>
              <w:rFonts w:eastAsia="Arial Unicode MS"/>
              <w:color w:val="000000" w:themeColor="text1"/>
              <w:sz w:val="21"/>
              <w:szCs w:val="21"/>
            </w:rPr>
            <w:t>≥ 520 мм.</w:t>
          </w:r>
        </w:sdtContent>
      </w:sdt>
    </w:p>
    <w:p w14:paraId="311A63CE" w14:textId="77777777" w:rsidR="003C4E04" w:rsidRPr="00CA7C54" w:rsidRDefault="001E748C" w:rsidP="00326D96">
      <w:pPr>
        <w:spacing w:before="0" w:line="288" w:lineRule="auto"/>
        <w:contextualSpacing/>
        <w:rPr>
          <w:color w:val="000000" w:themeColor="text1"/>
          <w:sz w:val="21"/>
          <w:szCs w:val="21"/>
        </w:rPr>
      </w:pPr>
      <w:r w:rsidRPr="00CA7C54">
        <w:rPr>
          <w:color w:val="000000" w:themeColor="text1"/>
          <w:sz w:val="21"/>
          <w:szCs w:val="21"/>
        </w:rPr>
        <w:t>Дане значення мінімальної приведеної товщини може бути зменшено до 330 мм, за умови виконання хоча б одного із наведених нижче конструктивних заходів:</w:t>
      </w:r>
    </w:p>
    <w:p w14:paraId="5C73AF39" w14:textId="77777777" w:rsidR="003C4E04" w:rsidRPr="00CA7C54" w:rsidRDefault="00DC31F3" w:rsidP="006D29A8">
      <w:pPr>
        <w:spacing w:before="0" w:line="288" w:lineRule="auto"/>
        <w:contextualSpacing/>
        <w:jc w:val="left"/>
        <w:rPr>
          <w:color w:val="000000" w:themeColor="text1"/>
          <w:sz w:val="21"/>
          <w:szCs w:val="21"/>
        </w:rPr>
      </w:pPr>
      <w:sdt>
        <w:sdtPr>
          <w:rPr>
            <w:color w:val="000000" w:themeColor="text1"/>
            <w:sz w:val="21"/>
            <w:szCs w:val="21"/>
          </w:rPr>
          <w:tag w:val="goog_rdk_55"/>
          <w:id w:val="694123051"/>
        </w:sdtPr>
        <w:sdtEndPr/>
        <w:sdtContent>
          <w:r w:rsidR="006D29A8">
            <w:rPr>
              <w:color w:val="000000" w:themeColor="text1"/>
              <w:sz w:val="21"/>
              <w:szCs w:val="21"/>
            </w:rPr>
            <w:t xml:space="preserve">- </w:t>
          </w:r>
          <w:r w:rsidR="001E748C" w:rsidRPr="00CA7C54">
            <w:rPr>
              <w:rFonts w:eastAsia="Arial Unicode MS"/>
              <w:color w:val="000000" w:themeColor="text1"/>
              <w:sz w:val="21"/>
              <w:szCs w:val="21"/>
            </w:rPr>
            <w:t>влаштування додаткового протискольного армування із внутрішньої сторони захисного шару бетону на глибині не більше</w:t>
          </w:r>
          <w:r w:rsidR="00C668E6" w:rsidRPr="00CA7C54">
            <w:rPr>
              <w:rFonts w:eastAsia="Arial Unicode MS"/>
              <w:color w:val="000000" w:themeColor="text1"/>
              <w:sz w:val="21"/>
              <w:szCs w:val="21"/>
            </w:rPr>
            <w:t xml:space="preserve"> ніж </w:t>
          </w:r>
          <w:r w:rsidR="001E748C" w:rsidRPr="00CA7C54">
            <w:rPr>
              <w:rFonts w:eastAsia="Arial Unicode MS"/>
              <w:color w:val="000000" w:themeColor="text1"/>
              <w:sz w:val="21"/>
              <w:szCs w:val="21"/>
            </w:rPr>
            <w:t xml:space="preserve">25 мм від внутрішньої поверхні залізобетонної конструкції </w:t>
          </w:r>
          <w:r w:rsidR="001E748C" w:rsidRPr="00CA7C54">
            <w:rPr>
              <w:rFonts w:eastAsia="Arial Unicode MS"/>
              <w:color w:val="000000" w:themeColor="text1"/>
              <w:spacing w:val="-6"/>
              <w:sz w:val="21"/>
              <w:szCs w:val="21"/>
            </w:rPr>
            <w:t>сталевими сітками діаметром стрижнів (дроту) не нижче</w:t>
          </w:r>
          <w:r w:rsidR="00573B38" w:rsidRPr="00CA7C54">
            <w:rPr>
              <w:rFonts w:eastAsia="Arial Unicode MS"/>
              <w:color w:val="000000" w:themeColor="text1"/>
              <w:spacing w:val="-6"/>
              <w:sz w:val="21"/>
              <w:szCs w:val="21"/>
            </w:rPr>
            <w:t xml:space="preserve"> диаметра</w:t>
          </w:r>
          <w:r w:rsidR="001E748C" w:rsidRPr="00CA7C54">
            <w:rPr>
              <w:rFonts w:eastAsia="Arial Unicode MS"/>
              <w:color w:val="000000" w:themeColor="text1"/>
              <w:spacing w:val="-6"/>
              <w:sz w:val="21"/>
              <w:szCs w:val="21"/>
            </w:rPr>
            <w:t>2 мм, із кроком чарунки не більше</w:t>
          </w:r>
          <w:r w:rsidR="00C668E6" w:rsidRPr="00CA7C54">
            <w:rPr>
              <w:rFonts w:eastAsia="Arial Unicode MS"/>
              <w:color w:val="000000" w:themeColor="text1"/>
              <w:spacing w:val="-6"/>
              <w:sz w:val="21"/>
              <w:szCs w:val="21"/>
            </w:rPr>
            <w:t xml:space="preserve"> ніж</w:t>
          </w:r>
          <w:r w:rsidR="001E748C" w:rsidRPr="00CA7C54">
            <w:rPr>
              <w:rFonts w:eastAsia="Arial Unicode MS"/>
              <w:color w:val="000000" w:themeColor="text1"/>
              <w:spacing w:val="-6"/>
              <w:sz w:val="21"/>
              <w:szCs w:val="21"/>
            </w:rPr>
            <w:t xml:space="preserve"> 40 мм що кріпиться до основного армування конструкції (кріплення виконувати не менше ніж 3 витками в’язального дроту у кожній точці, із кроком не менше</w:t>
          </w:r>
          <w:r w:rsidR="00C668E6" w:rsidRPr="00CA7C54">
            <w:rPr>
              <w:rFonts w:eastAsia="Arial Unicode MS"/>
              <w:color w:val="000000" w:themeColor="text1"/>
              <w:spacing w:val="-6"/>
              <w:sz w:val="21"/>
              <w:szCs w:val="21"/>
            </w:rPr>
            <w:t xml:space="preserve"> ніж</w:t>
          </w:r>
          <w:r w:rsidR="001E748C" w:rsidRPr="00CA7C54">
            <w:rPr>
              <w:rFonts w:eastAsia="Arial Unicode MS"/>
              <w:color w:val="000000" w:themeColor="text1"/>
              <w:spacing w:val="-6"/>
              <w:sz w:val="21"/>
              <w:szCs w:val="21"/>
            </w:rPr>
            <w:t xml:space="preserve"> 500 мм в обох напрямках);</w:t>
          </w:r>
        </w:sdtContent>
      </w:sdt>
    </w:p>
    <w:p w14:paraId="5D16124B" w14:textId="77777777" w:rsidR="003C4E04" w:rsidRPr="00CA7C54" w:rsidRDefault="006D29A8" w:rsidP="006D29A8">
      <w:pP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влаштування із внутрішньої сторони захисної споруди екрануючого прошарку із використанням сталевого настилу загальною товщиною не менше 1,5 мм (суцільний чи профільований лист, сендвіч панель із використанням 2 листів товщиною по 0,75 мм, касети (панелі) розміром не менше 500</w:t>
      </w:r>
      <w:r w:rsidR="004F39E0" w:rsidRPr="00CA7C54">
        <w:rPr>
          <w:color w:val="000000" w:themeColor="text1"/>
          <w:sz w:val="21"/>
          <w:szCs w:val="21"/>
        </w:rPr>
        <w:t xml:space="preserve"> мм </w:t>
      </w:r>
      <w:r w:rsidR="001E748C" w:rsidRPr="00CA7C54">
        <w:rPr>
          <w:color w:val="000000" w:themeColor="text1"/>
          <w:sz w:val="21"/>
          <w:szCs w:val="21"/>
        </w:rPr>
        <w:t xml:space="preserve">х500 мм за умови їх надійного закріплення  та </w:t>
      </w:r>
      <w:r w:rsidR="004F39E0" w:rsidRPr="00CA7C54">
        <w:rPr>
          <w:color w:val="000000" w:themeColor="text1"/>
          <w:sz w:val="21"/>
          <w:szCs w:val="21"/>
        </w:rPr>
        <w:t>інше</w:t>
      </w:r>
      <w:r w:rsidR="00C36475" w:rsidRPr="00CA7C54">
        <w:rPr>
          <w:color w:val="000000" w:themeColor="text1"/>
          <w:sz w:val="21"/>
          <w:szCs w:val="21"/>
        </w:rPr>
        <w:t>)</w:t>
      </w:r>
      <w:r w:rsidR="00B86010" w:rsidRPr="00CA7C54">
        <w:rPr>
          <w:color w:val="000000" w:themeColor="text1"/>
          <w:sz w:val="21"/>
          <w:szCs w:val="21"/>
        </w:rPr>
        <w:t>;</w:t>
      </w:r>
    </w:p>
    <w:p w14:paraId="32C8B95D" w14:textId="77777777" w:rsidR="003C4E04" w:rsidRPr="00CA7C54" w:rsidRDefault="006D29A8" w:rsidP="006D29A8">
      <w:pPr>
        <w:spacing w:before="0" w:line="288" w:lineRule="auto"/>
        <w:contextualSpacing/>
        <w:jc w:val="left"/>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влаштування із внутрішньої сторони захисної споруди екрануючого прошарку із використанням дерев’яних щитів за умови їх надійного закріплення до несучих конструкцій та вимог пожежної безпеки загальною товщиною не менше</w:t>
      </w:r>
      <w:r w:rsidR="00C36475" w:rsidRPr="00CA7C54">
        <w:rPr>
          <w:color w:val="000000" w:themeColor="text1"/>
          <w:sz w:val="21"/>
          <w:szCs w:val="21"/>
        </w:rPr>
        <w:t xml:space="preserve"> ніж </w:t>
      </w:r>
      <w:r w:rsidR="001E748C" w:rsidRPr="00CA7C54">
        <w:rPr>
          <w:color w:val="000000" w:themeColor="text1"/>
          <w:sz w:val="21"/>
          <w:szCs w:val="21"/>
        </w:rPr>
        <w:t>50 мм для хвойних порід деревини; не менше</w:t>
      </w:r>
      <w:r w:rsidR="00C36475" w:rsidRPr="00CA7C54">
        <w:rPr>
          <w:color w:val="000000" w:themeColor="text1"/>
          <w:sz w:val="21"/>
          <w:szCs w:val="21"/>
        </w:rPr>
        <w:t xml:space="preserve"> ніж </w:t>
      </w:r>
      <w:r w:rsidR="001E748C" w:rsidRPr="00CA7C54">
        <w:rPr>
          <w:color w:val="000000" w:themeColor="text1"/>
          <w:sz w:val="21"/>
          <w:szCs w:val="21"/>
        </w:rPr>
        <w:t>40 мм для листвяних порід дерев; не менше</w:t>
      </w:r>
      <w:r w:rsidR="00C36475" w:rsidRPr="00CA7C54">
        <w:rPr>
          <w:color w:val="000000" w:themeColor="text1"/>
          <w:sz w:val="21"/>
          <w:szCs w:val="21"/>
        </w:rPr>
        <w:t xml:space="preserve"> ніж </w:t>
      </w:r>
      <w:r w:rsidR="001E748C" w:rsidRPr="00CA7C54">
        <w:rPr>
          <w:color w:val="000000" w:themeColor="text1"/>
          <w:sz w:val="21"/>
          <w:szCs w:val="21"/>
        </w:rPr>
        <w:t>30 мм для дуба; не менше</w:t>
      </w:r>
      <w:r w:rsidR="00C36475" w:rsidRPr="00CA7C54">
        <w:rPr>
          <w:color w:val="000000" w:themeColor="text1"/>
          <w:sz w:val="21"/>
          <w:szCs w:val="21"/>
        </w:rPr>
        <w:t xml:space="preserve"> ніж </w:t>
      </w:r>
      <w:r w:rsidR="001E748C" w:rsidRPr="00CA7C54">
        <w:rPr>
          <w:color w:val="000000" w:themeColor="text1"/>
          <w:sz w:val="21"/>
          <w:szCs w:val="21"/>
        </w:rPr>
        <w:t>20 мм для фанери</w:t>
      </w:r>
      <w:r>
        <w:rPr>
          <w:color w:val="000000" w:themeColor="text1"/>
          <w:sz w:val="21"/>
          <w:szCs w:val="21"/>
        </w:rPr>
        <w:t>.</w:t>
      </w:r>
    </w:p>
    <w:p w14:paraId="597BF0C3" w14:textId="77777777" w:rsidR="003C4E04" w:rsidRPr="00CA7C54" w:rsidRDefault="001E748C" w:rsidP="00326D96">
      <w:pPr>
        <w:spacing w:before="0" w:line="288" w:lineRule="auto"/>
        <w:contextualSpacing/>
        <w:rPr>
          <w:color w:val="000000" w:themeColor="text1"/>
          <w:sz w:val="21"/>
          <w:szCs w:val="21"/>
        </w:rPr>
      </w:pPr>
      <w:r w:rsidRPr="00CA7C54">
        <w:rPr>
          <w:color w:val="000000" w:themeColor="text1"/>
          <w:sz w:val="21"/>
          <w:szCs w:val="21"/>
        </w:rPr>
        <w:t>Кріплення екрануючого прошарку виконувати на відстані не більше</w:t>
      </w:r>
      <w:r w:rsidR="00C36475" w:rsidRPr="00CA7C54">
        <w:rPr>
          <w:color w:val="000000" w:themeColor="text1"/>
          <w:sz w:val="21"/>
          <w:szCs w:val="21"/>
        </w:rPr>
        <w:t xml:space="preserve"> ніж </w:t>
      </w:r>
      <w:r w:rsidRPr="00CA7C54">
        <w:rPr>
          <w:color w:val="000000" w:themeColor="text1"/>
          <w:sz w:val="21"/>
          <w:szCs w:val="21"/>
        </w:rPr>
        <w:t>50 мм від внутрішньої поверхні несучої конструкції. Допускається кріплення безпосередньо до самої конструкції. Крок точок розкріплення не менше</w:t>
      </w:r>
      <w:r w:rsidR="00C36475" w:rsidRPr="00CA7C54">
        <w:rPr>
          <w:color w:val="000000" w:themeColor="text1"/>
          <w:sz w:val="21"/>
          <w:szCs w:val="21"/>
        </w:rPr>
        <w:t xml:space="preserve"> ніж </w:t>
      </w:r>
      <w:r w:rsidRPr="00CA7C54">
        <w:rPr>
          <w:color w:val="000000" w:themeColor="text1"/>
          <w:sz w:val="21"/>
          <w:szCs w:val="21"/>
        </w:rPr>
        <w:t xml:space="preserve">500 мм в поздовжньому та поперечному напрямках.  </w:t>
      </w:r>
    </w:p>
    <w:p w14:paraId="02D049BA" w14:textId="77777777" w:rsidR="003C4E04" w:rsidRPr="00CA7C54" w:rsidRDefault="001E748C" w:rsidP="00326D96">
      <w:pPr>
        <w:spacing w:before="0" w:line="288" w:lineRule="auto"/>
        <w:ind w:firstLine="566"/>
        <w:contextualSpacing/>
        <w:rPr>
          <w:color w:val="000000" w:themeColor="text1"/>
          <w:sz w:val="21"/>
          <w:szCs w:val="21"/>
        </w:rPr>
      </w:pPr>
      <w:r w:rsidRPr="00CA7C54">
        <w:rPr>
          <w:b/>
          <w:color w:val="000000" w:themeColor="text1"/>
          <w:sz w:val="21"/>
          <w:szCs w:val="21"/>
        </w:rPr>
        <w:t>14.2.3.6</w:t>
      </w:r>
      <w:sdt>
        <w:sdtPr>
          <w:rPr>
            <w:color w:val="000000" w:themeColor="text1"/>
            <w:sz w:val="21"/>
            <w:szCs w:val="21"/>
          </w:rPr>
          <w:tag w:val="goog_rdk_56"/>
          <w:id w:val="747391757"/>
        </w:sdtPr>
        <w:sdtEndPr/>
        <w:sdtContent>
          <w:r w:rsidRPr="00CA7C54">
            <w:rPr>
              <w:rFonts w:eastAsia="Arial Unicode MS"/>
              <w:color w:val="000000" w:themeColor="text1"/>
              <w:sz w:val="21"/>
              <w:szCs w:val="21"/>
            </w:rPr>
            <w:t xml:space="preserve"> З метою зменшення вірогідності проникнення та збільшення опору конструкції вторинному сколюванню у всіх залізобетонних елементах зазначених у  14.2.3.1 армування приймається по розрахунку, але не менше ніж 3 ряди сіток із зміщенням чарунок одна відносно іншої на 1/3 кроку чарунки. Захисний шар бетону із сторони внутрішньої поверхні повинен становити не менше</w:t>
          </w:r>
          <w:r w:rsidR="00C36475" w:rsidRPr="00CA7C54">
            <w:rPr>
              <w:rFonts w:eastAsia="Arial Unicode MS"/>
              <w:color w:val="000000" w:themeColor="text1"/>
              <w:sz w:val="21"/>
              <w:szCs w:val="21"/>
            </w:rPr>
            <w:t xml:space="preserve"> ніж </w:t>
          </w:r>
          <w:r w:rsidRPr="00CA7C54">
            <w:rPr>
              <w:rFonts w:eastAsia="Arial Unicode MS"/>
              <w:color w:val="000000" w:themeColor="text1"/>
              <w:sz w:val="21"/>
              <w:szCs w:val="21"/>
            </w:rPr>
            <w:t xml:space="preserve">25 мм та не більше </w:t>
          </w:r>
          <w:r w:rsidR="00C36475" w:rsidRPr="00CA7C54">
            <w:rPr>
              <w:rFonts w:eastAsia="Arial Unicode MS"/>
              <w:color w:val="000000" w:themeColor="text1"/>
              <w:sz w:val="21"/>
              <w:szCs w:val="21"/>
            </w:rPr>
            <w:t xml:space="preserve">ніж </w:t>
          </w:r>
          <w:r w:rsidRPr="00CA7C54">
            <w:rPr>
              <w:rFonts w:eastAsia="Arial Unicode MS"/>
              <w:color w:val="000000" w:themeColor="text1"/>
              <w:sz w:val="21"/>
              <w:szCs w:val="21"/>
            </w:rPr>
            <w:t xml:space="preserve">40 мм.  Крок стрижнів у сітках у поздовжньому та поперечному напрямках повинні становити не більше </w:t>
          </w:r>
          <w:r w:rsidR="00C36475" w:rsidRPr="00CA7C54">
            <w:rPr>
              <w:rFonts w:eastAsia="Arial Unicode MS"/>
              <w:color w:val="000000" w:themeColor="text1"/>
              <w:sz w:val="21"/>
              <w:szCs w:val="21"/>
            </w:rPr>
            <w:t xml:space="preserve">ніж </w:t>
          </w:r>
          <w:r w:rsidRPr="00CA7C54">
            <w:rPr>
              <w:rFonts w:eastAsia="Arial Unicode MS"/>
              <w:color w:val="000000" w:themeColor="text1"/>
              <w:sz w:val="21"/>
              <w:szCs w:val="21"/>
            </w:rPr>
            <w:t>150 мм.  Мінімальний діаметр стрижнів сіток 12 мм. Сітки повинні бути рознесені по товщині перерізу конструкції на відстань не менше 50 мм між сітками у просвіті.</w:t>
          </w:r>
        </w:sdtContent>
      </w:sdt>
    </w:p>
    <w:p w14:paraId="0BA912BB" w14:textId="77777777" w:rsidR="003C4E04" w:rsidRPr="00CA7C54" w:rsidRDefault="001E748C" w:rsidP="00326D96">
      <w:pPr>
        <w:pStyle w:val="3"/>
        <w:spacing w:before="0" w:after="0" w:line="288" w:lineRule="auto"/>
        <w:contextualSpacing/>
        <w:rPr>
          <w:color w:val="000000" w:themeColor="text1"/>
          <w:sz w:val="21"/>
          <w:szCs w:val="21"/>
        </w:rPr>
      </w:pPr>
      <w:r w:rsidRPr="00CA7C54">
        <w:rPr>
          <w:color w:val="000000" w:themeColor="text1"/>
          <w:sz w:val="21"/>
          <w:szCs w:val="21"/>
        </w:rPr>
        <w:t>14.3 Розрахунок конструкцій з кам'яних та інших матеріалів</w:t>
      </w:r>
    </w:p>
    <w:p w14:paraId="70403F37" w14:textId="752AE90F"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14.3.1</w:t>
      </w:r>
      <w:r w:rsidRPr="00CA7C54">
        <w:rPr>
          <w:color w:val="000000" w:themeColor="text1"/>
          <w:sz w:val="21"/>
          <w:szCs w:val="21"/>
        </w:rPr>
        <w:t xml:space="preserve"> Розрахунок елементів кам'яних та армокам'яних конструкцій слід виконувати за граничними станами першої групи у відповідності з вимогами норм з </w:t>
      </w:r>
      <w:hyperlink r:id="rId316" w:history="1">
        <w:r w:rsidRPr="00B82061">
          <w:rPr>
            <w:rStyle w:val="ac"/>
            <w:rFonts w:cs="Arial"/>
            <w:sz w:val="21"/>
            <w:szCs w:val="21"/>
          </w:rPr>
          <w:t>ДБН В.2.6-162.</w:t>
        </w:r>
      </w:hyperlink>
    </w:p>
    <w:p w14:paraId="6BC6030D"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14.3.2</w:t>
      </w:r>
      <w:r w:rsidRPr="00CA7C54">
        <w:rPr>
          <w:color w:val="000000" w:themeColor="text1"/>
          <w:sz w:val="21"/>
          <w:szCs w:val="21"/>
        </w:rPr>
        <w:t xml:space="preserve"> У кам’яних та армокам’яних конструкціях слід застосовувати матеріали за міцністю на стиск не нижче:</w:t>
      </w:r>
    </w:p>
    <w:p w14:paraId="266FF1CD"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10 МПа– цегла;</w:t>
      </w:r>
    </w:p>
    <w:p w14:paraId="2F9C047D"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15 МПа  – бутовий камінь;</w:t>
      </w:r>
    </w:p>
    <w:p w14:paraId="0F650009"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5 МПа  – розчин для кладки.</w:t>
      </w:r>
    </w:p>
    <w:p w14:paraId="30BF1DD5" w14:textId="644A0208"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14.3.3</w:t>
      </w:r>
      <w:r w:rsidRPr="00CA7C54">
        <w:rPr>
          <w:color w:val="000000" w:themeColor="text1"/>
          <w:sz w:val="21"/>
          <w:szCs w:val="21"/>
        </w:rPr>
        <w:t xml:space="preserve"> Розрахункові динамічні опори кладки з кам’яних матеріалів у конструкціях слід приймати згідно з </w:t>
      </w:r>
      <w:hyperlink r:id="rId317" w:history="1">
        <w:r w:rsidRPr="00B82061">
          <w:rPr>
            <w:rStyle w:val="ac"/>
            <w:rFonts w:cs="Arial"/>
            <w:sz w:val="21"/>
            <w:szCs w:val="21"/>
          </w:rPr>
          <w:t>ДБН В.2.6-162</w:t>
        </w:r>
      </w:hyperlink>
      <w:r w:rsidRPr="00CA7C54">
        <w:rPr>
          <w:color w:val="000000" w:themeColor="text1"/>
          <w:sz w:val="21"/>
          <w:szCs w:val="21"/>
        </w:rPr>
        <w:t>.</w:t>
      </w:r>
    </w:p>
    <w:p w14:paraId="2EE82F93" w14:textId="0C12AC90"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14.3.4</w:t>
      </w:r>
      <w:r w:rsidRPr="00CA7C54">
        <w:rPr>
          <w:color w:val="000000" w:themeColor="text1"/>
          <w:sz w:val="21"/>
          <w:szCs w:val="21"/>
        </w:rPr>
        <w:t xml:space="preserve"> Розрахунок сталевих конструкцій необхідно виконувати відповідно вимог до ДБН В.2.6-198. Розрахунковi динамiчнi опори прокату і труб слiд приймати такими, що дорiвнюють розрахунковим опорам згiдно з </w:t>
      </w:r>
      <w:hyperlink r:id="rId318" w:history="1">
        <w:r w:rsidRPr="00B82061">
          <w:rPr>
            <w:rStyle w:val="ac"/>
            <w:rFonts w:cs="Arial"/>
            <w:sz w:val="21"/>
            <w:szCs w:val="21"/>
          </w:rPr>
          <w:t>ДБН В.2.6-198</w:t>
        </w:r>
      </w:hyperlink>
      <w:r w:rsidRPr="00CA7C54">
        <w:rPr>
          <w:color w:val="000000" w:themeColor="text1"/>
          <w:sz w:val="21"/>
          <w:szCs w:val="21"/>
        </w:rPr>
        <w:t xml:space="preserve">, помноженим на коефiцiєнт </w:t>
      </w:r>
      <w:r w:rsidRPr="00CA7C54">
        <w:rPr>
          <w:i/>
          <w:color w:val="000000" w:themeColor="text1"/>
          <w:sz w:val="21"/>
          <w:szCs w:val="21"/>
        </w:rPr>
        <w:t>К</w:t>
      </w:r>
      <w:r w:rsidRPr="00CA7C54">
        <w:rPr>
          <w:i/>
          <w:color w:val="000000" w:themeColor="text1"/>
          <w:sz w:val="21"/>
          <w:szCs w:val="21"/>
          <w:vertAlign w:val="subscript"/>
        </w:rPr>
        <w:t>у</w:t>
      </w:r>
      <w:r w:rsidRPr="00CA7C54">
        <w:rPr>
          <w:color w:val="000000" w:themeColor="text1"/>
          <w:sz w:val="21"/>
          <w:szCs w:val="21"/>
        </w:rPr>
        <w:t>= 1,4 та коефiцiєнт умов роботи γ</w:t>
      </w:r>
      <w:r w:rsidRPr="00CA7C54">
        <w:rPr>
          <w:color w:val="000000" w:themeColor="text1"/>
          <w:sz w:val="21"/>
          <w:szCs w:val="21"/>
          <w:vertAlign w:val="subscript"/>
        </w:rPr>
        <w:t>m</w:t>
      </w:r>
      <w:r w:rsidRPr="00CA7C54">
        <w:rPr>
          <w:color w:val="000000" w:themeColor="text1"/>
          <w:sz w:val="21"/>
          <w:szCs w:val="21"/>
        </w:rPr>
        <w:t xml:space="preserve"> = 1,1.</w:t>
      </w:r>
    </w:p>
    <w:p w14:paraId="1C75E0EA"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При розрахунку зварних з'єднань сталевих конструкцiй коефiцiєнт динамiчного змiцнення </w:t>
      </w:r>
      <w:r w:rsidRPr="00CA7C54">
        <w:rPr>
          <w:i/>
          <w:color w:val="000000" w:themeColor="text1"/>
          <w:sz w:val="21"/>
          <w:szCs w:val="21"/>
        </w:rPr>
        <w:t>К</w:t>
      </w:r>
      <w:r w:rsidRPr="00CA7C54">
        <w:rPr>
          <w:i/>
          <w:color w:val="000000" w:themeColor="text1"/>
          <w:sz w:val="21"/>
          <w:szCs w:val="21"/>
          <w:vertAlign w:val="subscript"/>
        </w:rPr>
        <w:t>у</w:t>
      </w:r>
      <w:r w:rsidRPr="00CA7C54">
        <w:rPr>
          <w:color w:val="000000" w:themeColor="text1"/>
          <w:sz w:val="21"/>
          <w:szCs w:val="21"/>
        </w:rPr>
        <w:t xml:space="preserve"> слiд приймати рiвним 1,0.</w:t>
      </w:r>
    </w:p>
    <w:p w14:paraId="7142218F"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lastRenderedPageBreak/>
        <w:t>14.3.5</w:t>
      </w:r>
      <w:r w:rsidRPr="00CA7C54">
        <w:rPr>
          <w:color w:val="000000" w:themeColor="text1"/>
          <w:sz w:val="21"/>
          <w:szCs w:val="21"/>
        </w:rPr>
        <w:t xml:space="preserve"> Розрахунковi динамiчнi опори для деревини, яка використовується у конструкцiях, слiд приймати такими, що дорiвнюють розрахунковим опорам згiдно з нормами на про</w:t>
      </w:r>
      <w:r w:rsidR="00C36475" w:rsidRPr="00CA7C54">
        <w:rPr>
          <w:color w:val="000000" w:themeColor="text1"/>
          <w:sz w:val="21"/>
          <w:szCs w:val="21"/>
        </w:rPr>
        <w:t>є</w:t>
      </w:r>
      <w:r w:rsidRPr="00CA7C54">
        <w:rPr>
          <w:color w:val="000000" w:themeColor="text1"/>
          <w:sz w:val="21"/>
          <w:szCs w:val="21"/>
        </w:rPr>
        <w:t xml:space="preserve">ктування дерев'яних конструкцiй, помноженим на коефiцiєнт динамiчного змiцнення </w:t>
      </w:r>
      <w:r w:rsidRPr="00CA7C54">
        <w:rPr>
          <w:i/>
          <w:color w:val="000000" w:themeColor="text1"/>
          <w:sz w:val="21"/>
          <w:szCs w:val="21"/>
        </w:rPr>
        <w:t>К</w:t>
      </w:r>
      <w:r w:rsidRPr="00CA7C54">
        <w:rPr>
          <w:i/>
          <w:color w:val="000000" w:themeColor="text1"/>
          <w:sz w:val="21"/>
          <w:szCs w:val="21"/>
          <w:vertAlign w:val="subscript"/>
        </w:rPr>
        <w:t>у</w:t>
      </w:r>
      <w:r w:rsidRPr="00CA7C54">
        <w:rPr>
          <w:color w:val="000000" w:themeColor="text1"/>
          <w:sz w:val="21"/>
          <w:szCs w:val="21"/>
        </w:rPr>
        <w:t xml:space="preserve">  = 1,4.</w:t>
      </w:r>
    </w:p>
    <w:p w14:paraId="110E5FC4" w14:textId="77777777" w:rsidR="003C4E04" w:rsidRPr="00CA7C54" w:rsidRDefault="001E748C" w:rsidP="00326D96">
      <w:pPr>
        <w:pStyle w:val="3"/>
        <w:spacing w:before="0" w:after="0" w:line="288" w:lineRule="auto"/>
        <w:contextualSpacing/>
        <w:rPr>
          <w:color w:val="000000" w:themeColor="text1"/>
          <w:sz w:val="21"/>
          <w:szCs w:val="21"/>
        </w:rPr>
      </w:pPr>
      <w:r w:rsidRPr="00CA7C54">
        <w:rPr>
          <w:color w:val="000000" w:themeColor="text1"/>
          <w:sz w:val="21"/>
          <w:szCs w:val="21"/>
        </w:rPr>
        <w:t>14.4 Розрахунок основ та фундаментів</w:t>
      </w:r>
    </w:p>
    <w:p w14:paraId="6F7C9C92" w14:textId="0E676D4A"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14.4.1</w:t>
      </w:r>
      <w:r w:rsidRPr="00CA7C54">
        <w:rPr>
          <w:color w:val="000000" w:themeColor="text1"/>
          <w:sz w:val="21"/>
          <w:szCs w:val="21"/>
        </w:rPr>
        <w:t xml:space="preserve"> Розрахунок основ та фундаментів захисних споруд, СПП з відповідними захисними властивостями проводять відповідно до вимог </w:t>
      </w:r>
      <w:hyperlink r:id="rId319" w:history="1">
        <w:r w:rsidRPr="001F6264">
          <w:rPr>
            <w:rStyle w:val="ac"/>
            <w:rFonts w:cs="Arial"/>
            <w:sz w:val="21"/>
            <w:szCs w:val="21"/>
          </w:rPr>
          <w:t>ДБН В.2.1-10</w:t>
        </w:r>
      </w:hyperlink>
      <w:r w:rsidRPr="00CA7C54">
        <w:rPr>
          <w:color w:val="000000" w:themeColor="text1"/>
          <w:sz w:val="21"/>
          <w:szCs w:val="21"/>
        </w:rPr>
        <w:t>.</w:t>
      </w:r>
    </w:p>
    <w:p w14:paraId="1A8F79FD"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14.4.2</w:t>
      </w:r>
      <w:r w:rsidRPr="00CA7C54">
        <w:rPr>
          <w:color w:val="000000" w:themeColor="text1"/>
          <w:sz w:val="21"/>
          <w:szCs w:val="21"/>
        </w:rPr>
        <w:t xml:space="preserve"> Розрахунок основ захисних споруд складених із скельних ґрунтів та водонасичених глинистих ґрунтів проводиться за граничним станом першої групи на усталену (основну) і аварійну розрахункові ситуації. При розрахунку на аварійну розрахункову ситуацію розрахунковий опір скельного ґрунту слід приймати рівним міцності скельного ґрунту на одноосьовий стиск у водонасиченому стані помноженому на коефіцієнт 1,3.</w:t>
      </w:r>
    </w:p>
    <w:p w14:paraId="0D479696" w14:textId="77777777" w:rsidR="003C4E04" w:rsidRPr="00CA7C54" w:rsidRDefault="001E748C" w:rsidP="00326D96">
      <w:pPr>
        <w:pBdr>
          <w:top w:val="nil"/>
          <w:left w:val="nil"/>
          <w:bottom w:val="nil"/>
          <w:right w:val="nil"/>
          <w:between w:val="nil"/>
        </w:pBdr>
        <w:spacing w:before="0" w:line="288" w:lineRule="auto"/>
        <w:contextualSpacing/>
        <w:rPr>
          <w:b/>
          <w:color w:val="000000" w:themeColor="text1"/>
          <w:sz w:val="21"/>
          <w:szCs w:val="21"/>
        </w:rPr>
      </w:pPr>
      <w:r w:rsidRPr="00CA7C54">
        <w:rPr>
          <w:b/>
          <w:color w:val="000000" w:themeColor="text1"/>
          <w:sz w:val="21"/>
          <w:szCs w:val="21"/>
        </w:rPr>
        <w:t xml:space="preserve">14.4.3 </w:t>
      </w:r>
      <w:sdt>
        <w:sdtPr>
          <w:rPr>
            <w:color w:val="000000" w:themeColor="text1"/>
            <w:sz w:val="21"/>
            <w:szCs w:val="21"/>
          </w:rPr>
          <w:tag w:val="goog_rdk_57"/>
          <w:id w:val="-1782870117"/>
        </w:sdtPr>
        <w:sdtEndPr/>
        <w:sdtContent>
          <w:r w:rsidRPr="00CA7C54">
            <w:rPr>
              <w:rFonts w:eastAsia="Arial Unicode MS"/>
              <w:color w:val="000000" w:themeColor="text1"/>
              <w:sz w:val="21"/>
              <w:szCs w:val="21"/>
            </w:rPr>
            <w:t>Розрахунок основ захисних споруд складених із нескельних ґрунтів проводиться за граничним станом другої групи на усталену розрахункову ситуацію, при цьому відношення площ фундаментів під стінами та колонами до площі покриття (площі збору тиску ударної хвилі) має становити не менше 0,15 при ∆Р</w:t>
          </w:r>
        </w:sdtContent>
      </w:sdt>
      <w:r w:rsidRPr="00CA7C54">
        <w:rPr>
          <w:color w:val="000000" w:themeColor="text1"/>
          <w:sz w:val="21"/>
          <w:szCs w:val="21"/>
          <w:vertAlign w:val="subscript"/>
        </w:rPr>
        <w:t>ех</w:t>
      </w:r>
      <w:sdt>
        <w:sdtPr>
          <w:rPr>
            <w:color w:val="000000" w:themeColor="text1"/>
            <w:sz w:val="21"/>
            <w:szCs w:val="21"/>
          </w:rPr>
          <w:tag w:val="goog_rdk_58"/>
          <w:id w:val="-2110033441"/>
        </w:sdtPr>
        <w:sdtEndPr/>
        <w:sdtContent>
          <w:r w:rsidRPr="00CA7C54">
            <w:rPr>
              <w:rFonts w:eastAsia="Arial Unicode MS"/>
              <w:color w:val="000000" w:themeColor="text1"/>
              <w:sz w:val="21"/>
              <w:szCs w:val="21"/>
            </w:rPr>
            <w:t xml:space="preserve"> ≥ 300 кПа; 0,1 –  ∆Р</w:t>
          </w:r>
        </w:sdtContent>
      </w:sdt>
      <w:r w:rsidRPr="00CA7C54">
        <w:rPr>
          <w:color w:val="000000" w:themeColor="text1"/>
          <w:sz w:val="21"/>
          <w:szCs w:val="21"/>
          <w:vertAlign w:val="subscript"/>
        </w:rPr>
        <w:t>ех</w:t>
      </w:r>
      <w:sdt>
        <w:sdtPr>
          <w:rPr>
            <w:color w:val="000000" w:themeColor="text1"/>
            <w:sz w:val="21"/>
            <w:szCs w:val="21"/>
          </w:rPr>
          <w:tag w:val="goog_rdk_59"/>
          <w:id w:val="-1072729550"/>
        </w:sdtPr>
        <w:sdtEndPr/>
        <w:sdtContent>
          <w:r w:rsidRPr="00CA7C54">
            <w:rPr>
              <w:rFonts w:eastAsia="Arial Unicode MS"/>
              <w:color w:val="000000" w:themeColor="text1"/>
              <w:sz w:val="21"/>
              <w:szCs w:val="21"/>
            </w:rPr>
            <w:t xml:space="preserve"> = 200 кПа; 0,05 – ∆Р</w:t>
          </w:r>
        </w:sdtContent>
      </w:sdt>
      <w:r w:rsidRPr="00CA7C54">
        <w:rPr>
          <w:color w:val="000000" w:themeColor="text1"/>
          <w:sz w:val="21"/>
          <w:szCs w:val="21"/>
          <w:vertAlign w:val="subscript"/>
        </w:rPr>
        <w:t>ех</w:t>
      </w:r>
      <w:sdt>
        <w:sdtPr>
          <w:rPr>
            <w:color w:val="000000" w:themeColor="text1"/>
            <w:sz w:val="21"/>
            <w:szCs w:val="21"/>
          </w:rPr>
          <w:tag w:val="goog_rdk_60"/>
          <w:id w:val="1167285523"/>
        </w:sdtPr>
        <w:sdtEndPr/>
        <w:sdtContent>
          <w:r w:rsidRPr="00CA7C54">
            <w:rPr>
              <w:rFonts w:eastAsia="Arial Unicode MS"/>
              <w:color w:val="000000" w:themeColor="text1"/>
              <w:sz w:val="21"/>
              <w:szCs w:val="21"/>
            </w:rPr>
            <w:t xml:space="preserve"> ≤ 100 кПа.</w:t>
          </w:r>
        </w:sdtContent>
      </w:sdt>
    </w:p>
    <w:p w14:paraId="0E68AA66"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Розрахунок основ на аварійну розрахункову ситуацію з метою встановлення осідань споруди не виконується.</w:t>
      </w:r>
    </w:p>
    <w:p w14:paraId="605DBD7B"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4</w:t>
      </w:r>
      <w:r w:rsidRPr="00CA7C54">
        <w:rPr>
          <w:color w:val="000000" w:themeColor="text1"/>
          <w:sz w:val="21"/>
          <w:szCs w:val="21"/>
        </w:rPr>
        <w:t xml:space="preserve"> Розрахунок залізобетонних конструкцій фундаментів виконують на  усталену і аварійну розрахункові ситуації за граничними станами першої та другої груп з урахуванням вимог розділу 13.2.2 цих </w:t>
      </w:r>
      <w:r w:rsidR="00DA39EA" w:rsidRPr="00CA7C54">
        <w:rPr>
          <w:color w:val="000000" w:themeColor="text1"/>
          <w:sz w:val="21"/>
          <w:szCs w:val="21"/>
        </w:rPr>
        <w:t>н</w:t>
      </w:r>
      <w:r w:rsidRPr="00CA7C54">
        <w:rPr>
          <w:color w:val="000000" w:themeColor="text1"/>
          <w:sz w:val="21"/>
          <w:szCs w:val="21"/>
        </w:rPr>
        <w:t>орм.</w:t>
      </w:r>
    </w:p>
    <w:p w14:paraId="073AFAE4" w14:textId="2F99ECE4"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5</w:t>
      </w:r>
      <w:r w:rsidRPr="00CA7C54">
        <w:rPr>
          <w:color w:val="000000" w:themeColor="text1"/>
          <w:sz w:val="21"/>
          <w:szCs w:val="21"/>
        </w:rPr>
        <w:t xml:space="preserve"> Розрахунок пальових фундаментів виконують відповідно до вимог </w:t>
      </w:r>
      <w:hyperlink r:id="rId320" w:history="1">
        <w:r w:rsidRPr="001F6264">
          <w:rPr>
            <w:rStyle w:val="ac"/>
            <w:rFonts w:cs="Arial"/>
            <w:sz w:val="21"/>
            <w:szCs w:val="21"/>
          </w:rPr>
          <w:t>ДБН В.2.1-10</w:t>
        </w:r>
      </w:hyperlink>
      <w:r w:rsidRPr="00CA7C54">
        <w:rPr>
          <w:color w:val="000000" w:themeColor="text1"/>
          <w:sz w:val="21"/>
          <w:szCs w:val="21"/>
        </w:rPr>
        <w:t>.</w:t>
      </w:r>
    </w:p>
    <w:p w14:paraId="7CB7C32F"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6</w:t>
      </w:r>
      <w:r w:rsidRPr="00CA7C54">
        <w:rPr>
          <w:color w:val="000000" w:themeColor="text1"/>
          <w:sz w:val="21"/>
          <w:szCs w:val="21"/>
        </w:rPr>
        <w:t xml:space="preserve"> Розрахунок основ пальових фундаментів і несучої здатності паль, що спираються на скельні ґрунти та водонасичені глинисті грунти слід проводити за граничним станом першої групи на усталену (основну) і аварійну розрахункові ситуації. При розрахунку на аварійну розрахункову ситуацію розрахунковий опір скельного ґрунту слід приймати рівним міцності скельного ґрунту на одноосьовий стиск у водонасиченому стані помноженому на коефіцієнт 1,3.</w:t>
      </w:r>
    </w:p>
    <w:p w14:paraId="30C7D16B"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7</w:t>
      </w:r>
      <w:r w:rsidRPr="00CA7C54">
        <w:rPr>
          <w:color w:val="000000" w:themeColor="text1"/>
          <w:sz w:val="21"/>
          <w:szCs w:val="21"/>
        </w:rPr>
        <w:t xml:space="preserve"> Розрахунок основ пальових фундаментів захисних споруд, що спираються на нескельні ґрунти слід проводити за граничним станом першої групи на усталену розрахункову ситуацію і аварійну розрахункову ситуацію з урахуванням динамічного зміцнення ґрунтової основи, а за граничним станом другої групи на усталену розрахункову ситуацію.</w:t>
      </w:r>
    </w:p>
    <w:p w14:paraId="7CB9CCB6"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Розрахунок пальових фундаментів на аварійну розрахункову ситуацію з метою встановлення осідань споруди не виконується.</w:t>
      </w:r>
    </w:p>
    <w:p w14:paraId="7EEF4FF5" w14:textId="77777777" w:rsidR="003C4E04" w:rsidRPr="00CA7C54" w:rsidRDefault="001E748C" w:rsidP="009461BC">
      <w:pPr>
        <w:tabs>
          <w:tab w:val="left" w:pos="3045"/>
        </w:tabs>
        <w:spacing w:before="0" w:after="10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8</w:t>
      </w:r>
      <w:r w:rsidRPr="00CA7C54">
        <w:rPr>
          <w:color w:val="000000" w:themeColor="text1"/>
          <w:sz w:val="21"/>
          <w:szCs w:val="21"/>
        </w:rPr>
        <w:t xml:space="preserve"> Розрахунок залізобетонних конструкцій пальових фундаментів виконують на  усталену і аварійну розрахункові ситуації за граничними станами першої та другої груп з урахуванням вимог розділу 14.2.2 цих </w:t>
      </w:r>
      <w:r w:rsidR="00DA39EA" w:rsidRPr="00CA7C54">
        <w:rPr>
          <w:color w:val="000000" w:themeColor="text1"/>
          <w:sz w:val="21"/>
          <w:szCs w:val="21"/>
        </w:rPr>
        <w:t>н</w:t>
      </w:r>
      <w:r w:rsidRPr="00CA7C54">
        <w:rPr>
          <w:color w:val="000000" w:themeColor="text1"/>
          <w:sz w:val="21"/>
          <w:szCs w:val="21"/>
        </w:rPr>
        <w:t>орм.</w:t>
      </w:r>
    </w:p>
    <w:p w14:paraId="3DDB754C" w14:textId="77777777" w:rsidR="003C4E04" w:rsidRPr="00CA7C54" w:rsidRDefault="001E748C" w:rsidP="003F54FE">
      <w:pPr>
        <w:pStyle w:val="2"/>
        <w:spacing w:before="0" w:after="80" w:line="288" w:lineRule="auto"/>
        <w:ind w:left="993" w:hanging="426"/>
        <w:contextualSpacing/>
        <w:rPr>
          <w:rFonts w:ascii="Arial" w:hAnsi="Arial"/>
          <w:color w:val="000000" w:themeColor="text1"/>
          <w:sz w:val="22"/>
          <w:szCs w:val="22"/>
        </w:rPr>
      </w:pPr>
      <w:r w:rsidRPr="00CA7C54">
        <w:rPr>
          <w:rFonts w:ascii="Arial" w:hAnsi="Arial"/>
          <w:color w:val="000000" w:themeColor="text1"/>
          <w:sz w:val="22"/>
          <w:szCs w:val="22"/>
        </w:rPr>
        <w:t>15</w:t>
      </w:r>
      <w:r w:rsidRPr="00CA7C54">
        <w:rPr>
          <w:rFonts w:ascii="Arial" w:hAnsi="Arial"/>
          <w:color w:val="000000" w:themeColor="text1"/>
          <w:sz w:val="21"/>
          <w:szCs w:val="21"/>
        </w:rPr>
        <w:t>ПРО</w:t>
      </w:r>
      <w:r w:rsidR="00DA39EA" w:rsidRPr="00CA7C54">
        <w:rPr>
          <w:rFonts w:ascii="Arial" w:hAnsi="Arial"/>
          <w:color w:val="000000" w:themeColor="text1"/>
          <w:sz w:val="21"/>
          <w:szCs w:val="21"/>
        </w:rPr>
        <w:t>Є</w:t>
      </w:r>
      <w:r w:rsidRPr="00CA7C54">
        <w:rPr>
          <w:rFonts w:ascii="Arial" w:hAnsi="Arial"/>
          <w:color w:val="000000" w:themeColor="text1"/>
          <w:sz w:val="21"/>
          <w:szCs w:val="21"/>
        </w:rPr>
        <w:t xml:space="preserve">КТУВАННЯ ГІДРОІЗОЯЦІЇ </w:t>
      </w:r>
      <w:r w:rsidRPr="00CA7C54">
        <w:rPr>
          <w:rFonts w:ascii="Arial" w:hAnsi="Arial"/>
          <w:smallCaps/>
          <w:color w:val="000000" w:themeColor="text1"/>
          <w:sz w:val="21"/>
          <w:szCs w:val="21"/>
        </w:rPr>
        <w:t>ЗАГЛИБЛЕНИХ ЧАСТИН</w:t>
      </w:r>
      <w:r w:rsidRPr="00CA7C54">
        <w:rPr>
          <w:rFonts w:ascii="Arial" w:hAnsi="Arial"/>
          <w:color w:val="000000" w:themeColor="text1"/>
          <w:sz w:val="21"/>
          <w:szCs w:val="21"/>
        </w:rPr>
        <w:t xml:space="preserve"> ЗАХИСНИХ СПОРУД ТА СПП</w:t>
      </w:r>
    </w:p>
    <w:p w14:paraId="272FB1DD"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15.1</w:t>
      </w:r>
      <w:r w:rsidRPr="00CA7C54">
        <w:rPr>
          <w:color w:val="000000" w:themeColor="text1"/>
          <w:sz w:val="21"/>
          <w:szCs w:val="21"/>
        </w:rPr>
        <w:t xml:space="preserve"> Гідроізоляцію заглиблених частин захисних споруд цивільного захисту слід про</w:t>
      </w:r>
      <w:r w:rsidR="00DA39EA" w:rsidRPr="00CA7C54">
        <w:rPr>
          <w:color w:val="000000" w:themeColor="text1"/>
          <w:sz w:val="21"/>
          <w:szCs w:val="21"/>
        </w:rPr>
        <w:t>є</w:t>
      </w:r>
      <w:r w:rsidRPr="00CA7C54">
        <w:rPr>
          <w:color w:val="000000" w:themeColor="text1"/>
          <w:sz w:val="21"/>
          <w:szCs w:val="21"/>
        </w:rPr>
        <w:t>ктувати відповідно до вимог діючих нормативних документів з про</w:t>
      </w:r>
      <w:r w:rsidR="00DA39EA" w:rsidRPr="00CA7C54">
        <w:rPr>
          <w:color w:val="000000" w:themeColor="text1"/>
          <w:sz w:val="21"/>
          <w:szCs w:val="21"/>
        </w:rPr>
        <w:t>є</w:t>
      </w:r>
      <w:r w:rsidRPr="00CA7C54">
        <w:rPr>
          <w:color w:val="000000" w:themeColor="text1"/>
          <w:sz w:val="21"/>
          <w:szCs w:val="21"/>
        </w:rPr>
        <w:t>ктування гідроізоляції підземних частин будівель.</w:t>
      </w:r>
    </w:p>
    <w:p w14:paraId="6BC7292C"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Гідроізоляція повинна витримувати без розриву деформації конструкцій, які допускаються проєктом. Шви між елементами будівельних конструкцій необхідно заповнювати герметизуючими матеріалами з високою еластичністю та адгезією до основи, що забезпечують суцільність гідроізоляції при деформаціях та переміщеннях конструкцій будівлі.</w:t>
      </w:r>
    </w:p>
    <w:p w14:paraId="52837E89"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15.2</w:t>
      </w:r>
      <w:r w:rsidRPr="00CA7C54">
        <w:rPr>
          <w:color w:val="000000" w:themeColor="text1"/>
          <w:sz w:val="21"/>
          <w:szCs w:val="21"/>
        </w:rPr>
        <w:t xml:space="preserve"> При виборі гідроізоляції слід враховувати глибину залягання конструкції, рівень максимального підйому ґрунтових вод та гідростатичний тиск ґрунтових вод.</w:t>
      </w:r>
    </w:p>
    <w:p w14:paraId="199A29DC"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Основними типами гідроізоляції захисних споруд рекомендовано приймати рулонну, обмазувальну або напилювальну гідроізоляційну систему. При неможливості виконання гідроізоляції по зовнішньому контуру будівлі, допускається використання ін’єкційної або проникаючої гідроізоляційної системи. </w:t>
      </w:r>
    </w:p>
    <w:p w14:paraId="4A449977"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15.3</w:t>
      </w:r>
      <w:r w:rsidRPr="00CA7C54">
        <w:rPr>
          <w:color w:val="000000" w:themeColor="text1"/>
          <w:sz w:val="21"/>
          <w:szCs w:val="21"/>
        </w:rPr>
        <w:t xml:space="preserve"> При про</w:t>
      </w:r>
      <w:r w:rsidR="00DA39EA" w:rsidRPr="00CA7C54">
        <w:rPr>
          <w:color w:val="000000" w:themeColor="text1"/>
          <w:sz w:val="21"/>
          <w:szCs w:val="21"/>
        </w:rPr>
        <w:t>є</w:t>
      </w:r>
      <w:r w:rsidRPr="00CA7C54">
        <w:rPr>
          <w:color w:val="000000" w:themeColor="text1"/>
          <w:sz w:val="21"/>
          <w:szCs w:val="21"/>
        </w:rPr>
        <w:t>ктуванні рулонної гідроізоляції слід приймати один із видів рулонної гідроізоляції: бітумно-полімерна, полімерна, мінеральна (бентонітова). </w:t>
      </w:r>
    </w:p>
    <w:p w14:paraId="44C03B14"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w:t>
      </w:r>
      <w:r w:rsidR="00DA39EA" w:rsidRPr="00CA7C54">
        <w:rPr>
          <w:color w:val="000000" w:themeColor="text1"/>
          <w:sz w:val="21"/>
          <w:szCs w:val="21"/>
        </w:rPr>
        <w:t>є</w:t>
      </w:r>
      <w:r w:rsidRPr="00CA7C54">
        <w:rPr>
          <w:color w:val="000000" w:themeColor="text1"/>
          <w:sz w:val="21"/>
          <w:szCs w:val="21"/>
        </w:rPr>
        <w:t>ктуванні бітумно-полімерної гідроізоляції слід передбачати бітумні рулоні матеріали на поліефірній основі, СБС-модифіковані та з гнучкістю на брусі не більше</w:t>
      </w:r>
      <w:r w:rsidR="00DA39EA" w:rsidRPr="00CA7C54">
        <w:rPr>
          <w:color w:val="000000" w:themeColor="text1"/>
          <w:sz w:val="21"/>
          <w:szCs w:val="21"/>
        </w:rPr>
        <w:t xml:space="preserve"> ніж </w:t>
      </w:r>
      <w:r w:rsidRPr="00CA7C54">
        <w:rPr>
          <w:color w:val="000000" w:themeColor="text1"/>
          <w:sz w:val="21"/>
          <w:szCs w:val="21"/>
        </w:rPr>
        <w:t xml:space="preserve">15 °С. Бітумно-полімерну гідроізоляцію слід влаштовувати не менше ніж у два шари, а загальна товщина повинна складати не менше </w:t>
      </w:r>
      <w:r w:rsidR="00DA39EA" w:rsidRPr="00CA7C54">
        <w:rPr>
          <w:color w:val="000000" w:themeColor="text1"/>
          <w:sz w:val="21"/>
          <w:szCs w:val="21"/>
        </w:rPr>
        <w:t xml:space="preserve">ніж </w:t>
      </w:r>
      <w:r w:rsidRPr="00CA7C54">
        <w:rPr>
          <w:color w:val="000000" w:themeColor="text1"/>
          <w:sz w:val="21"/>
          <w:szCs w:val="21"/>
        </w:rPr>
        <w:t>6 мм. Влаштування такої гідроізоляції слід передбачати шляхом наплавлення на підготовлену поверхню, попередньо оброблену розчином для підвищення адгезії (праймером).</w:t>
      </w:r>
    </w:p>
    <w:p w14:paraId="1DA747BC"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улаштування гідроізоляції захисних споруд не рекомендується використовувати гідроізоляційні матеріали на картонній основі та бітумному в’яжучому без модифікації.</w:t>
      </w:r>
    </w:p>
    <w:p w14:paraId="3577A621" w14:textId="46605E95"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w:t>
      </w:r>
      <w:r w:rsidR="00A05074" w:rsidRPr="00CA7C54">
        <w:rPr>
          <w:color w:val="000000" w:themeColor="text1"/>
          <w:sz w:val="21"/>
          <w:szCs w:val="21"/>
        </w:rPr>
        <w:t>є</w:t>
      </w:r>
      <w:r w:rsidRPr="00CA7C54">
        <w:rPr>
          <w:color w:val="000000" w:themeColor="text1"/>
          <w:sz w:val="21"/>
          <w:szCs w:val="21"/>
        </w:rPr>
        <w:t xml:space="preserve">ктуванні полімерної рулонної гідроізоляції слід приймати неармовані ПВХ-мембрани з сигнальним шаром. Влаштування гідроізоляції слід передбачати в один шар шляхом термічного зварювання полотен між собою. Товщина мембрани повинна складати не менше </w:t>
      </w:r>
      <w:r w:rsidR="00DA39EA" w:rsidRPr="00CA7C54">
        <w:rPr>
          <w:color w:val="000000" w:themeColor="text1"/>
          <w:sz w:val="21"/>
          <w:szCs w:val="21"/>
        </w:rPr>
        <w:t xml:space="preserve">ніж </w:t>
      </w:r>
      <w:r w:rsidRPr="00CA7C54">
        <w:rPr>
          <w:color w:val="000000" w:themeColor="text1"/>
          <w:sz w:val="21"/>
          <w:szCs w:val="21"/>
        </w:rPr>
        <w:t xml:space="preserve">1,5 мм, а у випадку будівництва у водонасичених ґрунтах – не менше ніж 2,0 мм. Матеріал повинен відповідати </w:t>
      </w:r>
      <w:hyperlink r:id="rId321" w:history="1">
        <w:r w:rsidRPr="001F6264">
          <w:rPr>
            <w:rStyle w:val="ac"/>
            <w:rFonts w:cs="Arial"/>
            <w:sz w:val="21"/>
            <w:szCs w:val="21"/>
          </w:rPr>
          <w:t>ДСТУ EN 13967</w:t>
        </w:r>
      </w:hyperlink>
      <w:r w:rsidRPr="00CA7C54">
        <w:rPr>
          <w:color w:val="000000" w:themeColor="text1"/>
          <w:sz w:val="21"/>
          <w:szCs w:val="21"/>
        </w:rPr>
        <w:t xml:space="preserve"> та наступним вимогам:</w:t>
      </w:r>
    </w:p>
    <w:p w14:paraId="4A2D079F" w14:textId="77777777" w:rsidR="003C4E04" w:rsidRPr="00B44B30" w:rsidRDefault="006D29A8" w:rsidP="00A05074">
      <w:pPr>
        <w:pBdr>
          <w:top w:val="nil"/>
          <w:left w:val="nil"/>
          <w:bottom w:val="nil"/>
          <w:right w:val="nil"/>
          <w:between w:val="nil"/>
        </w:pBdr>
        <w:spacing w:before="0" w:line="288" w:lineRule="auto"/>
        <w:contextualSpacing/>
        <w:rPr>
          <w:rFonts w:eastAsia="Times New Roman"/>
          <w:sz w:val="21"/>
          <w:szCs w:val="21"/>
        </w:rPr>
      </w:pPr>
      <w:r w:rsidRPr="00B44B30">
        <w:rPr>
          <w:sz w:val="21"/>
          <w:szCs w:val="21"/>
        </w:rPr>
        <w:t xml:space="preserve">- </w:t>
      </w:r>
      <w:r w:rsidR="001E748C" w:rsidRPr="00B44B30">
        <w:rPr>
          <w:sz w:val="21"/>
          <w:szCs w:val="21"/>
        </w:rPr>
        <w:t xml:space="preserve">межа міцності на розрив – не менше </w:t>
      </w:r>
      <w:r w:rsidR="00795305" w:rsidRPr="00B44B30">
        <w:rPr>
          <w:sz w:val="21"/>
          <w:szCs w:val="21"/>
        </w:rPr>
        <w:t xml:space="preserve">ніж </w:t>
      </w:r>
      <w:r w:rsidR="001E748C" w:rsidRPr="00B44B30">
        <w:rPr>
          <w:sz w:val="21"/>
          <w:szCs w:val="21"/>
        </w:rPr>
        <w:t>14 МПа;</w:t>
      </w:r>
    </w:p>
    <w:p w14:paraId="3C8A2B1D" w14:textId="77777777" w:rsidR="00AA2F74" w:rsidRPr="0062589B" w:rsidRDefault="006D29A8" w:rsidP="00AA2F74">
      <w:pPr>
        <w:pBdr>
          <w:top w:val="nil"/>
          <w:left w:val="nil"/>
          <w:bottom w:val="nil"/>
          <w:right w:val="nil"/>
          <w:between w:val="nil"/>
        </w:pBdr>
        <w:spacing w:before="0" w:line="288" w:lineRule="auto"/>
        <w:contextualSpacing/>
        <w:rPr>
          <w:rFonts w:eastAsia="Times New Roman"/>
          <w:sz w:val="21"/>
          <w:szCs w:val="21"/>
          <w:lang w:val="ru-RU"/>
        </w:rPr>
      </w:pPr>
      <w:r w:rsidRPr="0062589B">
        <w:rPr>
          <w:sz w:val="21"/>
          <w:szCs w:val="21"/>
        </w:rPr>
        <w:t xml:space="preserve">- </w:t>
      </w:r>
      <w:r w:rsidR="001E748C" w:rsidRPr="0062589B">
        <w:rPr>
          <w:sz w:val="21"/>
          <w:szCs w:val="21"/>
        </w:rPr>
        <w:t xml:space="preserve">водонепроникність – не більше </w:t>
      </w:r>
      <w:r w:rsidR="00795305" w:rsidRPr="0062589B">
        <w:rPr>
          <w:sz w:val="21"/>
          <w:szCs w:val="21"/>
        </w:rPr>
        <w:t xml:space="preserve">ніж </w:t>
      </w:r>
      <w:r w:rsidR="00BC026B" w:rsidRPr="0062589B">
        <w:rPr>
          <w:sz w:val="21"/>
          <w:szCs w:val="21"/>
        </w:rPr>
        <w:t>–</w:t>
      </w:r>
      <w:r w:rsidR="00AA2F74" w:rsidRPr="0062589B">
        <w:rPr>
          <w:sz w:val="21"/>
          <w:szCs w:val="21"/>
        </w:rPr>
        <w:t>6 м</w:t>
      </w:r>
      <w:r w:rsidR="00AA2F74" w:rsidRPr="0062589B">
        <w:rPr>
          <w:sz w:val="21"/>
          <w:szCs w:val="21"/>
          <w:vertAlign w:val="superscript"/>
        </w:rPr>
        <w:t>3</w:t>
      </w:r>
      <w:r w:rsidR="00AA2F74" w:rsidRPr="0062589B">
        <w:rPr>
          <w:sz w:val="21"/>
          <w:szCs w:val="21"/>
        </w:rPr>
        <w:t>/м</w:t>
      </w:r>
      <w:r w:rsidR="00AA2F74" w:rsidRPr="0062589B">
        <w:rPr>
          <w:sz w:val="21"/>
          <w:szCs w:val="21"/>
          <w:vertAlign w:val="superscript"/>
        </w:rPr>
        <w:t>2</w:t>
      </w:r>
      <w:r w:rsidR="00AA2F74" w:rsidRPr="0062589B">
        <w:rPr>
          <w:sz w:val="21"/>
          <w:szCs w:val="21"/>
        </w:rPr>
        <w:t>/день - 10 м</w:t>
      </w:r>
      <w:r w:rsidR="00AA2F74" w:rsidRPr="0062589B">
        <w:rPr>
          <w:sz w:val="21"/>
          <w:szCs w:val="21"/>
          <w:vertAlign w:val="superscript"/>
        </w:rPr>
        <w:t>3</w:t>
      </w:r>
      <w:r w:rsidR="00AA2F74" w:rsidRPr="0062589B">
        <w:rPr>
          <w:sz w:val="21"/>
          <w:szCs w:val="21"/>
        </w:rPr>
        <w:t>/м</w:t>
      </w:r>
      <w:r w:rsidR="00AA2F74" w:rsidRPr="0062589B">
        <w:rPr>
          <w:sz w:val="21"/>
          <w:szCs w:val="21"/>
          <w:vertAlign w:val="superscript"/>
        </w:rPr>
        <w:t>2</w:t>
      </w:r>
      <w:r w:rsidR="00AA2F74" w:rsidRPr="0062589B">
        <w:rPr>
          <w:sz w:val="21"/>
          <w:szCs w:val="21"/>
        </w:rPr>
        <w:t>/день;</w:t>
      </w:r>
    </w:p>
    <w:p w14:paraId="1BA4D4E6" w14:textId="77777777" w:rsidR="003C4E04" w:rsidRPr="00CA7C54" w:rsidRDefault="006D29A8"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статичний опір проколу – не менше </w:t>
      </w:r>
      <w:r w:rsidR="001D4D50" w:rsidRPr="00CA7C54">
        <w:rPr>
          <w:color w:val="000000" w:themeColor="text1"/>
          <w:sz w:val="21"/>
          <w:szCs w:val="21"/>
        </w:rPr>
        <w:t xml:space="preserve">ніж </w:t>
      </w:r>
      <w:r w:rsidR="001E748C" w:rsidRPr="00CA7C54">
        <w:rPr>
          <w:color w:val="000000" w:themeColor="text1"/>
          <w:sz w:val="21"/>
          <w:szCs w:val="21"/>
        </w:rPr>
        <w:t>2500 Н;</w:t>
      </w:r>
    </w:p>
    <w:p w14:paraId="1D883B79" w14:textId="77777777" w:rsidR="003C4E04" w:rsidRPr="00CA7C54" w:rsidRDefault="006D29A8"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видовження до розриву – не менше ніж 280%.</w:t>
      </w:r>
    </w:p>
    <w:p w14:paraId="0E5E421D"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Якщо за про</w:t>
      </w:r>
      <w:r w:rsidR="00DA39EA" w:rsidRPr="00CA7C54">
        <w:rPr>
          <w:color w:val="000000" w:themeColor="text1"/>
          <w:sz w:val="21"/>
          <w:szCs w:val="21"/>
        </w:rPr>
        <w:t>є</w:t>
      </w:r>
      <w:r w:rsidRPr="00CA7C54">
        <w:rPr>
          <w:color w:val="000000" w:themeColor="text1"/>
          <w:sz w:val="21"/>
          <w:szCs w:val="21"/>
        </w:rPr>
        <w:t>ктом передбачено зовнішнє утеплення заглибленої частини сховища, то між утеплювачем та ПВХ-мембраною слід передбачати розділяючий шар з поліпропіленового геотекстилю щільністю не менше</w:t>
      </w:r>
      <w:r w:rsidR="00DA39EA" w:rsidRPr="00CA7C54">
        <w:rPr>
          <w:color w:val="000000" w:themeColor="text1"/>
          <w:sz w:val="21"/>
          <w:szCs w:val="21"/>
        </w:rPr>
        <w:t xml:space="preserve"> ніж</w:t>
      </w:r>
      <w:r w:rsidRPr="00CA7C54">
        <w:rPr>
          <w:color w:val="000000" w:themeColor="text1"/>
          <w:sz w:val="21"/>
          <w:szCs w:val="21"/>
        </w:rPr>
        <w:t xml:space="preserve"> 200 г/м</w:t>
      </w:r>
      <w:r w:rsidRPr="00CA7C54">
        <w:rPr>
          <w:color w:val="000000" w:themeColor="text1"/>
          <w:sz w:val="21"/>
          <w:szCs w:val="21"/>
          <w:vertAlign w:val="superscript"/>
        </w:rPr>
        <w:t>2</w:t>
      </w:r>
      <w:r w:rsidRPr="00CA7C54">
        <w:rPr>
          <w:color w:val="000000" w:themeColor="text1"/>
          <w:sz w:val="21"/>
          <w:szCs w:val="21"/>
        </w:rPr>
        <w:t>. </w:t>
      </w:r>
    </w:p>
    <w:p w14:paraId="511B0C01"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15.4</w:t>
      </w:r>
      <w:r w:rsidRPr="00CA7C54">
        <w:rPr>
          <w:color w:val="000000" w:themeColor="text1"/>
          <w:sz w:val="21"/>
          <w:szCs w:val="21"/>
        </w:rPr>
        <w:t xml:space="preserve"> При про</w:t>
      </w:r>
      <w:r w:rsidR="00DA39EA" w:rsidRPr="00CA7C54">
        <w:rPr>
          <w:color w:val="000000" w:themeColor="text1"/>
          <w:sz w:val="21"/>
          <w:szCs w:val="21"/>
        </w:rPr>
        <w:t>є</w:t>
      </w:r>
      <w:r w:rsidRPr="00CA7C54">
        <w:rPr>
          <w:color w:val="000000" w:themeColor="text1"/>
          <w:sz w:val="21"/>
          <w:szCs w:val="21"/>
        </w:rPr>
        <w:t>туванні мінеральної (бентонітової) гідроізоляції слід передбачати бентонітові мати товщиною не менше</w:t>
      </w:r>
      <w:r w:rsidR="00DA39EA" w:rsidRPr="00CA7C54">
        <w:rPr>
          <w:color w:val="000000" w:themeColor="text1"/>
          <w:sz w:val="21"/>
          <w:szCs w:val="21"/>
        </w:rPr>
        <w:t xml:space="preserve"> ніж</w:t>
      </w:r>
      <w:r w:rsidRPr="00CA7C54">
        <w:rPr>
          <w:color w:val="000000" w:themeColor="text1"/>
          <w:sz w:val="21"/>
          <w:szCs w:val="21"/>
        </w:rPr>
        <w:t xml:space="preserve"> 6,0 мм вмістом монтморилоніту не менше ніж 90% та коефіцієнтом фільтрації не більше</w:t>
      </w:r>
      <w:r w:rsidR="00DA39EA" w:rsidRPr="00CA7C54">
        <w:rPr>
          <w:color w:val="000000" w:themeColor="text1"/>
          <w:sz w:val="21"/>
          <w:szCs w:val="21"/>
        </w:rPr>
        <w:t xml:space="preserve"> ніж </w:t>
      </w:r>
      <w:r w:rsidRPr="00CA7C54">
        <w:rPr>
          <w:color w:val="000000" w:themeColor="text1"/>
          <w:sz w:val="21"/>
          <w:szCs w:val="21"/>
        </w:rPr>
        <w:t>1</w:t>
      </w:r>
      <w:r w:rsidR="003F54FE" w:rsidRPr="00CA7C54">
        <w:rPr>
          <w:color w:val="000000" w:themeColor="text1"/>
          <w:sz w:val="21"/>
          <w:szCs w:val="21"/>
        </w:rPr>
        <w:t xml:space="preserve">х </w:t>
      </w:r>
      <w:r w:rsidRPr="00CA7C54">
        <w:rPr>
          <w:color w:val="000000" w:themeColor="text1"/>
          <w:sz w:val="21"/>
          <w:szCs w:val="21"/>
        </w:rPr>
        <w:t>10</w:t>
      </w:r>
      <w:r w:rsidRPr="00CA7C54">
        <w:rPr>
          <w:color w:val="000000" w:themeColor="text1"/>
          <w:sz w:val="21"/>
          <w:szCs w:val="21"/>
          <w:vertAlign w:val="superscript"/>
        </w:rPr>
        <w:t>-11</w:t>
      </w:r>
      <w:r w:rsidRPr="00CA7C54">
        <w:rPr>
          <w:color w:val="000000" w:themeColor="text1"/>
          <w:sz w:val="21"/>
          <w:szCs w:val="21"/>
        </w:rPr>
        <w:t>. Слід передбачати притискання бентонітових матів до основи навантаженням не менше ніж 10 кН/м</w:t>
      </w:r>
      <w:r w:rsidRPr="00CA7C54">
        <w:rPr>
          <w:color w:val="000000" w:themeColor="text1"/>
          <w:sz w:val="21"/>
          <w:szCs w:val="21"/>
          <w:vertAlign w:val="superscript"/>
        </w:rPr>
        <w:t>2</w:t>
      </w:r>
      <w:r w:rsidRPr="00CA7C54">
        <w:rPr>
          <w:color w:val="000000" w:themeColor="text1"/>
          <w:sz w:val="21"/>
          <w:szCs w:val="21"/>
        </w:rPr>
        <w:t xml:space="preserve">. Для герметизації оголовків паль та місць проходження комунікацій слід передбачати влаштування бентонітових </w:t>
      </w:r>
      <w:r w:rsidRPr="00CA7C54">
        <w:rPr>
          <w:color w:val="000000" w:themeColor="text1"/>
          <w:sz w:val="21"/>
          <w:szCs w:val="21"/>
          <w:highlight w:val="white"/>
        </w:rPr>
        <w:t>джгутів.</w:t>
      </w:r>
      <w:r w:rsidRPr="00CA7C54">
        <w:rPr>
          <w:color w:val="000000" w:themeColor="text1"/>
          <w:sz w:val="21"/>
          <w:szCs w:val="21"/>
        </w:rPr>
        <w:t> </w:t>
      </w:r>
    </w:p>
    <w:p w14:paraId="15A8686B"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0"/>
          <w:szCs w:val="20"/>
        </w:rPr>
        <w:t>Примітка.</w:t>
      </w:r>
      <w:r w:rsidRPr="00CA7C54">
        <w:rPr>
          <w:color w:val="000000" w:themeColor="text1"/>
          <w:sz w:val="20"/>
          <w:szCs w:val="20"/>
        </w:rPr>
        <w:t xml:space="preserve"> Даному виду гідроізоляції слід надавати перевагу при виконанні будівельних робіт за температури навколишнього середовища нижче</w:t>
      </w:r>
      <w:r w:rsidR="00DA39EA" w:rsidRPr="00CA7C54">
        <w:rPr>
          <w:color w:val="000000" w:themeColor="text1"/>
          <w:sz w:val="20"/>
          <w:szCs w:val="20"/>
        </w:rPr>
        <w:t xml:space="preserve"> ніж </w:t>
      </w:r>
      <w:r w:rsidR="001B3118" w:rsidRPr="00CA7C54">
        <w:rPr>
          <w:color w:val="000000" w:themeColor="text1"/>
          <w:sz w:val="20"/>
          <w:szCs w:val="20"/>
        </w:rPr>
        <w:t xml:space="preserve">плюс </w:t>
      </w:r>
      <w:r w:rsidRPr="00CA7C54">
        <w:rPr>
          <w:color w:val="000000" w:themeColor="text1"/>
          <w:sz w:val="20"/>
          <w:szCs w:val="20"/>
        </w:rPr>
        <w:t>5 °С. За необхідності, бентонітові мати можуть вкладатися безпосередньо на ущільнений ґрунт основи</w:t>
      </w:r>
      <w:r w:rsidRPr="00CA7C54">
        <w:rPr>
          <w:color w:val="000000" w:themeColor="text1"/>
          <w:sz w:val="21"/>
          <w:szCs w:val="21"/>
        </w:rPr>
        <w:t>.</w:t>
      </w:r>
    </w:p>
    <w:p w14:paraId="78BA937B" w14:textId="50216418"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15.5</w:t>
      </w:r>
      <w:r w:rsidRPr="00CA7C54">
        <w:rPr>
          <w:color w:val="000000" w:themeColor="text1"/>
          <w:sz w:val="21"/>
          <w:szCs w:val="21"/>
        </w:rPr>
        <w:t xml:space="preserve"> Обмазувальну гідроізоляцію слід застосовувати для захисту від капілярного і безнапірного водопроникнення. Даний вид гідроізоляції слід передбачати у вигляді багатошарового покриття з бітумних, бітум-емульсійних та бітум-полімерних мастик. Матеріали повинні відповідати вимогам </w:t>
      </w:r>
      <w:hyperlink r:id="rId322" w:history="1">
        <w:r w:rsidRPr="001F6264">
          <w:rPr>
            <w:rStyle w:val="ac"/>
            <w:rFonts w:cs="Arial"/>
            <w:sz w:val="21"/>
            <w:szCs w:val="21"/>
          </w:rPr>
          <w:t>ДСТУ Б В.2.7-108</w:t>
        </w:r>
      </w:hyperlink>
      <w:r w:rsidRPr="00CA7C54">
        <w:rPr>
          <w:color w:val="000000" w:themeColor="text1"/>
          <w:sz w:val="21"/>
          <w:szCs w:val="21"/>
        </w:rPr>
        <w:t xml:space="preserve"> та </w:t>
      </w:r>
      <w:hyperlink r:id="rId323" w:history="1">
        <w:r w:rsidRPr="001F6264">
          <w:rPr>
            <w:rStyle w:val="ac"/>
            <w:rFonts w:cs="Arial"/>
            <w:sz w:val="21"/>
            <w:szCs w:val="21"/>
          </w:rPr>
          <w:t>ДСТУ Б В.2.7-103</w:t>
        </w:r>
      </w:hyperlink>
      <w:r w:rsidRPr="00CA7C54">
        <w:rPr>
          <w:color w:val="000000" w:themeColor="text1"/>
          <w:sz w:val="21"/>
          <w:szCs w:val="21"/>
        </w:rPr>
        <w:t>.</w:t>
      </w:r>
    </w:p>
    <w:p w14:paraId="28B8C1E2"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Допускається комбінація різних типів гідроізоляційних матеріалів при умові збереження цілісності гідроізоляційного контуру в місцях переходу з одного типу на інший.</w:t>
      </w:r>
    </w:p>
    <w:p w14:paraId="52F2B9AA"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15.6</w:t>
      </w:r>
      <w:r w:rsidR="004E5FF0" w:rsidRPr="00CA7C54">
        <w:rPr>
          <w:color w:val="000000" w:themeColor="text1"/>
          <w:sz w:val="21"/>
          <w:szCs w:val="21"/>
        </w:rPr>
        <w:t>У</w:t>
      </w:r>
      <w:r w:rsidRPr="00CA7C54">
        <w:rPr>
          <w:color w:val="000000" w:themeColor="text1"/>
          <w:sz w:val="21"/>
          <w:szCs w:val="21"/>
        </w:rPr>
        <w:t xml:space="preserve"> про</w:t>
      </w:r>
      <w:r w:rsidR="00DA39EA" w:rsidRPr="00CA7C54">
        <w:rPr>
          <w:color w:val="000000" w:themeColor="text1"/>
          <w:sz w:val="21"/>
          <w:szCs w:val="21"/>
        </w:rPr>
        <w:t>є</w:t>
      </w:r>
      <w:r w:rsidRPr="00CA7C54">
        <w:rPr>
          <w:color w:val="000000" w:themeColor="text1"/>
          <w:sz w:val="21"/>
          <w:szCs w:val="21"/>
        </w:rPr>
        <w:t>кті гідроізоляції слід передбачати захист гідроізоляційного шару від механічних пошкоджень із зовнішнього боку конструкції в процесі монтажу та експлуатації. </w:t>
      </w:r>
    </w:p>
    <w:p w14:paraId="44C9A24C" w14:textId="755CC58F"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Захисний шар необхідно передбачити з поліпропіленового геотекстилю з поверхневою щільністю не менше </w:t>
      </w:r>
      <w:r w:rsidR="00427A23" w:rsidRPr="00CA7C54">
        <w:rPr>
          <w:color w:val="000000" w:themeColor="text1"/>
          <w:sz w:val="21"/>
          <w:szCs w:val="21"/>
        </w:rPr>
        <w:t xml:space="preserve">ніж </w:t>
      </w:r>
      <w:r w:rsidRPr="00CA7C54">
        <w:rPr>
          <w:color w:val="000000" w:themeColor="text1"/>
          <w:sz w:val="21"/>
          <w:szCs w:val="21"/>
        </w:rPr>
        <w:t>300 г/м</w:t>
      </w:r>
      <w:r w:rsidRPr="00CA7C54">
        <w:rPr>
          <w:color w:val="000000" w:themeColor="text1"/>
          <w:sz w:val="21"/>
          <w:szCs w:val="21"/>
          <w:vertAlign w:val="superscript"/>
        </w:rPr>
        <w:t>2</w:t>
      </w:r>
      <w:r w:rsidRPr="00CA7C54">
        <w:rPr>
          <w:color w:val="000000" w:themeColor="text1"/>
          <w:sz w:val="21"/>
          <w:szCs w:val="21"/>
        </w:rPr>
        <w:t xml:space="preserve"> та показником ефективності захисту не більше </w:t>
      </w:r>
      <w:r w:rsidR="00DA39EA" w:rsidRPr="00CA7C54">
        <w:rPr>
          <w:color w:val="000000" w:themeColor="text1"/>
          <w:sz w:val="21"/>
          <w:szCs w:val="21"/>
        </w:rPr>
        <w:t xml:space="preserve">ніж </w:t>
      </w:r>
      <w:r w:rsidRPr="00CA7C54">
        <w:rPr>
          <w:color w:val="000000" w:themeColor="text1"/>
          <w:sz w:val="21"/>
          <w:szCs w:val="21"/>
        </w:rPr>
        <w:t xml:space="preserve">2,2 % згідно з </w:t>
      </w:r>
      <w:hyperlink r:id="rId324" w:history="1">
        <w:r w:rsidRPr="001F6264">
          <w:rPr>
            <w:rStyle w:val="ac"/>
            <w:rFonts w:cs="Arial"/>
            <w:sz w:val="21"/>
            <w:szCs w:val="21"/>
          </w:rPr>
          <w:t>ДСТУ EN 13256</w:t>
        </w:r>
      </w:hyperlink>
      <w:r w:rsidRPr="00CA7C54">
        <w:rPr>
          <w:color w:val="000000" w:themeColor="text1"/>
          <w:sz w:val="21"/>
          <w:szCs w:val="21"/>
        </w:rPr>
        <w:t>. </w:t>
      </w:r>
    </w:p>
    <w:p w14:paraId="06641AE6"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w:t>
      </w:r>
      <w:r w:rsidR="00DA39EA" w:rsidRPr="00CA7C54">
        <w:rPr>
          <w:color w:val="000000" w:themeColor="text1"/>
          <w:sz w:val="21"/>
          <w:szCs w:val="21"/>
        </w:rPr>
        <w:t>є</w:t>
      </w:r>
      <w:r w:rsidRPr="00CA7C54">
        <w:rPr>
          <w:color w:val="000000" w:themeColor="text1"/>
          <w:sz w:val="21"/>
          <w:szCs w:val="21"/>
        </w:rPr>
        <w:t>ктуванні споруд на ділянках, де за даними інженерно-геологічних вишукувань можуть знаходитися шкідливі ґрунтові гази (радон, метан тощо), дотичні з ґрунтом конструкції повинні мати гідроізоляційний шар з функцією захисту від проникнення шкідливих газів, або слід застосовувати додатковий шар з такою функцією.</w:t>
      </w:r>
    </w:p>
    <w:p w14:paraId="4968A280"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15.7</w:t>
      </w:r>
      <w:r w:rsidRPr="00CA7C54">
        <w:rPr>
          <w:color w:val="000000" w:themeColor="text1"/>
          <w:sz w:val="21"/>
          <w:szCs w:val="21"/>
        </w:rPr>
        <w:t xml:space="preserve"> При про</w:t>
      </w:r>
      <w:r w:rsidR="00DA39EA" w:rsidRPr="00CA7C54">
        <w:rPr>
          <w:color w:val="000000" w:themeColor="text1"/>
          <w:sz w:val="21"/>
          <w:szCs w:val="21"/>
        </w:rPr>
        <w:t>є</w:t>
      </w:r>
      <w:r w:rsidRPr="00CA7C54">
        <w:rPr>
          <w:color w:val="000000" w:themeColor="text1"/>
          <w:sz w:val="21"/>
          <w:szCs w:val="21"/>
        </w:rPr>
        <w:t>ктуванні дренажного шару захисних споруд слід передбачати пристінний, пластовий або комбінований дренаж з геосинтетичних матеріалів. </w:t>
      </w:r>
    </w:p>
    <w:p w14:paraId="4E2EE423"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Геоматеріали, що використовуються, повинні бути стійкими до агресивного середовища в ґрунті (кислоти або луги). </w:t>
      </w:r>
    </w:p>
    <w:p w14:paraId="77F2F22C"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Дренажну систему слід виконувати з дренажного геокомпозиту (термічно скріплений геотекстиль з поліпропілену в комбінації з  шиповидною мембраною або геокомпозит, який </w:t>
      </w:r>
      <w:r w:rsidRPr="00CA7C54">
        <w:rPr>
          <w:color w:val="000000" w:themeColor="text1"/>
          <w:sz w:val="21"/>
          <w:szCs w:val="21"/>
        </w:rPr>
        <w:lastRenderedPageBreak/>
        <w:t>складається з полімерного дренажного ядра, захищеного по обидві сторони геотекстилем). Для відводу води з дренажу слід застосовувати дренажну перфоровану трубу. </w:t>
      </w:r>
    </w:p>
    <w:p w14:paraId="3E416B8F"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влаштуванні дренажних систем для захисту їх дренажного ядра від забивання слід призначати геотекстильний фільтр з поліпропілену, який підбирається з урахуванням його водопроникності, розмірів пор та міцності (відповідно до ДСТУ 7372) та розраховується за</w:t>
      </w:r>
      <w:r w:rsidRPr="00CA7C54">
        <w:rPr>
          <w:color w:val="000000" w:themeColor="text1"/>
          <w:sz w:val="21"/>
          <w:szCs w:val="21"/>
        </w:rPr>
        <w:br/>
        <w:t>ГБН В.2.3-37641918-544. </w:t>
      </w:r>
    </w:p>
    <w:p w14:paraId="6EC8243D" w14:textId="72A9AF58"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використанні шиповидної мембрани, вона має бути виготовлена з поліетилену високої щільності з шипами не менше</w:t>
      </w:r>
      <w:r w:rsidR="00A05074" w:rsidRPr="00CA7C54">
        <w:rPr>
          <w:color w:val="000000" w:themeColor="text1"/>
          <w:sz w:val="21"/>
          <w:szCs w:val="21"/>
        </w:rPr>
        <w:t xml:space="preserve"> ніж </w:t>
      </w:r>
      <w:r w:rsidRPr="00CA7C54">
        <w:rPr>
          <w:color w:val="000000" w:themeColor="text1"/>
          <w:sz w:val="21"/>
          <w:szCs w:val="21"/>
        </w:rPr>
        <w:t>8 мм. Міцність на стиск шиповидної мембрани підбирається за розрахунком, але не менше</w:t>
      </w:r>
      <w:r w:rsidR="00A05074" w:rsidRPr="00CA7C54">
        <w:rPr>
          <w:color w:val="000000" w:themeColor="text1"/>
          <w:sz w:val="21"/>
          <w:szCs w:val="21"/>
        </w:rPr>
        <w:t xml:space="preserve"> ніж</w:t>
      </w:r>
      <w:r w:rsidRPr="00CA7C54">
        <w:rPr>
          <w:color w:val="000000" w:themeColor="text1"/>
          <w:sz w:val="21"/>
          <w:szCs w:val="21"/>
        </w:rPr>
        <w:t xml:space="preserve"> 0,3 МПа. Якщо за про</w:t>
      </w:r>
      <w:r w:rsidR="00A05074" w:rsidRPr="00CA7C54">
        <w:rPr>
          <w:color w:val="000000" w:themeColor="text1"/>
          <w:sz w:val="21"/>
          <w:szCs w:val="21"/>
        </w:rPr>
        <w:t>є</w:t>
      </w:r>
      <w:r w:rsidRPr="00CA7C54">
        <w:rPr>
          <w:color w:val="000000" w:themeColor="text1"/>
          <w:sz w:val="21"/>
          <w:szCs w:val="21"/>
        </w:rPr>
        <w:t xml:space="preserve">ктом передбачається експлуатація покриття сховища (пішохідна зона, проїзна частина, паркінг тощо), в якості дренажно-захисного шару слід приймати геокомпозит на основі шиповидної мембрани міцністю на стиск не </w:t>
      </w:r>
      <w:r w:rsidR="001F6264">
        <w:rPr>
          <w:color w:val="000000" w:themeColor="text1"/>
          <w:sz w:val="21"/>
          <w:szCs w:val="21"/>
        </w:rPr>
        <w:t xml:space="preserve">         </w:t>
      </w:r>
      <w:r w:rsidRPr="00CA7C54">
        <w:rPr>
          <w:color w:val="000000" w:themeColor="text1"/>
          <w:sz w:val="21"/>
          <w:szCs w:val="21"/>
        </w:rPr>
        <w:t>менше 50 т/м</w:t>
      </w:r>
      <w:r w:rsidRPr="00CA7C54">
        <w:rPr>
          <w:color w:val="000000" w:themeColor="text1"/>
          <w:sz w:val="21"/>
          <w:szCs w:val="21"/>
          <w:vertAlign w:val="superscript"/>
        </w:rPr>
        <w:t>2</w:t>
      </w:r>
      <w:r w:rsidRPr="00CA7C54">
        <w:rPr>
          <w:color w:val="000000" w:themeColor="text1"/>
          <w:sz w:val="21"/>
          <w:szCs w:val="21"/>
        </w:rPr>
        <w:t>.</w:t>
      </w:r>
    </w:p>
    <w:p w14:paraId="0F232974"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випадку, якщо конструкція сховища буде розташовуватися безпосередньо біля трамвайних шляхів, метрополітену, або за про</w:t>
      </w:r>
      <w:r w:rsidR="00A05074" w:rsidRPr="00CA7C54">
        <w:rPr>
          <w:color w:val="000000" w:themeColor="text1"/>
          <w:sz w:val="21"/>
          <w:szCs w:val="21"/>
        </w:rPr>
        <w:t>є</w:t>
      </w:r>
      <w:r w:rsidRPr="00CA7C54">
        <w:rPr>
          <w:color w:val="000000" w:themeColor="text1"/>
          <w:sz w:val="21"/>
          <w:szCs w:val="21"/>
        </w:rPr>
        <w:t>ктом передбачається постійний вібраційний вплив, в якості дренажного композиту слід передбачати влаштування дренажного віброізоляційного мату з тривимірним поліамідною структурою.</w:t>
      </w:r>
    </w:p>
    <w:p w14:paraId="52FA1331" w14:textId="77777777" w:rsidR="003C4E04" w:rsidRPr="00CA7C54" w:rsidRDefault="003C4E04" w:rsidP="00A05074">
      <w:pPr>
        <w:pBdr>
          <w:top w:val="nil"/>
          <w:left w:val="nil"/>
          <w:bottom w:val="nil"/>
          <w:right w:val="nil"/>
          <w:between w:val="nil"/>
        </w:pBdr>
        <w:spacing w:before="0" w:line="288" w:lineRule="auto"/>
        <w:contextualSpacing/>
        <w:rPr>
          <w:color w:val="000000" w:themeColor="text1"/>
          <w:sz w:val="21"/>
          <w:szCs w:val="21"/>
        </w:rPr>
      </w:pPr>
    </w:p>
    <w:p w14:paraId="5EBF26A6" w14:textId="77777777" w:rsidR="003C4E04" w:rsidRPr="00CA7C54" w:rsidRDefault="001E748C" w:rsidP="00A05074">
      <w:pPr>
        <w:pBdr>
          <w:top w:val="nil"/>
          <w:left w:val="nil"/>
          <w:bottom w:val="nil"/>
          <w:right w:val="nil"/>
          <w:between w:val="nil"/>
        </w:pBdr>
        <w:spacing w:before="0" w:line="288" w:lineRule="auto"/>
        <w:contextualSpacing/>
        <w:rPr>
          <w:rFonts w:eastAsia="Times New Roman"/>
          <w:b/>
          <w:color w:val="000000" w:themeColor="text1"/>
          <w:sz w:val="21"/>
          <w:szCs w:val="21"/>
        </w:rPr>
      </w:pPr>
      <w:r w:rsidRPr="00CA7C54">
        <w:rPr>
          <w:color w:val="000000" w:themeColor="text1"/>
          <w:sz w:val="21"/>
          <w:szCs w:val="21"/>
        </w:rPr>
        <w:br w:type="page"/>
      </w:r>
    </w:p>
    <w:p w14:paraId="663AA510" w14:textId="77777777" w:rsidR="003C4E04" w:rsidRPr="00CA7C54" w:rsidRDefault="001E748C">
      <w:pPr>
        <w:pStyle w:val="2"/>
        <w:spacing w:before="0" w:after="0"/>
        <w:ind w:firstLine="0"/>
        <w:jc w:val="center"/>
        <w:rPr>
          <w:rFonts w:ascii="Arial" w:hAnsi="Arial"/>
          <w:b w:val="0"/>
          <w:bCs w:val="0"/>
          <w:color w:val="000000" w:themeColor="text1"/>
          <w:sz w:val="22"/>
          <w:szCs w:val="22"/>
        </w:rPr>
      </w:pPr>
      <w:bookmarkStart w:id="33" w:name="_heading=h.1opuj5n" w:colFirst="0" w:colLast="0"/>
      <w:bookmarkEnd w:id="33"/>
      <w:r w:rsidRPr="00CA7C54">
        <w:rPr>
          <w:rFonts w:ascii="Arial" w:hAnsi="Arial"/>
          <w:b w:val="0"/>
          <w:bCs w:val="0"/>
          <w:color w:val="000000" w:themeColor="text1"/>
          <w:sz w:val="22"/>
          <w:szCs w:val="22"/>
        </w:rPr>
        <w:lastRenderedPageBreak/>
        <w:t>ДОДАТОК А</w:t>
      </w:r>
    </w:p>
    <w:p w14:paraId="72DB5331" w14:textId="77777777" w:rsidR="003C4E04" w:rsidRPr="00CA7C54" w:rsidRDefault="001E748C">
      <w:pPr>
        <w:spacing w:before="0"/>
        <w:ind w:firstLine="0"/>
        <w:jc w:val="center"/>
        <w:rPr>
          <w:color w:val="000000" w:themeColor="text1"/>
        </w:rPr>
      </w:pPr>
      <w:r w:rsidRPr="00CA7C54">
        <w:rPr>
          <w:color w:val="000000" w:themeColor="text1"/>
        </w:rPr>
        <w:t>(обов’язковий)</w:t>
      </w:r>
    </w:p>
    <w:p w14:paraId="63136CB8" w14:textId="77777777" w:rsidR="003C4E04" w:rsidRPr="00CA7C54" w:rsidRDefault="001E748C">
      <w:pPr>
        <w:pBdr>
          <w:top w:val="nil"/>
          <w:left w:val="nil"/>
          <w:bottom w:val="nil"/>
          <w:right w:val="nil"/>
          <w:between w:val="nil"/>
        </w:pBdr>
        <w:tabs>
          <w:tab w:val="left" w:pos="2552"/>
        </w:tabs>
        <w:spacing w:line="240" w:lineRule="auto"/>
        <w:ind w:firstLine="0"/>
        <w:jc w:val="center"/>
        <w:rPr>
          <w:rFonts w:eastAsia="Calibri"/>
          <w:b/>
          <w:color w:val="000000" w:themeColor="text1"/>
          <w:sz w:val="21"/>
          <w:szCs w:val="21"/>
        </w:rPr>
      </w:pPr>
      <w:r w:rsidRPr="00CA7C54">
        <w:rPr>
          <w:rFonts w:eastAsia="Calibri"/>
          <w:b/>
          <w:color w:val="000000" w:themeColor="text1"/>
          <w:sz w:val="21"/>
          <w:szCs w:val="21"/>
        </w:rPr>
        <w:t>КЛАСИФІКАЦІЯ ЗАХИСНИХ СПОРУД ТА СПП</w:t>
      </w:r>
    </w:p>
    <w:p w14:paraId="7B3EBAAA" w14:textId="77777777" w:rsidR="003C4E04" w:rsidRPr="00CA7C54" w:rsidRDefault="003C4E04">
      <w:pPr>
        <w:rPr>
          <w:color w:val="000000" w:themeColor="text1"/>
          <w:sz w:val="21"/>
          <w:szCs w:val="21"/>
        </w:rPr>
      </w:pPr>
      <w:bookmarkStart w:id="34" w:name="_heading=h.4lr9dqb120jk" w:colFirst="0" w:colLast="0"/>
      <w:bookmarkEnd w:id="34"/>
    </w:p>
    <w:p w14:paraId="308BF436" w14:textId="77777777" w:rsidR="003C4E04" w:rsidRPr="00CA7C54" w:rsidRDefault="001E748C">
      <w:pPr>
        <w:pBdr>
          <w:top w:val="nil"/>
          <w:left w:val="nil"/>
          <w:bottom w:val="nil"/>
          <w:right w:val="nil"/>
          <w:between w:val="nil"/>
        </w:pBdr>
        <w:spacing w:before="253" w:after="120" w:line="240" w:lineRule="auto"/>
        <w:ind w:right="164"/>
        <w:rPr>
          <w:color w:val="000000" w:themeColor="text1"/>
          <w:sz w:val="21"/>
          <w:szCs w:val="21"/>
        </w:rPr>
      </w:pPr>
      <w:r w:rsidRPr="00CA7C54">
        <w:rPr>
          <w:b/>
          <w:color w:val="000000" w:themeColor="text1"/>
          <w:sz w:val="21"/>
          <w:szCs w:val="21"/>
        </w:rPr>
        <w:t xml:space="preserve">Таблиця А.1 </w:t>
      </w:r>
      <w:r w:rsidRPr="00CA7C54">
        <w:rPr>
          <w:color w:val="000000" w:themeColor="text1"/>
          <w:sz w:val="21"/>
          <w:szCs w:val="21"/>
        </w:rPr>
        <w:t xml:space="preserve">– Клас сховищ, СПП із захисними властивостями сховищ </w:t>
      </w:r>
    </w:p>
    <w:tbl>
      <w:tblPr>
        <w:tblStyle w:val="affffffffffffffffffffffffffffffff8"/>
        <w:tblW w:w="973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4536"/>
        <w:gridCol w:w="1417"/>
        <w:gridCol w:w="1418"/>
        <w:gridCol w:w="1645"/>
      </w:tblGrid>
      <w:tr w:rsidR="00CA7C54" w:rsidRPr="00CA7C54" w14:paraId="25A08525" w14:textId="77777777">
        <w:trPr>
          <w:trHeight w:val="356"/>
        </w:trPr>
        <w:tc>
          <w:tcPr>
            <w:tcW w:w="720" w:type="dxa"/>
            <w:vMerge w:val="restart"/>
            <w:shd w:val="clear" w:color="auto" w:fill="auto"/>
            <w:vAlign w:val="center"/>
          </w:tcPr>
          <w:p w14:paraId="04247730"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 з.п.</w:t>
            </w:r>
          </w:p>
        </w:tc>
        <w:tc>
          <w:tcPr>
            <w:tcW w:w="4536" w:type="dxa"/>
            <w:vMerge w:val="restart"/>
            <w:shd w:val="clear" w:color="auto" w:fill="auto"/>
            <w:vAlign w:val="center"/>
          </w:tcPr>
          <w:p w14:paraId="05FD2F6D"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Розміщення сховищ, СПП із захисними властивостями сховищ</w:t>
            </w:r>
          </w:p>
        </w:tc>
        <w:tc>
          <w:tcPr>
            <w:tcW w:w="1417" w:type="dxa"/>
            <w:vMerge w:val="restart"/>
            <w:shd w:val="clear" w:color="auto" w:fill="auto"/>
          </w:tcPr>
          <w:p w14:paraId="5D112AE8"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Клас сховища, СПП із захисними властивос</w:t>
            </w:r>
            <w:r w:rsidR="00AE25DB">
              <w:rPr>
                <w:rFonts w:ascii="Arial" w:hAnsi="Arial" w:cs="Arial"/>
                <w:b/>
                <w:color w:val="000000" w:themeColor="text1"/>
                <w:sz w:val="21"/>
                <w:szCs w:val="21"/>
              </w:rPr>
              <w:t>-</w:t>
            </w:r>
            <w:r w:rsidRPr="00CA7C54">
              <w:rPr>
                <w:rFonts w:ascii="Arial" w:hAnsi="Arial" w:cs="Arial"/>
                <w:b/>
                <w:color w:val="000000" w:themeColor="text1"/>
                <w:sz w:val="21"/>
                <w:szCs w:val="21"/>
              </w:rPr>
              <w:t>тями сховищ</w:t>
            </w:r>
          </w:p>
        </w:tc>
        <w:tc>
          <w:tcPr>
            <w:tcW w:w="3063" w:type="dxa"/>
            <w:gridSpan w:val="2"/>
            <w:shd w:val="clear" w:color="auto" w:fill="auto"/>
            <w:vAlign w:val="center"/>
          </w:tcPr>
          <w:p w14:paraId="76A7FCF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Захисні властивості</w:t>
            </w:r>
          </w:p>
        </w:tc>
      </w:tr>
      <w:tr w:rsidR="00CA7C54" w:rsidRPr="00CA7C54" w14:paraId="03A1BD04" w14:textId="77777777">
        <w:trPr>
          <w:trHeight w:val="356"/>
        </w:trPr>
        <w:tc>
          <w:tcPr>
            <w:tcW w:w="720" w:type="dxa"/>
            <w:vMerge/>
            <w:shd w:val="clear" w:color="auto" w:fill="auto"/>
            <w:vAlign w:val="center"/>
          </w:tcPr>
          <w:p w14:paraId="1A20A832"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4536" w:type="dxa"/>
            <w:vMerge/>
            <w:shd w:val="clear" w:color="auto" w:fill="auto"/>
            <w:vAlign w:val="center"/>
          </w:tcPr>
          <w:p w14:paraId="71E15223"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1417" w:type="dxa"/>
            <w:vMerge/>
            <w:shd w:val="clear" w:color="auto" w:fill="auto"/>
          </w:tcPr>
          <w:p w14:paraId="6C190FF5"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1418" w:type="dxa"/>
            <w:shd w:val="clear" w:color="auto" w:fill="auto"/>
            <w:vAlign w:val="center"/>
          </w:tcPr>
          <w:p w14:paraId="188624F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strike/>
                <w:color w:val="000000" w:themeColor="text1"/>
                <w:sz w:val="21"/>
                <w:szCs w:val="21"/>
              </w:rPr>
            </w:pPr>
            <w:r w:rsidRPr="00CA7C54">
              <w:rPr>
                <w:rFonts w:ascii="Arial" w:hAnsi="Arial" w:cs="Arial"/>
                <w:b/>
                <w:color w:val="000000" w:themeColor="text1"/>
                <w:sz w:val="21"/>
                <w:szCs w:val="21"/>
              </w:rPr>
              <w:t xml:space="preserve">Надмірний тиск повітряної ударної хвилі </w:t>
            </w:r>
            <w:r w:rsidR="00E7302F" w:rsidRPr="00E7302F">
              <w:rPr>
                <w:rFonts w:ascii="Arial" w:hAnsi="Arial" w:cs="Arial"/>
                <w:b/>
                <w:bCs/>
                <w:i/>
                <w:color w:val="000000" w:themeColor="text1"/>
                <w:sz w:val="20"/>
                <w:szCs w:val="20"/>
                <w:highlight w:val="white"/>
              </w:rPr>
              <w:t>ΔР</w:t>
            </w:r>
            <w:r w:rsidR="00E7302F" w:rsidRPr="00E7302F">
              <w:rPr>
                <w:rFonts w:ascii="Arial" w:hAnsi="Arial" w:cs="Arial"/>
                <w:b/>
                <w:bCs/>
                <w:i/>
                <w:color w:val="000000" w:themeColor="text1"/>
                <w:sz w:val="20"/>
                <w:szCs w:val="20"/>
                <w:highlight w:val="white"/>
                <w:vertAlign w:val="subscript"/>
              </w:rPr>
              <w:t>ех</w:t>
            </w:r>
            <w:r w:rsidRPr="00CA7C54">
              <w:rPr>
                <w:rFonts w:ascii="Arial" w:hAnsi="Arial" w:cs="Arial"/>
                <w:b/>
                <w:color w:val="000000" w:themeColor="text1"/>
                <w:sz w:val="21"/>
                <w:szCs w:val="21"/>
              </w:rPr>
              <w:t xml:space="preserve">, кПа </w:t>
            </w:r>
          </w:p>
        </w:tc>
        <w:tc>
          <w:tcPr>
            <w:tcW w:w="1645" w:type="dxa"/>
            <w:shd w:val="clear" w:color="auto" w:fill="auto"/>
            <w:vAlign w:val="center"/>
          </w:tcPr>
          <w:p w14:paraId="6D44CE0D"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vertAlign w:val="subscript"/>
              </w:rPr>
            </w:pPr>
            <w:r w:rsidRPr="00CA7C54">
              <w:rPr>
                <w:rFonts w:ascii="Arial" w:hAnsi="Arial" w:cs="Arial"/>
                <w:b/>
                <w:color w:val="000000" w:themeColor="text1"/>
                <w:sz w:val="21"/>
                <w:szCs w:val="21"/>
              </w:rPr>
              <w:t xml:space="preserve">Ступінь послаблення радіаційного впливу (ступінь захисту) </w:t>
            </w:r>
            <w:r w:rsidRPr="00CA7C54">
              <w:rPr>
                <w:rFonts w:ascii="Arial" w:hAnsi="Arial" w:cs="Arial"/>
                <w:i/>
                <w:color w:val="000000" w:themeColor="text1"/>
                <w:sz w:val="21"/>
                <w:szCs w:val="21"/>
              </w:rPr>
              <w:t>А</w:t>
            </w:r>
            <w:r w:rsidRPr="00CA7C54">
              <w:rPr>
                <w:rFonts w:ascii="Arial" w:hAnsi="Arial" w:cs="Arial"/>
                <w:i/>
                <w:color w:val="000000" w:themeColor="text1"/>
                <w:sz w:val="21"/>
                <w:szCs w:val="21"/>
                <w:vertAlign w:val="subscript"/>
              </w:rPr>
              <w:t>з</w:t>
            </w:r>
          </w:p>
        </w:tc>
      </w:tr>
      <w:tr w:rsidR="00CA7C54" w:rsidRPr="00CA7C54" w14:paraId="4DBC3EFA" w14:textId="77777777">
        <w:trPr>
          <w:trHeight w:val="858"/>
        </w:trPr>
        <w:tc>
          <w:tcPr>
            <w:tcW w:w="720" w:type="dxa"/>
            <w:shd w:val="clear" w:color="auto" w:fill="auto"/>
          </w:tcPr>
          <w:p w14:paraId="6EDCF254"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w:t>
            </w:r>
          </w:p>
        </w:tc>
        <w:tc>
          <w:tcPr>
            <w:tcW w:w="4536" w:type="dxa"/>
            <w:shd w:val="clear" w:color="auto" w:fill="auto"/>
          </w:tcPr>
          <w:p w14:paraId="2D498358"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У межах про</w:t>
            </w:r>
            <w:r w:rsidR="00A05074" w:rsidRPr="00CA7C54">
              <w:rPr>
                <w:rFonts w:ascii="Arial" w:hAnsi="Arial" w:cs="Arial"/>
                <w:color w:val="000000" w:themeColor="text1"/>
                <w:sz w:val="21"/>
                <w:szCs w:val="21"/>
              </w:rPr>
              <w:t>є</w:t>
            </w:r>
            <w:r w:rsidRPr="00CA7C54">
              <w:rPr>
                <w:rFonts w:ascii="Arial" w:hAnsi="Arial" w:cs="Arial"/>
                <w:color w:val="000000" w:themeColor="text1"/>
                <w:sz w:val="21"/>
                <w:szCs w:val="21"/>
              </w:rPr>
              <w:t>ктної забудови міст, віднесених до групи особливої важливості цивільного захисту</w:t>
            </w:r>
          </w:p>
        </w:tc>
        <w:tc>
          <w:tcPr>
            <w:tcW w:w="1417" w:type="dxa"/>
            <w:shd w:val="clear" w:color="auto" w:fill="auto"/>
          </w:tcPr>
          <w:p w14:paraId="78408023"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А-І</w:t>
            </w:r>
          </w:p>
        </w:tc>
        <w:tc>
          <w:tcPr>
            <w:tcW w:w="1418" w:type="dxa"/>
            <w:shd w:val="clear" w:color="auto" w:fill="auto"/>
          </w:tcPr>
          <w:p w14:paraId="5D80AF41"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 xml:space="preserve">500 </w:t>
            </w:r>
          </w:p>
        </w:tc>
        <w:tc>
          <w:tcPr>
            <w:tcW w:w="1645" w:type="dxa"/>
            <w:shd w:val="clear" w:color="auto" w:fill="auto"/>
          </w:tcPr>
          <w:p w14:paraId="2CD04A39"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5 000</w:t>
            </w:r>
          </w:p>
        </w:tc>
      </w:tr>
      <w:tr w:rsidR="00CA7C54" w:rsidRPr="00CA7C54" w14:paraId="6413DC64" w14:textId="77777777">
        <w:trPr>
          <w:trHeight w:val="1229"/>
        </w:trPr>
        <w:tc>
          <w:tcPr>
            <w:tcW w:w="720" w:type="dxa"/>
            <w:shd w:val="clear" w:color="auto" w:fill="auto"/>
          </w:tcPr>
          <w:p w14:paraId="49C8E798"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2</w:t>
            </w:r>
          </w:p>
        </w:tc>
        <w:tc>
          <w:tcPr>
            <w:tcW w:w="4536" w:type="dxa"/>
            <w:shd w:val="clear" w:color="auto" w:fill="auto"/>
          </w:tcPr>
          <w:p w14:paraId="3B6985D7" w14:textId="77777777" w:rsidR="003C4E04" w:rsidRPr="00CA7C54" w:rsidRDefault="001E748C">
            <w:pPr>
              <w:widowControl w:val="0"/>
              <w:pBdr>
                <w:top w:val="nil"/>
                <w:left w:val="nil"/>
                <w:bottom w:val="nil"/>
                <w:right w:val="nil"/>
                <w:between w:val="nil"/>
              </w:pBdr>
              <w:tabs>
                <w:tab w:val="left" w:pos="1894"/>
              </w:tabs>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Окремо розташований об’єкт суб’єкта господарювання, віднесеного до категорії особливої важливості цивільного захисту (крім зазначених у пункті 1 цієї таблиці)</w:t>
            </w:r>
          </w:p>
        </w:tc>
        <w:tc>
          <w:tcPr>
            <w:tcW w:w="1417" w:type="dxa"/>
            <w:shd w:val="clear" w:color="auto" w:fill="auto"/>
          </w:tcPr>
          <w:p w14:paraId="5A4057DB"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А-ІІ</w:t>
            </w:r>
          </w:p>
        </w:tc>
        <w:tc>
          <w:tcPr>
            <w:tcW w:w="1418" w:type="dxa"/>
            <w:shd w:val="clear" w:color="auto" w:fill="auto"/>
          </w:tcPr>
          <w:p w14:paraId="717742B9"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 xml:space="preserve">300 </w:t>
            </w:r>
          </w:p>
        </w:tc>
        <w:tc>
          <w:tcPr>
            <w:tcW w:w="1645" w:type="dxa"/>
            <w:shd w:val="clear" w:color="auto" w:fill="auto"/>
          </w:tcPr>
          <w:p w14:paraId="0747AF11"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3 000</w:t>
            </w:r>
          </w:p>
        </w:tc>
      </w:tr>
      <w:tr w:rsidR="00CA7C54" w:rsidRPr="00CA7C54" w14:paraId="6EC3B290" w14:textId="77777777">
        <w:trPr>
          <w:trHeight w:val="634"/>
        </w:trPr>
        <w:tc>
          <w:tcPr>
            <w:tcW w:w="720" w:type="dxa"/>
            <w:shd w:val="clear" w:color="auto" w:fill="auto"/>
          </w:tcPr>
          <w:p w14:paraId="68FAD18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3</w:t>
            </w:r>
          </w:p>
        </w:tc>
        <w:tc>
          <w:tcPr>
            <w:tcW w:w="4536" w:type="dxa"/>
            <w:shd w:val="clear" w:color="auto" w:fill="auto"/>
          </w:tcPr>
          <w:p w14:paraId="794502C7"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У межах про</w:t>
            </w:r>
            <w:r w:rsidR="00A05074" w:rsidRPr="00CA7C54">
              <w:rPr>
                <w:rFonts w:ascii="Arial" w:hAnsi="Arial" w:cs="Arial"/>
                <w:color w:val="000000" w:themeColor="text1"/>
                <w:sz w:val="21"/>
                <w:szCs w:val="21"/>
              </w:rPr>
              <w:t>є</w:t>
            </w:r>
            <w:r w:rsidRPr="00CA7C54">
              <w:rPr>
                <w:rFonts w:ascii="Arial" w:hAnsi="Arial" w:cs="Arial"/>
                <w:color w:val="000000" w:themeColor="text1"/>
                <w:sz w:val="21"/>
                <w:szCs w:val="21"/>
              </w:rPr>
              <w:t>ктної забудови та санітарно-захисної зони атомних енергетичних об’єктів</w:t>
            </w:r>
          </w:p>
        </w:tc>
        <w:tc>
          <w:tcPr>
            <w:tcW w:w="1417" w:type="dxa"/>
            <w:shd w:val="clear" w:color="auto" w:fill="auto"/>
          </w:tcPr>
          <w:p w14:paraId="67888B38"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А-ІII</w:t>
            </w:r>
          </w:p>
        </w:tc>
        <w:tc>
          <w:tcPr>
            <w:tcW w:w="1418" w:type="dxa"/>
            <w:shd w:val="clear" w:color="auto" w:fill="auto"/>
          </w:tcPr>
          <w:p w14:paraId="7C51D82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200</w:t>
            </w:r>
          </w:p>
        </w:tc>
        <w:tc>
          <w:tcPr>
            <w:tcW w:w="1645" w:type="dxa"/>
            <w:shd w:val="clear" w:color="auto" w:fill="auto"/>
          </w:tcPr>
          <w:p w14:paraId="6ADE5730"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5 000</w:t>
            </w:r>
          </w:p>
        </w:tc>
      </w:tr>
      <w:tr w:rsidR="00CA7C54" w:rsidRPr="00CA7C54" w14:paraId="133D28CA" w14:textId="77777777">
        <w:trPr>
          <w:trHeight w:val="2126"/>
        </w:trPr>
        <w:tc>
          <w:tcPr>
            <w:tcW w:w="720" w:type="dxa"/>
            <w:shd w:val="clear" w:color="auto" w:fill="auto"/>
          </w:tcPr>
          <w:p w14:paraId="64A62E54"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4</w:t>
            </w:r>
          </w:p>
        </w:tc>
        <w:tc>
          <w:tcPr>
            <w:tcW w:w="4536" w:type="dxa"/>
            <w:shd w:val="clear" w:color="auto" w:fill="auto"/>
          </w:tcPr>
          <w:p w14:paraId="564C3BA2"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У межах про</w:t>
            </w:r>
            <w:r w:rsidR="00A05074" w:rsidRPr="00CA7C54">
              <w:rPr>
                <w:rFonts w:ascii="Arial" w:hAnsi="Arial" w:cs="Arial"/>
                <w:color w:val="000000" w:themeColor="text1"/>
                <w:sz w:val="21"/>
                <w:szCs w:val="21"/>
              </w:rPr>
              <w:t>є</w:t>
            </w:r>
            <w:r w:rsidRPr="00CA7C54">
              <w:rPr>
                <w:rFonts w:ascii="Arial" w:hAnsi="Arial" w:cs="Arial"/>
                <w:color w:val="000000" w:themeColor="text1"/>
                <w:sz w:val="21"/>
                <w:szCs w:val="21"/>
              </w:rPr>
              <w:t>ктної забудови територій та населених пунктів, віднесених до відповідних груп цивільного захисту, а також за межами про</w:t>
            </w:r>
            <w:r w:rsidR="00A05074" w:rsidRPr="00CA7C54">
              <w:rPr>
                <w:rFonts w:ascii="Arial" w:hAnsi="Arial" w:cs="Arial"/>
                <w:color w:val="000000" w:themeColor="text1"/>
                <w:sz w:val="21"/>
                <w:szCs w:val="21"/>
              </w:rPr>
              <w:t>є</w:t>
            </w:r>
            <w:r w:rsidRPr="00CA7C54">
              <w:rPr>
                <w:rFonts w:ascii="Arial" w:hAnsi="Arial" w:cs="Arial"/>
                <w:color w:val="000000" w:themeColor="text1"/>
                <w:sz w:val="21"/>
                <w:szCs w:val="21"/>
              </w:rPr>
              <w:t>ктної забудови та санітарно-захисної зони атомних енергетичних об’єктів у зонах можливих значних (сильних) руйнувань (крім зазначених у  1 – 3 цієї таблиці)</w:t>
            </w:r>
          </w:p>
        </w:tc>
        <w:tc>
          <w:tcPr>
            <w:tcW w:w="1417" w:type="dxa"/>
            <w:shd w:val="clear" w:color="auto" w:fill="auto"/>
          </w:tcPr>
          <w:p w14:paraId="45989E00"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А-ІV</w:t>
            </w:r>
          </w:p>
        </w:tc>
        <w:tc>
          <w:tcPr>
            <w:tcW w:w="1418" w:type="dxa"/>
            <w:shd w:val="clear" w:color="auto" w:fill="auto"/>
          </w:tcPr>
          <w:p w14:paraId="0AF2524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645" w:type="dxa"/>
            <w:shd w:val="clear" w:color="auto" w:fill="auto"/>
          </w:tcPr>
          <w:p w14:paraId="0D4B0CF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1 000</w:t>
            </w:r>
          </w:p>
        </w:tc>
      </w:tr>
    </w:tbl>
    <w:p w14:paraId="2C5284AE" w14:textId="77777777" w:rsidR="003C4E04" w:rsidRPr="00CA7C54" w:rsidRDefault="00DC31F3">
      <w:pPr>
        <w:pBdr>
          <w:top w:val="nil"/>
          <w:left w:val="nil"/>
          <w:bottom w:val="nil"/>
          <w:right w:val="nil"/>
          <w:between w:val="nil"/>
        </w:pBdr>
        <w:spacing w:after="120" w:line="240" w:lineRule="auto"/>
        <w:rPr>
          <w:rFonts w:ascii="UkrainianBaltica" w:eastAsia="UkrainianBaltica" w:hAnsi="UkrainianBaltica" w:cs="UkrainianBaltica"/>
          <w:color w:val="000000" w:themeColor="text1"/>
          <w:sz w:val="26"/>
          <w:szCs w:val="26"/>
        </w:rPr>
      </w:pPr>
      <w:r>
        <w:rPr>
          <w:noProof/>
        </w:rPr>
        <w:pict w14:anchorId="3608874A">
          <v:shape id="Полілінія 2130524441" o:spid="_x0000_s2052" style="position:absolute;left:0;text-align:left;margin-left:2in;margin-top:15pt;width:.1pt;height:1pt;z-index:251668480;visibility:visible;mso-wrap-style:square;mso-wrap-distance-left:0;mso-wrap-distance-top:0;mso-wrap-distance-right:0;mso-wrap-distance-bottom:0;mso-position-horizontal:absolute;mso-position-horizontal-relative:text;mso-position-vertical:absolute;mso-position-vertical-relative:text;v-text-anchor:middle" coordsize="43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xWuVwIAANcEAAAOAAAAZHJzL2Uyb0RvYy54bWysVNtu2zAMfR+wfxD0vjjXXoI4xdAsw4Bi&#10;DdDuAxhJjo3JkibJsfP3I+Wk8baHAcP8IJMmRZ7Di1cPXa3ZUflQWZPzyWjMmTLCysoccv7tdfvh&#10;jrMQwUjQ1qicn1TgD+v371atW6qpLa2WyjMMYsKydTkvY3TLLAuiVDWEkXXKoLGwvoaIqj9k0kOL&#10;0WudTcfjm6y1XjpvhQoBv256I1+n+EWhRHwuiqAi0zlHbDGdPp17OrP1CpYHD66sxBkG/AOKGiqD&#10;Sd9CbSACa3z1R6i6Et4GW8SRsHVmi6ISKnFANpPxb2xeSnAqccHiBPdWpvD/woqvxxe381iG1oVl&#10;QJFYdIWv6Y34WJfzxWy+mN0sODvlfHZ7i+K5cKqLTKDDZHqLxRVoJikZs2sU0YT4WdkUEY5PIfZF&#10;lxcJyoskOnMRPbaOmqZT0yJn2DTPGTZt3zfNQaR7BJNE1uZ8PpsjjJJQjPHBUeyib2g0n79Ts8m3&#10;tkf1atOtSNzQC2FfIF+t2gy9+sgDx96MJCn3enUWEh6Uh4yN3VZaJ8raEMr7xRRLKQCnvdCAzETt&#10;ZM6DOSSAwepK0hXCGPxh/6g9OwLNb3qIPab4xc35EDcQyt4vmfoiedsYmXKXCuQnI1k8OVxDg8vI&#10;CUyoOdMKVxeF5Beh0n/3QwDaII7r0JC0t/K08yw4sa0Q0ROEuAOP+zTBXLhjmOVHAx4z6y8Gh/h+&#10;MqdSxKHih8p+qIARpcUpEBHnoFceI+p9X4392ERbVDRcCVYP5qzg9qSqnTed1nOoJ6/r/2j9EwAA&#10;//8DAFBLAwQUAAYACAAAACEAbI2lh9wAAAAJAQAADwAAAGRycy9kb3ducmV2LnhtbEyPzUrEQBCE&#10;74LvMLTgzZ3ZqCHETBYRgicRd/cBOpk2CZmfkJndjT697UlPTVcX1V9Vu9VZcaYljsFr2G4UCPJd&#10;MKPvNRwPzV0BIib0Bm3wpOGLIuzq66sKSxMu/oPO+9QLDvGxRA1DSnMpZewGchg3YSbPt8+wOEy8&#10;Lr00C1443FmZKZVLh6PnDwPO9DJQN+1PTkOeH9+wfW0etmhp+m6Wx+ndzlrf3qzPTyASrenPDL/4&#10;jA41M7Xh5E0UVkNWFNwlabhXPNnAQgaiZSFTIOtK/m9Q/wAAAP//AwBQSwECLQAUAAYACAAAACEA&#10;toM4kv4AAADhAQAAEwAAAAAAAAAAAAAAAAAAAAAAW0NvbnRlbnRfVHlwZXNdLnhtbFBLAQItABQA&#10;BgAIAAAAIQA4/SH/1gAAAJQBAAALAAAAAAAAAAAAAAAAAC8BAABfcmVscy8ucmVsc1BLAQItABQA&#10;BgAIAAAAIQAc7xWuVwIAANcEAAAOAAAAAAAAAAAAAAAAAC4CAABkcnMvZTJvRG9jLnhtbFBLAQIt&#10;ABQABgAIAAAAIQBsjaWH3AAAAAkBAAAPAAAAAAAAAAAAAAAAALEEAABkcnMvZG93bnJldi54bWxQ&#10;SwUGAAAAAAQABADzAAAAugUAAAAA&#10;" path="m,l4340,e" filled="f">
            <v:stroke startarrowwidth="narrow" startarrowlength="short" endarrowwidth="narrow" endarrowlength="short"/>
            <v:path arrowok="t" o:extrusionok="f"/>
            <w10:wrap type="topAndBottom"/>
          </v:shape>
        </w:pict>
      </w:r>
    </w:p>
    <w:p w14:paraId="74B8E2FF" w14:textId="77777777" w:rsidR="003C4E04" w:rsidRPr="00CA7C54" w:rsidRDefault="003C4E04">
      <w:pPr>
        <w:rPr>
          <w:rFonts w:ascii="Times New Roman" w:eastAsia="Times New Roman" w:hAnsi="Times New Roman" w:cs="Times New Roman"/>
          <w:color w:val="000000" w:themeColor="text1"/>
          <w:sz w:val="24"/>
          <w:szCs w:val="24"/>
        </w:rPr>
      </w:pPr>
    </w:p>
    <w:p w14:paraId="73E93E07" w14:textId="77777777" w:rsidR="003C4E04" w:rsidRPr="00CA7C54" w:rsidRDefault="001E748C" w:rsidP="00187CE6">
      <w:pPr>
        <w:tabs>
          <w:tab w:val="left" w:pos="6521"/>
        </w:tabs>
        <w:jc w:val="right"/>
        <w:rPr>
          <w:color w:val="000000" w:themeColor="text1"/>
        </w:rPr>
      </w:pPr>
      <w:r w:rsidRPr="00CA7C54">
        <w:rPr>
          <w:color w:val="000000" w:themeColor="text1"/>
        </w:rPr>
        <w:br w:type="page"/>
      </w:r>
    </w:p>
    <w:p w14:paraId="55FD9A3D" w14:textId="77777777" w:rsidR="003C4E04" w:rsidRPr="00CA7C54" w:rsidRDefault="001E748C">
      <w:pPr>
        <w:pBdr>
          <w:top w:val="nil"/>
          <w:left w:val="nil"/>
          <w:bottom w:val="nil"/>
          <w:right w:val="nil"/>
          <w:between w:val="nil"/>
        </w:pBdr>
        <w:spacing w:after="120" w:line="240" w:lineRule="auto"/>
        <w:ind w:left="221" w:right="-2" w:firstLine="63"/>
        <w:rPr>
          <w:color w:val="000000" w:themeColor="text1"/>
          <w:sz w:val="21"/>
          <w:szCs w:val="21"/>
        </w:rPr>
      </w:pPr>
      <w:bookmarkStart w:id="35" w:name="_heading=h.48pi1tg" w:colFirst="0" w:colLast="0"/>
      <w:bookmarkEnd w:id="35"/>
      <w:r w:rsidRPr="00CA7C54">
        <w:rPr>
          <w:b/>
          <w:color w:val="000000" w:themeColor="text1"/>
          <w:sz w:val="21"/>
          <w:szCs w:val="21"/>
        </w:rPr>
        <w:lastRenderedPageBreak/>
        <w:t xml:space="preserve">Таблиця А.2 </w:t>
      </w:r>
      <w:r w:rsidRPr="00CA7C54">
        <w:rPr>
          <w:color w:val="000000" w:themeColor="text1"/>
          <w:sz w:val="21"/>
          <w:szCs w:val="21"/>
        </w:rPr>
        <w:t>– Групи ПРУ та СПП із захисними властивостями ПРУ</w:t>
      </w:r>
    </w:p>
    <w:tbl>
      <w:tblPr>
        <w:tblStyle w:val="affffffffffffffffffffffffffffffff9"/>
        <w:tblW w:w="965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4"/>
        <w:gridCol w:w="1134"/>
        <w:gridCol w:w="1559"/>
        <w:gridCol w:w="1701"/>
      </w:tblGrid>
      <w:tr w:rsidR="00CA7C54" w:rsidRPr="00CA7C54" w14:paraId="18D2E1A0" w14:textId="77777777">
        <w:trPr>
          <w:trHeight w:val="133"/>
        </w:trPr>
        <w:tc>
          <w:tcPr>
            <w:tcW w:w="5264" w:type="dxa"/>
            <w:vMerge w:val="restart"/>
            <w:shd w:val="clear" w:color="auto" w:fill="auto"/>
            <w:vAlign w:val="center"/>
          </w:tcPr>
          <w:p w14:paraId="7D12EE33"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Розміщення ПРУ та СПП із захисними властивостями ПРУ</w:t>
            </w:r>
          </w:p>
        </w:tc>
        <w:tc>
          <w:tcPr>
            <w:tcW w:w="1134" w:type="dxa"/>
            <w:vMerge w:val="restart"/>
            <w:shd w:val="clear" w:color="auto" w:fill="auto"/>
            <w:vAlign w:val="center"/>
          </w:tcPr>
          <w:p w14:paraId="5A4904C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Група</w:t>
            </w:r>
          </w:p>
          <w:p w14:paraId="3E490FA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укриття</w:t>
            </w:r>
          </w:p>
        </w:tc>
        <w:tc>
          <w:tcPr>
            <w:tcW w:w="3260" w:type="dxa"/>
            <w:gridSpan w:val="2"/>
            <w:shd w:val="clear" w:color="auto" w:fill="auto"/>
            <w:vAlign w:val="center"/>
          </w:tcPr>
          <w:p w14:paraId="13EA267A"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Захисні властивості</w:t>
            </w:r>
          </w:p>
        </w:tc>
      </w:tr>
      <w:tr w:rsidR="00CA7C54" w:rsidRPr="00CA7C54" w14:paraId="76AAFCF2" w14:textId="77777777" w:rsidTr="00187CE6">
        <w:trPr>
          <w:trHeight w:val="20"/>
        </w:trPr>
        <w:tc>
          <w:tcPr>
            <w:tcW w:w="5264" w:type="dxa"/>
            <w:vMerge/>
            <w:shd w:val="clear" w:color="auto" w:fill="auto"/>
            <w:vAlign w:val="center"/>
          </w:tcPr>
          <w:p w14:paraId="6D267FA7"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1134" w:type="dxa"/>
            <w:vMerge/>
            <w:shd w:val="clear" w:color="auto" w:fill="auto"/>
            <w:vAlign w:val="center"/>
          </w:tcPr>
          <w:p w14:paraId="78FC2346"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1559" w:type="dxa"/>
            <w:shd w:val="clear" w:color="auto" w:fill="auto"/>
            <w:vAlign w:val="center"/>
          </w:tcPr>
          <w:p w14:paraId="7BE22D23" w14:textId="77777777" w:rsidR="003C4E04" w:rsidRPr="00CA7C54" w:rsidRDefault="001E748C">
            <w:pPr>
              <w:widowControl w:val="0"/>
              <w:spacing w:before="0" w:line="240" w:lineRule="auto"/>
              <w:ind w:firstLine="0"/>
              <w:jc w:val="center"/>
              <w:rPr>
                <w:rFonts w:ascii="Arial" w:hAnsi="Arial" w:cs="Arial"/>
                <w:b/>
                <w:strike/>
                <w:color w:val="000000" w:themeColor="text1"/>
                <w:sz w:val="21"/>
                <w:szCs w:val="21"/>
              </w:rPr>
            </w:pPr>
            <w:r w:rsidRPr="00CA7C54">
              <w:rPr>
                <w:rFonts w:ascii="Arial" w:hAnsi="Arial" w:cs="Arial"/>
                <w:b/>
                <w:color w:val="000000" w:themeColor="text1"/>
                <w:sz w:val="21"/>
                <w:szCs w:val="21"/>
              </w:rPr>
              <w:t xml:space="preserve">Надмірний тиск повітряної ударної хвилі </w:t>
            </w:r>
            <w:r w:rsidR="00E7302F" w:rsidRPr="00E7302F">
              <w:rPr>
                <w:rFonts w:ascii="Arial" w:hAnsi="Arial" w:cs="Arial"/>
                <w:b/>
                <w:bCs/>
                <w:i/>
                <w:color w:val="000000" w:themeColor="text1"/>
                <w:sz w:val="20"/>
                <w:szCs w:val="20"/>
                <w:highlight w:val="white"/>
              </w:rPr>
              <w:t>ΔР</w:t>
            </w:r>
            <w:r w:rsidR="00E7302F" w:rsidRPr="00E7302F">
              <w:rPr>
                <w:rFonts w:ascii="Arial" w:hAnsi="Arial" w:cs="Arial"/>
                <w:b/>
                <w:bCs/>
                <w:i/>
                <w:color w:val="000000" w:themeColor="text1"/>
                <w:sz w:val="20"/>
                <w:szCs w:val="20"/>
                <w:highlight w:val="white"/>
                <w:vertAlign w:val="subscript"/>
              </w:rPr>
              <w:t>ех</w:t>
            </w:r>
            <w:r w:rsidRPr="00CA7C54">
              <w:rPr>
                <w:rFonts w:ascii="Arial" w:hAnsi="Arial" w:cs="Arial"/>
                <w:b/>
                <w:color w:val="000000" w:themeColor="text1"/>
                <w:sz w:val="21"/>
                <w:szCs w:val="21"/>
              </w:rPr>
              <w:t xml:space="preserve">, кПа </w:t>
            </w:r>
          </w:p>
        </w:tc>
        <w:tc>
          <w:tcPr>
            <w:tcW w:w="1701" w:type="dxa"/>
            <w:shd w:val="clear" w:color="auto" w:fill="auto"/>
            <w:vAlign w:val="center"/>
          </w:tcPr>
          <w:p w14:paraId="2EEA8988" w14:textId="77777777" w:rsidR="003C4E04" w:rsidRPr="00CA7C54" w:rsidRDefault="001E748C">
            <w:pPr>
              <w:widowControl w:val="0"/>
              <w:spacing w:before="0" w:line="240" w:lineRule="auto"/>
              <w:ind w:firstLine="0"/>
              <w:jc w:val="center"/>
              <w:rPr>
                <w:rFonts w:ascii="Arial" w:hAnsi="Arial" w:cs="Arial"/>
                <w:b/>
                <w:color w:val="000000" w:themeColor="text1"/>
                <w:sz w:val="21"/>
                <w:szCs w:val="21"/>
                <w:vertAlign w:val="subscript"/>
              </w:rPr>
            </w:pPr>
            <w:r w:rsidRPr="00CA7C54">
              <w:rPr>
                <w:rFonts w:ascii="Arial" w:hAnsi="Arial" w:cs="Arial"/>
                <w:b/>
                <w:color w:val="000000" w:themeColor="text1"/>
                <w:sz w:val="21"/>
                <w:szCs w:val="21"/>
              </w:rPr>
              <w:t xml:space="preserve">Коефіцієнт послаблення радіаційного впливу (коефіцієнт захисту) </w:t>
            </w:r>
            <w:r w:rsidRPr="00CA7C54">
              <w:rPr>
                <w:rFonts w:ascii="Arial" w:hAnsi="Arial" w:cs="Arial"/>
                <w:i/>
                <w:color w:val="000000" w:themeColor="text1"/>
                <w:sz w:val="21"/>
                <w:szCs w:val="21"/>
              </w:rPr>
              <w:t>К</w:t>
            </w:r>
            <w:r w:rsidRPr="00CA7C54">
              <w:rPr>
                <w:rFonts w:ascii="Arial" w:hAnsi="Arial" w:cs="Arial"/>
                <w:i/>
                <w:color w:val="000000" w:themeColor="text1"/>
                <w:sz w:val="21"/>
                <w:szCs w:val="21"/>
                <w:vertAlign w:val="subscript"/>
              </w:rPr>
              <w:t>з</w:t>
            </w:r>
          </w:p>
        </w:tc>
      </w:tr>
      <w:tr w:rsidR="00CA7C54" w:rsidRPr="00CA7C54" w14:paraId="372D0E4D" w14:textId="77777777">
        <w:trPr>
          <w:trHeight w:val="306"/>
        </w:trPr>
        <w:tc>
          <w:tcPr>
            <w:tcW w:w="9658" w:type="dxa"/>
            <w:gridSpan w:val="4"/>
            <w:shd w:val="clear" w:color="auto" w:fill="auto"/>
          </w:tcPr>
          <w:p w14:paraId="18B6C840"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b/>
                <w:color w:val="000000" w:themeColor="text1"/>
                <w:sz w:val="21"/>
                <w:szCs w:val="21"/>
              </w:rPr>
            </w:pPr>
            <w:r w:rsidRPr="00CA7C54">
              <w:rPr>
                <w:rFonts w:ascii="Arial" w:hAnsi="Arial" w:cs="Arial"/>
                <w:b/>
                <w:color w:val="000000" w:themeColor="text1"/>
                <w:sz w:val="21"/>
                <w:szCs w:val="21"/>
              </w:rPr>
              <w:t>У містах, віднесених до груп цивільного захисту, інших населених пунктах розташованих:</w:t>
            </w:r>
          </w:p>
        </w:tc>
      </w:tr>
      <w:tr w:rsidR="00CA7C54" w:rsidRPr="00CA7C54" w14:paraId="3BA570C5" w14:textId="77777777" w:rsidTr="00187CE6">
        <w:trPr>
          <w:trHeight w:val="551"/>
        </w:trPr>
        <w:tc>
          <w:tcPr>
            <w:tcW w:w="5264" w:type="dxa"/>
            <w:shd w:val="clear" w:color="auto" w:fill="auto"/>
          </w:tcPr>
          <w:p w14:paraId="568A6BA6"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1. У зоні можливих значних (сильних) руйнувань</w:t>
            </w:r>
          </w:p>
        </w:tc>
        <w:tc>
          <w:tcPr>
            <w:tcW w:w="1134" w:type="dxa"/>
            <w:shd w:val="clear" w:color="auto" w:fill="auto"/>
            <w:vAlign w:val="center"/>
          </w:tcPr>
          <w:p w14:paraId="1750AAAE"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П-1</w:t>
            </w:r>
          </w:p>
        </w:tc>
        <w:tc>
          <w:tcPr>
            <w:tcW w:w="1559" w:type="dxa"/>
            <w:shd w:val="clear" w:color="auto" w:fill="auto"/>
            <w:vAlign w:val="center"/>
          </w:tcPr>
          <w:p w14:paraId="0CB093DB"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6D24E656"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1 000</w:t>
            </w:r>
          </w:p>
        </w:tc>
      </w:tr>
      <w:tr w:rsidR="00CA7C54" w:rsidRPr="00CA7C54" w14:paraId="4D15D01B" w14:textId="77777777">
        <w:trPr>
          <w:trHeight w:val="551"/>
        </w:trPr>
        <w:tc>
          <w:tcPr>
            <w:tcW w:w="9658" w:type="dxa"/>
            <w:gridSpan w:val="4"/>
            <w:shd w:val="clear" w:color="auto" w:fill="auto"/>
          </w:tcPr>
          <w:p w14:paraId="54E41566"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b/>
                <w:color w:val="000000" w:themeColor="text1"/>
                <w:sz w:val="21"/>
                <w:szCs w:val="21"/>
              </w:rPr>
            </w:pPr>
            <w:r w:rsidRPr="00CA7C54">
              <w:rPr>
                <w:rFonts w:ascii="Arial" w:hAnsi="Arial" w:cs="Arial"/>
                <w:b/>
                <w:color w:val="000000" w:themeColor="text1"/>
                <w:sz w:val="21"/>
                <w:szCs w:val="21"/>
              </w:rPr>
              <w:t>У містах, не віднесених до груп цивільного захисту, інших населених пунктах, на об’єктах суб’єктів господарювання розміщених:</w:t>
            </w:r>
          </w:p>
        </w:tc>
      </w:tr>
      <w:tr w:rsidR="00CA7C54" w:rsidRPr="00CA7C54" w14:paraId="1A2115C3" w14:textId="77777777" w:rsidTr="00187CE6">
        <w:trPr>
          <w:trHeight w:val="634"/>
        </w:trPr>
        <w:tc>
          <w:tcPr>
            <w:tcW w:w="5264" w:type="dxa"/>
            <w:shd w:val="clear" w:color="auto" w:fill="auto"/>
          </w:tcPr>
          <w:p w14:paraId="58DD84C8"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2. У зоні можливих незначних (слабких) руйнувань навколо атомних енергетичних об’єктів</w:t>
            </w:r>
          </w:p>
        </w:tc>
        <w:tc>
          <w:tcPr>
            <w:tcW w:w="1134" w:type="dxa"/>
            <w:shd w:val="clear" w:color="auto" w:fill="auto"/>
            <w:vAlign w:val="center"/>
          </w:tcPr>
          <w:p w14:paraId="453BD8DA"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П-2</w:t>
            </w:r>
          </w:p>
        </w:tc>
        <w:tc>
          <w:tcPr>
            <w:tcW w:w="1559" w:type="dxa"/>
            <w:shd w:val="clear" w:color="auto" w:fill="auto"/>
            <w:vAlign w:val="center"/>
          </w:tcPr>
          <w:p w14:paraId="23FB0820" w14:textId="77777777" w:rsidR="003C4E04" w:rsidRPr="00CA7C54" w:rsidRDefault="001E748C">
            <w:pPr>
              <w:widowControl w:val="0"/>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707380CC"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1 000</w:t>
            </w:r>
          </w:p>
        </w:tc>
      </w:tr>
      <w:tr w:rsidR="00CA7C54" w:rsidRPr="00CA7C54" w14:paraId="263FFE6E" w14:textId="77777777" w:rsidTr="00187CE6">
        <w:trPr>
          <w:trHeight w:val="862"/>
        </w:trPr>
        <w:tc>
          <w:tcPr>
            <w:tcW w:w="5264" w:type="dxa"/>
            <w:shd w:val="clear" w:color="auto" w:fill="auto"/>
          </w:tcPr>
          <w:p w14:paraId="024C92DD" w14:textId="77777777" w:rsidR="003C4E04" w:rsidRPr="00CA7C54" w:rsidRDefault="001E748C">
            <w:pPr>
              <w:widowControl w:val="0"/>
              <w:pBdr>
                <w:top w:val="nil"/>
                <w:left w:val="nil"/>
                <w:bottom w:val="nil"/>
                <w:right w:val="nil"/>
                <w:between w:val="nil"/>
              </w:pBdr>
              <w:tabs>
                <w:tab w:val="left" w:pos="2177"/>
                <w:tab w:val="left" w:pos="3784"/>
              </w:tabs>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3. На решті території зони можливого небезпечного сильного радіактивного забруднення навколо атомних енергетичних об’єктів</w:t>
            </w:r>
          </w:p>
        </w:tc>
        <w:tc>
          <w:tcPr>
            <w:tcW w:w="1134" w:type="dxa"/>
            <w:shd w:val="clear" w:color="auto" w:fill="auto"/>
            <w:vAlign w:val="center"/>
          </w:tcPr>
          <w:p w14:paraId="4EAAE48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П-3</w:t>
            </w:r>
          </w:p>
        </w:tc>
        <w:tc>
          <w:tcPr>
            <w:tcW w:w="1559" w:type="dxa"/>
            <w:shd w:val="clear" w:color="auto" w:fill="auto"/>
            <w:vAlign w:val="center"/>
          </w:tcPr>
          <w:p w14:paraId="0D0DEA63"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69E58C30"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500</w:t>
            </w:r>
          </w:p>
        </w:tc>
      </w:tr>
      <w:tr w:rsidR="00CA7C54" w:rsidRPr="00CA7C54" w14:paraId="5319D850" w14:textId="77777777" w:rsidTr="00187CE6">
        <w:trPr>
          <w:trHeight w:val="1674"/>
        </w:trPr>
        <w:tc>
          <w:tcPr>
            <w:tcW w:w="5264" w:type="dxa"/>
            <w:shd w:val="clear" w:color="auto" w:fill="auto"/>
          </w:tcPr>
          <w:p w14:paraId="00109882"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4. У 30-кілометровій зоні (зоні спостереження) навколо атомних енергетичних об’єктів, а також у зонах можливого небезпечного сильного радіактивного забруднення за межами зон можливих руйнувань (за винятком зазначених у пункті 2 цієї таблиці)</w:t>
            </w:r>
          </w:p>
        </w:tc>
        <w:tc>
          <w:tcPr>
            <w:tcW w:w="1134" w:type="dxa"/>
            <w:shd w:val="clear" w:color="auto" w:fill="auto"/>
            <w:vAlign w:val="center"/>
          </w:tcPr>
          <w:p w14:paraId="17B75ED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П-5</w:t>
            </w:r>
          </w:p>
        </w:tc>
        <w:tc>
          <w:tcPr>
            <w:tcW w:w="1559" w:type="dxa"/>
            <w:shd w:val="clear" w:color="auto" w:fill="auto"/>
            <w:vAlign w:val="center"/>
          </w:tcPr>
          <w:p w14:paraId="70BE06A4" w14:textId="77777777" w:rsidR="003C4E04" w:rsidRPr="00CA7C54" w:rsidRDefault="001E748C">
            <w:pPr>
              <w:widowControl w:val="0"/>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4511B357"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200</w:t>
            </w:r>
          </w:p>
        </w:tc>
      </w:tr>
      <w:tr w:rsidR="00CA7C54" w:rsidRPr="00CA7C54" w14:paraId="2F567930" w14:textId="77777777" w:rsidTr="00187CE6">
        <w:trPr>
          <w:trHeight w:val="20"/>
        </w:trPr>
        <w:tc>
          <w:tcPr>
            <w:tcW w:w="5264" w:type="dxa"/>
            <w:shd w:val="clear" w:color="auto" w:fill="auto"/>
          </w:tcPr>
          <w:p w14:paraId="218C4863"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5. Поза межами зон можливого небезпечного сильного радіактивного забруднення</w:t>
            </w:r>
          </w:p>
        </w:tc>
        <w:tc>
          <w:tcPr>
            <w:tcW w:w="1134" w:type="dxa"/>
            <w:shd w:val="clear" w:color="auto" w:fill="auto"/>
            <w:vAlign w:val="center"/>
          </w:tcPr>
          <w:p w14:paraId="1DC1B0D8"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П-6</w:t>
            </w:r>
          </w:p>
        </w:tc>
        <w:tc>
          <w:tcPr>
            <w:tcW w:w="1559" w:type="dxa"/>
            <w:shd w:val="clear" w:color="auto" w:fill="auto"/>
            <w:vAlign w:val="center"/>
          </w:tcPr>
          <w:p w14:paraId="2AAA0EC2" w14:textId="77777777" w:rsidR="003C4E04" w:rsidRPr="00CA7C54" w:rsidRDefault="001E748C">
            <w:pPr>
              <w:widowControl w:val="0"/>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5904FC78"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100</w:t>
            </w:r>
          </w:p>
        </w:tc>
      </w:tr>
      <w:tr w:rsidR="00CA7C54" w:rsidRPr="00CA7C54" w14:paraId="30981F5E" w14:textId="77777777">
        <w:trPr>
          <w:trHeight w:val="551"/>
        </w:trPr>
        <w:tc>
          <w:tcPr>
            <w:tcW w:w="9658" w:type="dxa"/>
            <w:gridSpan w:val="4"/>
            <w:shd w:val="clear" w:color="auto" w:fill="auto"/>
          </w:tcPr>
          <w:p w14:paraId="2373E800"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b/>
                <w:color w:val="000000" w:themeColor="text1"/>
                <w:sz w:val="21"/>
                <w:szCs w:val="21"/>
              </w:rPr>
            </w:pPr>
            <w:r w:rsidRPr="00CA7C54">
              <w:rPr>
                <w:rFonts w:ascii="Arial" w:hAnsi="Arial" w:cs="Arial"/>
                <w:b/>
                <w:color w:val="000000" w:themeColor="text1"/>
                <w:sz w:val="21"/>
                <w:szCs w:val="21"/>
              </w:rPr>
              <w:t>На об’єктах суб’єктів господарювання першої та другої категорії цивільного захисту, населених пунктах, розміщених:</w:t>
            </w:r>
          </w:p>
        </w:tc>
      </w:tr>
      <w:tr w:rsidR="003C4E04" w:rsidRPr="00CA7C54" w14:paraId="55008D22" w14:textId="77777777" w:rsidTr="00187CE6">
        <w:trPr>
          <w:trHeight w:val="555"/>
        </w:trPr>
        <w:tc>
          <w:tcPr>
            <w:tcW w:w="5264" w:type="dxa"/>
            <w:shd w:val="clear" w:color="auto" w:fill="auto"/>
          </w:tcPr>
          <w:p w14:paraId="56F82B0B"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6. У зонах незначних (слабких) руйнувань (за винятком зазначених у пункті 2 цієї таблиці)</w:t>
            </w:r>
          </w:p>
        </w:tc>
        <w:tc>
          <w:tcPr>
            <w:tcW w:w="1134" w:type="dxa"/>
            <w:shd w:val="clear" w:color="auto" w:fill="auto"/>
            <w:vAlign w:val="center"/>
          </w:tcPr>
          <w:p w14:paraId="0998334B"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П-4</w:t>
            </w:r>
          </w:p>
        </w:tc>
        <w:tc>
          <w:tcPr>
            <w:tcW w:w="1559" w:type="dxa"/>
            <w:shd w:val="clear" w:color="auto" w:fill="auto"/>
            <w:vAlign w:val="center"/>
          </w:tcPr>
          <w:p w14:paraId="2EF4861C" w14:textId="77777777" w:rsidR="003C4E04" w:rsidRPr="00CA7C54" w:rsidRDefault="001E748C">
            <w:pPr>
              <w:widowControl w:val="0"/>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75C9AD0C"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200</w:t>
            </w:r>
          </w:p>
        </w:tc>
      </w:tr>
    </w:tbl>
    <w:p w14:paraId="11334139" w14:textId="77777777" w:rsidR="003C4E04" w:rsidRPr="00CA7C54" w:rsidRDefault="003C4E04">
      <w:pPr>
        <w:rPr>
          <w:color w:val="000000" w:themeColor="text1"/>
          <w:sz w:val="21"/>
          <w:szCs w:val="21"/>
        </w:rPr>
      </w:pPr>
    </w:p>
    <w:p w14:paraId="7659E273" w14:textId="77777777" w:rsidR="003C4E04" w:rsidRPr="00CA7C54" w:rsidRDefault="001E748C">
      <w:pPr>
        <w:pStyle w:val="2"/>
        <w:pBdr>
          <w:top w:val="nil"/>
          <w:left w:val="nil"/>
          <w:bottom w:val="nil"/>
          <w:right w:val="nil"/>
          <w:between w:val="nil"/>
        </w:pBdr>
        <w:ind w:firstLine="0"/>
        <w:jc w:val="center"/>
        <w:rPr>
          <w:color w:val="000000" w:themeColor="text1"/>
        </w:rPr>
      </w:pPr>
      <w:r w:rsidRPr="00CA7C54">
        <w:rPr>
          <w:color w:val="000000" w:themeColor="text1"/>
        </w:rPr>
        <w:br w:type="page"/>
      </w:r>
    </w:p>
    <w:p w14:paraId="71513F33" w14:textId="77777777" w:rsidR="003C4E04" w:rsidRPr="00CA7C54" w:rsidRDefault="001E748C">
      <w:pPr>
        <w:pStyle w:val="2"/>
        <w:pBdr>
          <w:top w:val="nil"/>
          <w:left w:val="nil"/>
          <w:bottom w:val="nil"/>
          <w:right w:val="nil"/>
          <w:between w:val="nil"/>
        </w:pBdr>
        <w:spacing w:before="0" w:after="0" w:line="240" w:lineRule="auto"/>
        <w:ind w:firstLine="0"/>
        <w:jc w:val="center"/>
        <w:rPr>
          <w:rFonts w:ascii="Arial" w:hAnsi="Arial"/>
          <w:b w:val="0"/>
          <w:bCs w:val="0"/>
          <w:color w:val="000000" w:themeColor="text1"/>
          <w:sz w:val="22"/>
          <w:szCs w:val="22"/>
        </w:rPr>
      </w:pPr>
      <w:bookmarkStart w:id="36" w:name="_heading=h.5bdkk95fllar" w:colFirst="0" w:colLast="0"/>
      <w:bookmarkEnd w:id="36"/>
      <w:r w:rsidRPr="00CA7C54">
        <w:rPr>
          <w:rFonts w:ascii="Arial" w:hAnsi="Arial"/>
          <w:b w:val="0"/>
          <w:bCs w:val="0"/>
          <w:color w:val="000000" w:themeColor="text1"/>
          <w:sz w:val="22"/>
          <w:szCs w:val="22"/>
        </w:rPr>
        <w:lastRenderedPageBreak/>
        <w:t>ДОДАТОК Б</w:t>
      </w:r>
    </w:p>
    <w:p w14:paraId="54F2773F" w14:textId="77777777" w:rsidR="003C4E04" w:rsidRPr="00CA7C54" w:rsidRDefault="001E748C">
      <w:pPr>
        <w:spacing w:before="0" w:line="240" w:lineRule="auto"/>
        <w:ind w:firstLine="0"/>
        <w:jc w:val="center"/>
        <w:rPr>
          <w:color w:val="000000" w:themeColor="text1"/>
        </w:rPr>
      </w:pPr>
      <w:r w:rsidRPr="00CA7C54">
        <w:rPr>
          <w:color w:val="000000" w:themeColor="text1"/>
        </w:rPr>
        <w:t>(обов’язковий)</w:t>
      </w:r>
    </w:p>
    <w:p w14:paraId="74D57F21" w14:textId="77777777" w:rsidR="003C4E04" w:rsidRPr="00CA7C54" w:rsidRDefault="003C4E04">
      <w:pPr>
        <w:spacing w:before="0" w:line="240" w:lineRule="auto"/>
        <w:ind w:firstLine="0"/>
        <w:jc w:val="center"/>
        <w:rPr>
          <w:rFonts w:eastAsia="Times New Roman"/>
          <w:b/>
          <w:color w:val="000000" w:themeColor="text1"/>
        </w:rPr>
      </w:pPr>
    </w:p>
    <w:p w14:paraId="3D7B0DA0" w14:textId="77777777" w:rsidR="003C4E04" w:rsidRPr="00CA7C54" w:rsidRDefault="001E748C">
      <w:pPr>
        <w:spacing w:line="240" w:lineRule="auto"/>
        <w:ind w:firstLine="0"/>
        <w:jc w:val="center"/>
        <w:rPr>
          <w:rFonts w:eastAsia="Calibri"/>
          <w:b/>
          <w:smallCaps/>
          <w:color w:val="000000" w:themeColor="text1"/>
          <w:sz w:val="21"/>
          <w:szCs w:val="21"/>
        </w:rPr>
      </w:pPr>
      <w:r w:rsidRPr="00CA7C54">
        <w:rPr>
          <w:rFonts w:eastAsia="Calibri"/>
          <w:b/>
          <w:smallCaps/>
          <w:color w:val="000000" w:themeColor="text1"/>
          <w:sz w:val="21"/>
          <w:szCs w:val="21"/>
        </w:rPr>
        <w:t>НОРМИ МІНІМАЛЬНОЇ ПЛОЩІ НА ОДНУ ОСОБУ В ОСНОВНОМУ ПРИМІЩЕННІ</w:t>
      </w:r>
      <w:r w:rsidRPr="00CA7C54">
        <w:rPr>
          <w:rFonts w:eastAsia="Calibri"/>
          <w:b/>
          <w:smallCaps/>
          <w:color w:val="000000" w:themeColor="text1"/>
          <w:sz w:val="21"/>
          <w:szCs w:val="21"/>
        </w:rPr>
        <w:br/>
        <w:t>ДЛЯ УКРИТТЯ</w:t>
      </w:r>
    </w:p>
    <w:p w14:paraId="34C677AF" w14:textId="77777777" w:rsidR="003C4E04" w:rsidRPr="00CA7C54" w:rsidRDefault="003C4E04">
      <w:pPr>
        <w:spacing w:line="240" w:lineRule="auto"/>
        <w:rPr>
          <w:b/>
          <w:color w:val="000000" w:themeColor="text1"/>
          <w:sz w:val="21"/>
          <w:szCs w:val="21"/>
        </w:rPr>
      </w:pPr>
    </w:p>
    <w:p w14:paraId="3CEA5622" w14:textId="77777777" w:rsidR="003C4E04" w:rsidRPr="00CA7C54" w:rsidRDefault="001E748C">
      <w:pPr>
        <w:spacing w:line="240" w:lineRule="auto"/>
        <w:rPr>
          <w:color w:val="000000" w:themeColor="text1"/>
          <w:sz w:val="21"/>
          <w:szCs w:val="21"/>
        </w:rPr>
      </w:pPr>
      <w:r w:rsidRPr="00CA7C54">
        <w:rPr>
          <w:b/>
          <w:color w:val="000000" w:themeColor="text1"/>
          <w:sz w:val="21"/>
          <w:szCs w:val="21"/>
        </w:rPr>
        <w:t>Таблиця Б.1</w:t>
      </w:r>
      <w:r w:rsidRPr="00CA7C54">
        <w:rPr>
          <w:color w:val="000000" w:themeColor="text1"/>
          <w:sz w:val="21"/>
          <w:szCs w:val="21"/>
        </w:rPr>
        <w:t xml:space="preserve"> – Норма мінімальної площі на одну особу в основному приміщенні для укриття у захисних спорудах та СПП</w:t>
      </w:r>
    </w:p>
    <w:p w14:paraId="04F71CDD" w14:textId="77777777" w:rsidR="003C4E04" w:rsidRPr="00CA7C54" w:rsidRDefault="003C4E04">
      <w:pPr>
        <w:spacing w:line="240" w:lineRule="auto"/>
        <w:rPr>
          <w:color w:val="000000" w:themeColor="text1"/>
        </w:rPr>
      </w:pPr>
    </w:p>
    <w:tbl>
      <w:tblPr>
        <w:tblStyle w:val="affffffffffffffffffffffffffffffffa"/>
        <w:tblW w:w="996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73"/>
        <w:gridCol w:w="2556"/>
        <w:gridCol w:w="992"/>
        <w:gridCol w:w="1134"/>
        <w:gridCol w:w="4412"/>
      </w:tblGrid>
      <w:tr w:rsidR="00CA7C54" w:rsidRPr="00CA7C54" w14:paraId="3DDF4389" w14:textId="77777777" w:rsidTr="0006174C">
        <w:trPr>
          <w:trHeight w:val="645"/>
        </w:trPr>
        <w:tc>
          <w:tcPr>
            <w:tcW w:w="873" w:type="dxa"/>
            <w:vMerge w:val="restart"/>
            <w:shd w:val="clear" w:color="auto" w:fill="auto"/>
            <w:tcMar>
              <w:top w:w="100" w:type="dxa"/>
              <w:left w:w="100" w:type="dxa"/>
              <w:bottom w:w="100" w:type="dxa"/>
              <w:right w:w="100" w:type="dxa"/>
            </w:tcMar>
          </w:tcPr>
          <w:p w14:paraId="171AFAD7" w14:textId="77777777" w:rsidR="003C4E04" w:rsidRPr="0006174C" w:rsidRDefault="001E748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w:t>
            </w:r>
          </w:p>
          <w:p w14:paraId="0115D88F" w14:textId="77777777" w:rsidR="003C4E04" w:rsidRPr="0006174C" w:rsidRDefault="001E748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з/п</w:t>
            </w:r>
          </w:p>
        </w:tc>
        <w:tc>
          <w:tcPr>
            <w:tcW w:w="2556" w:type="dxa"/>
            <w:vMerge w:val="restart"/>
            <w:shd w:val="clear" w:color="auto" w:fill="auto"/>
            <w:tcMar>
              <w:top w:w="100" w:type="dxa"/>
              <w:left w:w="100" w:type="dxa"/>
              <w:bottom w:w="100" w:type="dxa"/>
              <w:right w:w="100" w:type="dxa"/>
            </w:tcMar>
            <w:vAlign w:val="center"/>
          </w:tcPr>
          <w:p w14:paraId="3E21A03E" w14:textId="77777777" w:rsidR="003C4E04" w:rsidRPr="0006174C" w:rsidRDefault="001E748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Тип підприємства / закладу, для якого про</w:t>
            </w:r>
            <w:r w:rsidR="008F7F58" w:rsidRPr="0006174C">
              <w:rPr>
                <w:rFonts w:ascii="Arial" w:hAnsi="Arial" w:cs="Arial"/>
                <w:b/>
                <w:color w:val="000000" w:themeColor="text1"/>
                <w:sz w:val="20"/>
                <w:szCs w:val="20"/>
              </w:rPr>
              <w:t>є</w:t>
            </w:r>
            <w:r w:rsidRPr="0006174C">
              <w:rPr>
                <w:rFonts w:ascii="Arial" w:hAnsi="Arial" w:cs="Arial"/>
                <w:b/>
                <w:color w:val="000000" w:themeColor="text1"/>
                <w:sz w:val="20"/>
                <w:szCs w:val="20"/>
              </w:rPr>
              <w:t>ктується захисна споруда / СПП</w:t>
            </w:r>
          </w:p>
        </w:tc>
        <w:tc>
          <w:tcPr>
            <w:tcW w:w="2126" w:type="dxa"/>
            <w:gridSpan w:val="2"/>
            <w:shd w:val="clear" w:color="auto" w:fill="auto"/>
            <w:tcMar>
              <w:top w:w="100" w:type="dxa"/>
              <w:left w:w="100" w:type="dxa"/>
              <w:bottom w:w="100" w:type="dxa"/>
              <w:right w:w="100" w:type="dxa"/>
            </w:tcMar>
          </w:tcPr>
          <w:p w14:paraId="2B0D5081" w14:textId="77777777" w:rsidR="003C4E04" w:rsidRPr="0006174C" w:rsidRDefault="001E748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Мінімальна площа</w:t>
            </w:r>
            <w:r w:rsidRPr="0006174C">
              <w:rPr>
                <w:rFonts w:ascii="Arial" w:hAnsi="Arial" w:cs="Arial"/>
                <w:b/>
                <w:color w:val="000000" w:themeColor="text1"/>
                <w:sz w:val="20"/>
                <w:szCs w:val="20"/>
                <w:vertAlign w:val="superscript"/>
              </w:rPr>
              <w:t>1) 2)</w:t>
            </w:r>
            <w:r w:rsidRPr="0006174C">
              <w:rPr>
                <w:rFonts w:ascii="Arial" w:hAnsi="Arial" w:cs="Arial"/>
                <w:b/>
                <w:color w:val="000000" w:themeColor="text1"/>
                <w:sz w:val="20"/>
                <w:szCs w:val="20"/>
              </w:rPr>
              <w:t>,</w:t>
            </w:r>
            <w:r w:rsidR="006D6D0F" w:rsidRPr="0006174C">
              <w:rPr>
                <w:rFonts w:ascii="Arial" w:hAnsi="Arial" w:cs="Arial"/>
                <w:b/>
                <w:color w:val="000000" w:themeColor="text1"/>
                <w:sz w:val="20"/>
                <w:szCs w:val="20"/>
              </w:rPr>
              <w:t xml:space="preserve"> м</w:t>
            </w:r>
            <w:r w:rsidR="006D6D0F" w:rsidRPr="0006174C">
              <w:rPr>
                <w:rFonts w:ascii="Arial" w:hAnsi="Arial" w:cs="Arial"/>
                <w:b/>
                <w:color w:val="000000" w:themeColor="text1"/>
                <w:sz w:val="20"/>
                <w:szCs w:val="20"/>
                <w:vertAlign w:val="superscript"/>
              </w:rPr>
              <w:t>2</w:t>
            </w:r>
          </w:p>
          <w:p w14:paraId="38D62BF9" w14:textId="77777777" w:rsidR="003C4E04" w:rsidRPr="0006174C" w:rsidRDefault="003C4E04">
            <w:pPr>
              <w:widowControl w:val="0"/>
              <w:spacing w:before="0"/>
              <w:ind w:firstLine="0"/>
              <w:jc w:val="center"/>
              <w:rPr>
                <w:rFonts w:ascii="Arial" w:hAnsi="Arial" w:cs="Arial"/>
                <w:b/>
                <w:color w:val="000000" w:themeColor="text1"/>
                <w:sz w:val="20"/>
                <w:szCs w:val="20"/>
              </w:rPr>
            </w:pPr>
          </w:p>
        </w:tc>
        <w:tc>
          <w:tcPr>
            <w:tcW w:w="4412" w:type="dxa"/>
            <w:vMerge w:val="restart"/>
            <w:shd w:val="clear" w:color="auto" w:fill="auto"/>
            <w:tcMar>
              <w:top w:w="100" w:type="dxa"/>
              <w:left w:w="100" w:type="dxa"/>
              <w:bottom w:w="100" w:type="dxa"/>
              <w:right w:w="100" w:type="dxa"/>
            </w:tcMar>
            <w:vAlign w:val="center"/>
          </w:tcPr>
          <w:p w14:paraId="0B61B166" w14:textId="77777777" w:rsidR="003C4E04" w:rsidRPr="0006174C" w:rsidRDefault="001E748C">
            <w:pPr>
              <w:widowControl w:val="0"/>
              <w:spacing w:before="0"/>
              <w:ind w:firstLine="0"/>
              <w:jc w:val="center"/>
              <w:rPr>
                <w:rFonts w:ascii="Arial" w:hAnsi="Arial" w:cs="Arial"/>
                <w:b/>
                <w:color w:val="000000" w:themeColor="text1"/>
                <w:sz w:val="20"/>
                <w:szCs w:val="20"/>
                <w:vertAlign w:val="superscript"/>
              </w:rPr>
            </w:pPr>
            <w:r w:rsidRPr="0006174C">
              <w:rPr>
                <w:rFonts w:ascii="Arial" w:hAnsi="Arial" w:cs="Arial"/>
                <w:b/>
                <w:color w:val="000000" w:themeColor="text1"/>
                <w:sz w:val="20"/>
                <w:szCs w:val="20"/>
              </w:rPr>
              <w:t xml:space="preserve">Спосіб розміщення та відсоток осіб, що підлягають укриттю </w:t>
            </w:r>
            <w:r w:rsidRPr="0006174C">
              <w:rPr>
                <w:rFonts w:ascii="Arial" w:hAnsi="Arial" w:cs="Arial"/>
                <w:b/>
                <w:color w:val="000000" w:themeColor="text1"/>
                <w:sz w:val="20"/>
                <w:szCs w:val="20"/>
                <w:vertAlign w:val="superscript"/>
              </w:rPr>
              <w:t>3)</w:t>
            </w:r>
          </w:p>
        </w:tc>
      </w:tr>
      <w:tr w:rsidR="00CA7C54" w:rsidRPr="00CA7C54" w14:paraId="3F8E8A0B" w14:textId="77777777" w:rsidTr="0006174C">
        <w:trPr>
          <w:trHeight w:val="641"/>
        </w:trPr>
        <w:tc>
          <w:tcPr>
            <w:tcW w:w="873" w:type="dxa"/>
            <w:vMerge/>
            <w:shd w:val="clear" w:color="auto" w:fill="auto"/>
            <w:tcMar>
              <w:top w:w="100" w:type="dxa"/>
              <w:left w:w="100" w:type="dxa"/>
              <w:bottom w:w="100" w:type="dxa"/>
              <w:right w:w="100" w:type="dxa"/>
            </w:tcMar>
          </w:tcPr>
          <w:p w14:paraId="392EC26D"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vertAlign w:val="superscript"/>
              </w:rPr>
            </w:pPr>
          </w:p>
        </w:tc>
        <w:tc>
          <w:tcPr>
            <w:tcW w:w="2556" w:type="dxa"/>
            <w:vMerge/>
            <w:shd w:val="clear" w:color="auto" w:fill="auto"/>
            <w:tcMar>
              <w:top w:w="100" w:type="dxa"/>
              <w:left w:w="100" w:type="dxa"/>
              <w:bottom w:w="100" w:type="dxa"/>
              <w:right w:w="100" w:type="dxa"/>
            </w:tcMar>
            <w:vAlign w:val="center"/>
          </w:tcPr>
          <w:p w14:paraId="51E59967"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vertAlign w:val="superscript"/>
              </w:rPr>
            </w:pPr>
          </w:p>
        </w:tc>
        <w:tc>
          <w:tcPr>
            <w:tcW w:w="992" w:type="dxa"/>
            <w:shd w:val="clear" w:color="auto" w:fill="auto"/>
            <w:tcMar>
              <w:top w:w="100" w:type="dxa"/>
              <w:left w:w="100" w:type="dxa"/>
              <w:bottom w:w="100" w:type="dxa"/>
              <w:right w:w="100" w:type="dxa"/>
            </w:tcMar>
          </w:tcPr>
          <w:p w14:paraId="703ADB08" w14:textId="77777777" w:rsidR="003C4E04" w:rsidRPr="0006174C" w:rsidRDefault="001E748C">
            <w:pPr>
              <w:widowControl w:val="0"/>
              <w:spacing w:before="0"/>
              <w:ind w:firstLine="0"/>
              <w:jc w:val="center"/>
              <w:rPr>
                <w:rFonts w:ascii="Arial" w:hAnsi="Arial" w:cs="Arial"/>
                <w:color w:val="000000" w:themeColor="text1"/>
                <w:sz w:val="20"/>
                <w:szCs w:val="20"/>
              </w:rPr>
            </w:pPr>
            <w:r w:rsidRPr="0006174C">
              <w:rPr>
                <w:rFonts w:ascii="Arial" w:hAnsi="Arial" w:cs="Arial"/>
                <w:b/>
                <w:color w:val="000000" w:themeColor="text1"/>
                <w:sz w:val="20"/>
                <w:szCs w:val="20"/>
              </w:rPr>
              <w:t>нове будів-ництво</w:t>
            </w:r>
          </w:p>
        </w:tc>
        <w:tc>
          <w:tcPr>
            <w:tcW w:w="1134" w:type="dxa"/>
          </w:tcPr>
          <w:p w14:paraId="1CF1C136" w14:textId="77777777" w:rsidR="003C4E04" w:rsidRPr="0006174C" w:rsidRDefault="0006174C">
            <w:pPr>
              <w:widowControl w:val="0"/>
              <w:spacing w:before="0"/>
              <w:ind w:firstLine="0"/>
              <w:jc w:val="center"/>
              <w:rPr>
                <w:rFonts w:ascii="Arial" w:hAnsi="Arial" w:cs="Arial"/>
                <w:color w:val="000000" w:themeColor="text1"/>
                <w:spacing w:val="-4"/>
                <w:sz w:val="20"/>
                <w:szCs w:val="20"/>
              </w:rPr>
            </w:pPr>
            <w:r>
              <w:rPr>
                <w:rFonts w:ascii="Arial" w:hAnsi="Arial" w:cs="Arial"/>
                <w:b/>
                <w:color w:val="000000" w:themeColor="text1"/>
                <w:spacing w:val="-4"/>
                <w:sz w:val="20"/>
                <w:szCs w:val="20"/>
              </w:rPr>
              <w:t>р</w:t>
            </w:r>
            <w:r w:rsidR="001E748C" w:rsidRPr="0006174C">
              <w:rPr>
                <w:rFonts w:ascii="Arial" w:hAnsi="Arial" w:cs="Arial"/>
                <w:b/>
                <w:color w:val="000000" w:themeColor="text1"/>
                <w:spacing w:val="-4"/>
                <w:sz w:val="20"/>
                <w:szCs w:val="20"/>
              </w:rPr>
              <w:t>екон</w:t>
            </w:r>
            <w:r>
              <w:rPr>
                <w:rFonts w:ascii="Arial" w:hAnsi="Arial" w:cs="Arial"/>
                <w:b/>
                <w:color w:val="000000" w:themeColor="text1"/>
                <w:spacing w:val="-4"/>
                <w:sz w:val="20"/>
                <w:szCs w:val="20"/>
              </w:rPr>
              <w:t>-</w:t>
            </w:r>
            <w:r w:rsidR="001E748C" w:rsidRPr="0006174C">
              <w:rPr>
                <w:rFonts w:ascii="Arial" w:hAnsi="Arial" w:cs="Arial"/>
                <w:b/>
                <w:color w:val="000000" w:themeColor="text1"/>
                <w:spacing w:val="-4"/>
                <w:sz w:val="20"/>
                <w:szCs w:val="20"/>
              </w:rPr>
              <w:t>струкція</w:t>
            </w:r>
          </w:p>
        </w:tc>
        <w:tc>
          <w:tcPr>
            <w:tcW w:w="4412" w:type="dxa"/>
            <w:vMerge/>
            <w:shd w:val="clear" w:color="auto" w:fill="auto"/>
            <w:tcMar>
              <w:top w:w="100" w:type="dxa"/>
              <w:left w:w="100" w:type="dxa"/>
              <w:bottom w:w="100" w:type="dxa"/>
              <w:right w:w="100" w:type="dxa"/>
            </w:tcMar>
            <w:vAlign w:val="center"/>
          </w:tcPr>
          <w:p w14:paraId="018DFF7A"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color w:val="000000" w:themeColor="text1"/>
                <w:sz w:val="21"/>
                <w:szCs w:val="21"/>
              </w:rPr>
            </w:pPr>
          </w:p>
        </w:tc>
      </w:tr>
      <w:tr w:rsidR="00CA7C54" w:rsidRPr="00CA7C54" w14:paraId="32CC1497" w14:textId="77777777" w:rsidTr="0006174C">
        <w:trPr>
          <w:trHeight w:val="641"/>
        </w:trPr>
        <w:tc>
          <w:tcPr>
            <w:tcW w:w="873" w:type="dxa"/>
            <w:shd w:val="clear" w:color="auto" w:fill="auto"/>
            <w:tcMar>
              <w:top w:w="100" w:type="dxa"/>
              <w:left w:w="100" w:type="dxa"/>
              <w:bottom w:w="100" w:type="dxa"/>
              <w:right w:w="100" w:type="dxa"/>
            </w:tcMar>
          </w:tcPr>
          <w:p w14:paraId="5A528D9B"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w:t>
            </w:r>
          </w:p>
        </w:tc>
        <w:tc>
          <w:tcPr>
            <w:tcW w:w="2556" w:type="dxa"/>
            <w:shd w:val="clear" w:color="auto" w:fill="auto"/>
            <w:tcMar>
              <w:top w:w="100" w:type="dxa"/>
              <w:left w:w="100" w:type="dxa"/>
              <w:bottom w:w="100" w:type="dxa"/>
              <w:right w:w="100" w:type="dxa"/>
            </w:tcMar>
          </w:tcPr>
          <w:p w14:paraId="2C0F4ECC"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Підприємства відповідно [1]</w:t>
            </w:r>
          </w:p>
        </w:tc>
        <w:tc>
          <w:tcPr>
            <w:tcW w:w="992" w:type="dxa"/>
            <w:shd w:val="clear" w:color="auto" w:fill="auto"/>
            <w:tcMar>
              <w:top w:w="100" w:type="dxa"/>
              <w:left w:w="100" w:type="dxa"/>
              <w:bottom w:w="100" w:type="dxa"/>
              <w:right w:w="100" w:type="dxa"/>
            </w:tcMar>
            <w:vAlign w:val="center"/>
          </w:tcPr>
          <w:p w14:paraId="624EB9A1"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0,5</w:t>
            </w:r>
          </w:p>
        </w:tc>
        <w:tc>
          <w:tcPr>
            <w:tcW w:w="1134" w:type="dxa"/>
            <w:vAlign w:val="center"/>
          </w:tcPr>
          <w:p w14:paraId="0134474F"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0,4</w:t>
            </w:r>
          </w:p>
        </w:tc>
        <w:tc>
          <w:tcPr>
            <w:tcW w:w="4412" w:type="dxa"/>
            <w:shd w:val="clear" w:color="auto" w:fill="auto"/>
            <w:tcMar>
              <w:top w:w="100" w:type="dxa"/>
              <w:left w:w="100" w:type="dxa"/>
              <w:bottom w:w="100" w:type="dxa"/>
              <w:right w:w="100" w:type="dxa"/>
            </w:tcMar>
          </w:tcPr>
          <w:p w14:paraId="4DA051CD"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 xml:space="preserve">на двоярусних нарах  для захисних споруд </w:t>
            </w:r>
          </w:p>
          <w:p w14:paraId="1A6F16D8"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 триярусних нарах  для захисних споруд</w:t>
            </w:r>
          </w:p>
        </w:tc>
      </w:tr>
      <w:tr w:rsidR="00CA7C54" w:rsidRPr="00CA7C54" w14:paraId="5B5B5350" w14:textId="77777777" w:rsidTr="0006174C">
        <w:trPr>
          <w:trHeight w:val="2238"/>
        </w:trPr>
        <w:tc>
          <w:tcPr>
            <w:tcW w:w="873" w:type="dxa"/>
            <w:shd w:val="clear" w:color="auto" w:fill="auto"/>
            <w:tcMar>
              <w:top w:w="100" w:type="dxa"/>
              <w:left w:w="100" w:type="dxa"/>
              <w:bottom w:w="100" w:type="dxa"/>
              <w:right w:w="100" w:type="dxa"/>
            </w:tcMar>
          </w:tcPr>
          <w:p w14:paraId="5A3EC091"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2</w:t>
            </w:r>
          </w:p>
        </w:tc>
        <w:tc>
          <w:tcPr>
            <w:tcW w:w="2556" w:type="dxa"/>
            <w:shd w:val="clear" w:color="auto" w:fill="auto"/>
            <w:tcMar>
              <w:top w:w="100" w:type="dxa"/>
              <w:left w:w="100" w:type="dxa"/>
              <w:bottom w:w="100" w:type="dxa"/>
              <w:right w:w="100" w:type="dxa"/>
            </w:tcMar>
          </w:tcPr>
          <w:p w14:paraId="346E611B"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охорони здоров’я (основне приміщення для укриття персоналу та пацієнтів, які не потребують госпіталізації)</w:t>
            </w:r>
          </w:p>
        </w:tc>
        <w:tc>
          <w:tcPr>
            <w:tcW w:w="992" w:type="dxa"/>
            <w:shd w:val="clear" w:color="auto" w:fill="auto"/>
            <w:tcMar>
              <w:top w:w="100" w:type="dxa"/>
              <w:left w:w="100" w:type="dxa"/>
              <w:bottom w:w="100" w:type="dxa"/>
              <w:right w:w="100" w:type="dxa"/>
            </w:tcMar>
            <w:vAlign w:val="center"/>
          </w:tcPr>
          <w:p w14:paraId="099007E7"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1,1 </w:t>
            </w:r>
          </w:p>
        </w:tc>
        <w:tc>
          <w:tcPr>
            <w:tcW w:w="1134" w:type="dxa"/>
            <w:vAlign w:val="center"/>
          </w:tcPr>
          <w:p w14:paraId="758BDA25"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412" w:type="dxa"/>
            <w:shd w:val="clear" w:color="auto" w:fill="auto"/>
            <w:tcMar>
              <w:top w:w="100" w:type="dxa"/>
              <w:left w:w="100" w:type="dxa"/>
              <w:bottom w:w="100" w:type="dxa"/>
              <w:right w:w="100" w:type="dxa"/>
            </w:tcMar>
          </w:tcPr>
          <w:p w14:paraId="113CA43F"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 ліжках - не менше 20% осіб, що підлягають укриттю</w:t>
            </w:r>
          </w:p>
          <w:p w14:paraId="5E75C074"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розрахунку приймаються мінімальні площі при на одну особу:</w:t>
            </w:r>
          </w:p>
          <w:p w14:paraId="66650B7D" w14:textId="77777777" w:rsidR="003C4E04" w:rsidRPr="00CA7C54" w:rsidRDefault="001E748C">
            <w:pPr>
              <w:widowControl w:val="0"/>
              <w:pBdr>
                <w:top w:val="nil"/>
                <w:left w:val="nil"/>
                <w:bottom w:val="nil"/>
                <w:right w:val="nil"/>
                <w:between w:val="nil"/>
              </w:pBdr>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1,4 м</w:t>
            </w:r>
            <w:r w:rsidRPr="00CA7C54">
              <w:rPr>
                <w:rFonts w:ascii="Arial" w:hAnsi="Arial" w:cs="Arial"/>
                <w:bCs/>
                <w:color w:val="000000" w:themeColor="text1"/>
                <w:sz w:val="21"/>
                <w:szCs w:val="21"/>
                <w:vertAlign w:val="superscript"/>
              </w:rPr>
              <w:t>2</w:t>
            </w:r>
            <w:r w:rsidRPr="00CA7C54">
              <w:rPr>
                <w:rFonts w:ascii="Arial" w:hAnsi="Arial" w:cs="Arial"/>
                <w:bCs/>
                <w:color w:val="000000" w:themeColor="text1"/>
                <w:sz w:val="21"/>
                <w:szCs w:val="21"/>
              </w:rPr>
              <w:t xml:space="preserve"> при розміщенні на двоярусних ліжках,</w:t>
            </w:r>
          </w:p>
          <w:p w14:paraId="4D76A316" w14:textId="77777777" w:rsidR="003C4E04" w:rsidRPr="00CA7C54" w:rsidRDefault="001E748C">
            <w:pPr>
              <w:widowControl w:val="0"/>
              <w:pBdr>
                <w:top w:val="nil"/>
                <w:left w:val="nil"/>
                <w:bottom w:val="nil"/>
                <w:right w:val="nil"/>
                <w:between w:val="nil"/>
              </w:pBdr>
              <w:spacing w:before="0"/>
              <w:ind w:firstLine="0"/>
              <w:jc w:val="left"/>
              <w:rPr>
                <w:rFonts w:ascii="Arial" w:hAnsi="Arial" w:cs="Arial"/>
                <w:bCs/>
                <w:strike/>
                <w:color w:val="000000" w:themeColor="text1"/>
                <w:sz w:val="21"/>
                <w:szCs w:val="21"/>
              </w:rPr>
            </w:pPr>
            <w:r w:rsidRPr="00CA7C54">
              <w:rPr>
                <w:rFonts w:ascii="Arial" w:hAnsi="Arial" w:cs="Arial"/>
                <w:bCs/>
                <w:color w:val="000000" w:themeColor="text1"/>
                <w:sz w:val="21"/>
                <w:szCs w:val="21"/>
              </w:rPr>
              <w:t>1,1 м</w:t>
            </w:r>
            <w:r w:rsidRPr="00CA7C54">
              <w:rPr>
                <w:rFonts w:ascii="Arial" w:hAnsi="Arial" w:cs="Arial"/>
                <w:bCs/>
                <w:color w:val="000000" w:themeColor="text1"/>
                <w:sz w:val="21"/>
                <w:szCs w:val="21"/>
                <w:vertAlign w:val="superscript"/>
              </w:rPr>
              <w:t>2</w:t>
            </w:r>
            <w:r w:rsidRPr="00CA7C54">
              <w:rPr>
                <w:rFonts w:ascii="Arial" w:hAnsi="Arial" w:cs="Arial"/>
                <w:bCs/>
                <w:color w:val="000000" w:themeColor="text1"/>
                <w:sz w:val="21"/>
                <w:szCs w:val="21"/>
              </w:rPr>
              <w:t xml:space="preserve"> при розміщенні на місцях для сидіння</w:t>
            </w:r>
          </w:p>
        </w:tc>
      </w:tr>
      <w:tr w:rsidR="00CA7C54" w:rsidRPr="00CA7C54" w14:paraId="4C282114" w14:textId="77777777" w:rsidTr="0006174C">
        <w:trPr>
          <w:trHeight w:val="443"/>
        </w:trPr>
        <w:tc>
          <w:tcPr>
            <w:tcW w:w="873" w:type="dxa"/>
            <w:shd w:val="clear" w:color="auto" w:fill="auto"/>
            <w:tcMar>
              <w:top w:w="100" w:type="dxa"/>
              <w:left w:w="100" w:type="dxa"/>
              <w:bottom w:w="100" w:type="dxa"/>
              <w:right w:w="100" w:type="dxa"/>
            </w:tcMar>
          </w:tcPr>
          <w:p w14:paraId="59981979"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3</w:t>
            </w:r>
          </w:p>
        </w:tc>
        <w:tc>
          <w:tcPr>
            <w:tcW w:w="2556" w:type="dxa"/>
            <w:shd w:val="clear" w:color="auto" w:fill="auto"/>
            <w:tcMar>
              <w:top w:w="100" w:type="dxa"/>
              <w:left w:w="100" w:type="dxa"/>
              <w:bottom w:w="100" w:type="dxa"/>
              <w:right w:w="100" w:type="dxa"/>
            </w:tcMar>
          </w:tcPr>
          <w:p w14:paraId="3B162900"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Громадські будівлі</w:t>
            </w:r>
          </w:p>
        </w:tc>
        <w:tc>
          <w:tcPr>
            <w:tcW w:w="2126" w:type="dxa"/>
            <w:gridSpan w:val="2"/>
            <w:shd w:val="clear" w:color="auto" w:fill="auto"/>
            <w:tcMar>
              <w:top w:w="100" w:type="dxa"/>
              <w:left w:w="100" w:type="dxa"/>
              <w:bottom w:w="100" w:type="dxa"/>
              <w:right w:w="100" w:type="dxa"/>
            </w:tcMar>
            <w:vAlign w:val="center"/>
          </w:tcPr>
          <w:p w14:paraId="5C2FAA02"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0,6 </w:t>
            </w:r>
            <w:r w:rsidRPr="00CA7C54">
              <w:rPr>
                <w:rFonts w:ascii="Arial" w:hAnsi="Arial" w:cs="Arial"/>
                <w:bCs/>
                <w:color w:val="000000" w:themeColor="text1"/>
                <w:sz w:val="21"/>
                <w:szCs w:val="21"/>
                <w:vertAlign w:val="superscript"/>
              </w:rPr>
              <w:t>3)</w:t>
            </w:r>
          </w:p>
        </w:tc>
        <w:tc>
          <w:tcPr>
            <w:tcW w:w="4412" w:type="dxa"/>
            <w:shd w:val="clear" w:color="auto" w:fill="auto"/>
            <w:tcMar>
              <w:top w:w="100" w:type="dxa"/>
              <w:left w:w="100" w:type="dxa"/>
              <w:bottom w:w="100" w:type="dxa"/>
              <w:right w:w="100" w:type="dxa"/>
            </w:tcMar>
          </w:tcPr>
          <w:p w14:paraId="2B99F3BB"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CA7C54" w:rsidRPr="00CA7C54" w14:paraId="7D39657E" w14:textId="77777777" w:rsidTr="0006174C">
        <w:trPr>
          <w:trHeight w:val="443"/>
        </w:trPr>
        <w:tc>
          <w:tcPr>
            <w:tcW w:w="873" w:type="dxa"/>
            <w:shd w:val="clear" w:color="auto" w:fill="auto"/>
            <w:tcMar>
              <w:top w:w="100" w:type="dxa"/>
              <w:left w:w="100" w:type="dxa"/>
              <w:bottom w:w="100" w:type="dxa"/>
              <w:right w:w="100" w:type="dxa"/>
            </w:tcMar>
          </w:tcPr>
          <w:p w14:paraId="3A89D56E"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4</w:t>
            </w:r>
          </w:p>
        </w:tc>
        <w:tc>
          <w:tcPr>
            <w:tcW w:w="2556" w:type="dxa"/>
            <w:shd w:val="clear" w:color="auto" w:fill="auto"/>
            <w:tcMar>
              <w:top w:w="100" w:type="dxa"/>
              <w:left w:w="100" w:type="dxa"/>
              <w:bottom w:w="100" w:type="dxa"/>
              <w:right w:w="100" w:type="dxa"/>
            </w:tcMar>
          </w:tcPr>
          <w:p w14:paraId="54CDBCA5"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Житлові будинки</w:t>
            </w:r>
          </w:p>
        </w:tc>
        <w:tc>
          <w:tcPr>
            <w:tcW w:w="2126" w:type="dxa"/>
            <w:gridSpan w:val="2"/>
            <w:shd w:val="clear" w:color="auto" w:fill="auto"/>
            <w:tcMar>
              <w:top w:w="100" w:type="dxa"/>
              <w:left w:w="100" w:type="dxa"/>
              <w:bottom w:w="100" w:type="dxa"/>
              <w:right w:w="100" w:type="dxa"/>
            </w:tcMar>
            <w:vAlign w:val="center"/>
          </w:tcPr>
          <w:p w14:paraId="73CADE0E"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0,6 </w:t>
            </w:r>
            <w:r w:rsidRPr="00CA7C54">
              <w:rPr>
                <w:rFonts w:ascii="Arial" w:hAnsi="Arial" w:cs="Arial"/>
                <w:bCs/>
                <w:color w:val="000000" w:themeColor="text1"/>
                <w:sz w:val="21"/>
                <w:szCs w:val="21"/>
                <w:vertAlign w:val="superscript"/>
              </w:rPr>
              <w:t>3)</w:t>
            </w:r>
          </w:p>
        </w:tc>
        <w:tc>
          <w:tcPr>
            <w:tcW w:w="4412" w:type="dxa"/>
            <w:shd w:val="clear" w:color="auto" w:fill="auto"/>
            <w:tcMar>
              <w:top w:w="100" w:type="dxa"/>
              <w:left w:w="100" w:type="dxa"/>
              <w:bottom w:w="100" w:type="dxa"/>
              <w:right w:w="100" w:type="dxa"/>
            </w:tcMar>
          </w:tcPr>
          <w:p w14:paraId="48B5B04D"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CA7C54" w:rsidRPr="00CA7C54" w14:paraId="71399AF7" w14:textId="77777777" w:rsidTr="0006174C">
        <w:trPr>
          <w:trHeight w:val="443"/>
        </w:trPr>
        <w:tc>
          <w:tcPr>
            <w:tcW w:w="873" w:type="dxa"/>
            <w:shd w:val="clear" w:color="auto" w:fill="auto"/>
            <w:tcMar>
              <w:top w:w="100" w:type="dxa"/>
              <w:left w:w="100" w:type="dxa"/>
              <w:bottom w:w="100" w:type="dxa"/>
              <w:right w:w="100" w:type="dxa"/>
            </w:tcMar>
          </w:tcPr>
          <w:p w14:paraId="1DF785B7"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w:t>
            </w:r>
          </w:p>
        </w:tc>
        <w:tc>
          <w:tcPr>
            <w:tcW w:w="2556" w:type="dxa"/>
            <w:shd w:val="clear" w:color="auto" w:fill="auto"/>
            <w:tcMar>
              <w:top w:w="100" w:type="dxa"/>
              <w:left w:w="100" w:type="dxa"/>
              <w:bottom w:w="100" w:type="dxa"/>
              <w:right w:w="100" w:type="dxa"/>
            </w:tcMar>
          </w:tcPr>
          <w:p w14:paraId="3BD18989"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освіти, у тому числі:</w:t>
            </w:r>
          </w:p>
        </w:tc>
        <w:tc>
          <w:tcPr>
            <w:tcW w:w="2126" w:type="dxa"/>
            <w:gridSpan w:val="2"/>
            <w:shd w:val="clear" w:color="auto" w:fill="auto"/>
            <w:tcMar>
              <w:top w:w="100" w:type="dxa"/>
              <w:left w:w="100" w:type="dxa"/>
              <w:bottom w:w="100" w:type="dxa"/>
              <w:right w:w="100" w:type="dxa"/>
            </w:tcMar>
            <w:vAlign w:val="center"/>
          </w:tcPr>
          <w:p w14:paraId="70960E41"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c>
          <w:tcPr>
            <w:tcW w:w="4412" w:type="dxa"/>
            <w:shd w:val="clear" w:color="auto" w:fill="auto"/>
            <w:tcMar>
              <w:top w:w="100" w:type="dxa"/>
              <w:left w:w="100" w:type="dxa"/>
              <w:bottom w:w="100" w:type="dxa"/>
              <w:right w:w="100" w:type="dxa"/>
            </w:tcMar>
          </w:tcPr>
          <w:p w14:paraId="47ADCA60"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3C4E04" w:rsidRPr="00CA7C54" w14:paraId="55AC1B9F" w14:textId="77777777" w:rsidTr="0006174C">
        <w:trPr>
          <w:trHeight w:val="2202"/>
        </w:trPr>
        <w:tc>
          <w:tcPr>
            <w:tcW w:w="873" w:type="dxa"/>
            <w:shd w:val="clear" w:color="auto" w:fill="auto"/>
            <w:tcMar>
              <w:top w:w="100" w:type="dxa"/>
              <w:left w:w="100" w:type="dxa"/>
              <w:bottom w:w="100" w:type="dxa"/>
              <w:right w:w="100" w:type="dxa"/>
            </w:tcMar>
          </w:tcPr>
          <w:p w14:paraId="49FAEA9E"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5.1</w:t>
            </w:r>
          </w:p>
        </w:tc>
        <w:tc>
          <w:tcPr>
            <w:tcW w:w="2556" w:type="dxa"/>
            <w:shd w:val="clear" w:color="auto" w:fill="auto"/>
            <w:tcMar>
              <w:top w:w="100" w:type="dxa"/>
              <w:left w:w="100" w:type="dxa"/>
              <w:bottom w:w="100" w:type="dxa"/>
              <w:right w:w="100" w:type="dxa"/>
            </w:tcMar>
          </w:tcPr>
          <w:p w14:paraId="3A079706"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дошкільної освіти</w:t>
            </w:r>
          </w:p>
        </w:tc>
        <w:tc>
          <w:tcPr>
            <w:tcW w:w="992" w:type="dxa"/>
            <w:shd w:val="clear" w:color="auto" w:fill="auto"/>
            <w:tcMar>
              <w:top w:w="100" w:type="dxa"/>
              <w:left w:w="100" w:type="dxa"/>
              <w:bottom w:w="100" w:type="dxa"/>
              <w:right w:w="100" w:type="dxa"/>
            </w:tcMar>
          </w:tcPr>
          <w:p w14:paraId="5039A309"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3,0</w:t>
            </w:r>
          </w:p>
        </w:tc>
        <w:tc>
          <w:tcPr>
            <w:tcW w:w="1134" w:type="dxa"/>
          </w:tcPr>
          <w:p w14:paraId="4E3072A6"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2,0</w:t>
            </w:r>
          </w:p>
        </w:tc>
        <w:tc>
          <w:tcPr>
            <w:tcW w:w="4412" w:type="dxa"/>
            <w:shd w:val="clear" w:color="auto" w:fill="auto"/>
            <w:tcMar>
              <w:top w:w="100" w:type="dxa"/>
              <w:left w:w="100" w:type="dxa"/>
              <w:bottom w:w="100" w:type="dxa"/>
              <w:right w:w="100" w:type="dxa"/>
            </w:tcMar>
          </w:tcPr>
          <w:p w14:paraId="33AB371A"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 місцях для сидіння - 100% вихователів та персоналу;</w:t>
            </w:r>
          </w:p>
          <w:p w14:paraId="4A6DB065"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 xml:space="preserve">на двоярусних/триярусних ліжках-трансформерах та на стільцях за столиками - 100% вихованців; </w:t>
            </w:r>
          </w:p>
          <w:p w14:paraId="6D14E543"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додатково рекомендується передбачати ігрову зону (3м х 4м) на кожну групу із 20 дітей, шафу для іграшок та поличку для взуття</w:t>
            </w:r>
          </w:p>
        </w:tc>
      </w:tr>
    </w:tbl>
    <w:p w14:paraId="46AC8C56" w14:textId="77777777" w:rsidR="003C4E04" w:rsidRPr="00CA7C54" w:rsidRDefault="003C4E04">
      <w:pPr>
        <w:rPr>
          <w:bCs/>
          <w:color w:val="000000" w:themeColor="text1"/>
          <w:sz w:val="21"/>
          <w:szCs w:val="21"/>
        </w:rPr>
      </w:pPr>
    </w:p>
    <w:p w14:paraId="64909675" w14:textId="77777777" w:rsidR="003C4E04" w:rsidRPr="00CA7C54" w:rsidRDefault="001E748C">
      <w:pPr>
        <w:spacing w:before="0" w:after="160" w:line="259" w:lineRule="auto"/>
        <w:ind w:firstLine="0"/>
        <w:jc w:val="left"/>
        <w:rPr>
          <w:bCs/>
          <w:color w:val="000000" w:themeColor="text1"/>
          <w:sz w:val="21"/>
          <w:szCs w:val="21"/>
        </w:rPr>
      </w:pPr>
      <w:r w:rsidRPr="00CA7C54">
        <w:rPr>
          <w:bCs/>
          <w:color w:val="000000" w:themeColor="text1"/>
          <w:sz w:val="21"/>
          <w:szCs w:val="21"/>
        </w:rPr>
        <w:br w:type="page"/>
      </w:r>
    </w:p>
    <w:p w14:paraId="19E8F0D4" w14:textId="77777777" w:rsidR="003C4E04" w:rsidRPr="00CA7C54" w:rsidRDefault="001E748C" w:rsidP="003B320F">
      <w:pPr>
        <w:ind w:firstLine="142"/>
        <w:jc w:val="left"/>
        <w:rPr>
          <w:bCs/>
          <w:color w:val="000000" w:themeColor="text1"/>
          <w:sz w:val="21"/>
          <w:szCs w:val="21"/>
        </w:rPr>
      </w:pPr>
      <w:r w:rsidRPr="00CA7C54">
        <w:rPr>
          <w:bCs/>
          <w:color w:val="000000" w:themeColor="text1"/>
          <w:sz w:val="21"/>
          <w:szCs w:val="21"/>
        </w:rPr>
        <w:lastRenderedPageBreak/>
        <w:t xml:space="preserve">Продовження </w:t>
      </w:r>
      <w:r w:rsidR="003B320F" w:rsidRPr="00CA7C54">
        <w:rPr>
          <w:bCs/>
          <w:color w:val="000000" w:themeColor="text1"/>
          <w:sz w:val="21"/>
          <w:szCs w:val="21"/>
        </w:rPr>
        <w:t>Таблиці</w:t>
      </w:r>
      <w:r w:rsidRPr="00CA7C54">
        <w:rPr>
          <w:bCs/>
          <w:color w:val="000000" w:themeColor="text1"/>
          <w:sz w:val="21"/>
          <w:szCs w:val="21"/>
        </w:rPr>
        <w:t xml:space="preserve"> Б</w:t>
      </w:r>
      <w:r w:rsidR="003B320F" w:rsidRPr="00CA7C54">
        <w:rPr>
          <w:bCs/>
          <w:color w:val="000000" w:themeColor="text1"/>
          <w:sz w:val="21"/>
          <w:szCs w:val="21"/>
        </w:rPr>
        <w:t>.1</w:t>
      </w:r>
    </w:p>
    <w:tbl>
      <w:tblPr>
        <w:tblStyle w:val="affffffffffffffffffffffffffffffffb"/>
        <w:tblW w:w="100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51"/>
        <w:gridCol w:w="2410"/>
        <w:gridCol w:w="992"/>
        <w:gridCol w:w="1134"/>
        <w:gridCol w:w="4700"/>
      </w:tblGrid>
      <w:tr w:rsidR="0006174C" w:rsidRPr="00CA7C54" w14:paraId="1CBE57B6" w14:textId="77777777" w:rsidTr="0006174C">
        <w:trPr>
          <w:trHeight w:val="785"/>
        </w:trPr>
        <w:tc>
          <w:tcPr>
            <w:tcW w:w="851" w:type="dxa"/>
            <w:vMerge w:val="restart"/>
            <w:shd w:val="clear" w:color="auto" w:fill="auto"/>
            <w:tcMar>
              <w:top w:w="100" w:type="dxa"/>
              <w:left w:w="100" w:type="dxa"/>
              <w:bottom w:w="100" w:type="dxa"/>
              <w:right w:w="100" w:type="dxa"/>
            </w:tcMar>
          </w:tcPr>
          <w:p w14:paraId="186BC531" w14:textId="77777777" w:rsidR="0006174C" w:rsidRPr="0006174C" w:rsidRDefault="0006174C" w:rsidP="0006174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w:t>
            </w:r>
          </w:p>
          <w:p w14:paraId="7978A9E9" w14:textId="77777777" w:rsidR="0006174C" w:rsidRPr="0006174C" w:rsidRDefault="0006174C" w:rsidP="0006174C">
            <w:pPr>
              <w:widowControl w:val="0"/>
              <w:spacing w:before="0"/>
              <w:ind w:firstLine="0"/>
              <w:jc w:val="center"/>
              <w:rPr>
                <w:bCs/>
                <w:color w:val="000000" w:themeColor="text1"/>
                <w:sz w:val="20"/>
                <w:szCs w:val="20"/>
              </w:rPr>
            </w:pPr>
            <w:r w:rsidRPr="0006174C">
              <w:rPr>
                <w:rFonts w:ascii="Arial" w:hAnsi="Arial" w:cs="Arial"/>
                <w:b/>
                <w:color w:val="000000" w:themeColor="text1"/>
                <w:sz w:val="20"/>
                <w:szCs w:val="20"/>
              </w:rPr>
              <w:t>з/п</w:t>
            </w:r>
          </w:p>
        </w:tc>
        <w:tc>
          <w:tcPr>
            <w:tcW w:w="2410" w:type="dxa"/>
            <w:vMerge w:val="restart"/>
            <w:shd w:val="clear" w:color="auto" w:fill="auto"/>
            <w:tcMar>
              <w:top w:w="100" w:type="dxa"/>
              <w:left w:w="100" w:type="dxa"/>
              <w:bottom w:w="100" w:type="dxa"/>
              <w:right w:w="100" w:type="dxa"/>
            </w:tcMar>
            <w:vAlign w:val="center"/>
          </w:tcPr>
          <w:p w14:paraId="251B49EE" w14:textId="77777777" w:rsidR="0006174C" w:rsidRPr="0006174C" w:rsidRDefault="0006174C" w:rsidP="0006174C">
            <w:pPr>
              <w:widowControl w:val="0"/>
              <w:spacing w:before="0"/>
              <w:ind w:firstLine="0"/>
              <w:jc w:val="left"/>
              <w:rPr>
                <w:bCs/>
                <w:color w:val="000000" w:themeColor="text1"/>
                <w:sz w:val="20"/>
                <w:szCs w:val="20"/>
              </w:rPr>
            </w:pPr>
            <w:r w:rsidRPr="0006174C">
              <w:rPr>
                <w:rFonts w:ascii="Arial" w:hAnsi="Arial" w:cs="Arial"/>
                <w:b/>
                <w:color w:val="000000" w:themeColor="text1"/>
                <w:sz w:val="20"/>
                <w:szCs w:val="20"/>
              </w:rPr>
              <w:t>Тип підприємства / закладу, для якого проєктується захисна споруда / СПП</w:t>
            </w:r>
          </w:p>
        </w:tc>
        <w:tc>
          <w:tcPr>
            <w:tcW w:w="2126" w:type="dxa"/>
            <w:gridSpan w:val="2"/>
            <w:shd w:val="clear" w:color="auto" w:fill="auto"/>
            <w:tcMar>
              <w:top w:w="100" w:type="dxa"/>
              <w:left w:w="100" w:type="dxa"/>
              <w:bottom w:w="100" w:type="dxa"/>
              <w:right w:w="100" w:type="dxa"/>
            </w:tcMar>
          </w:tcPr>
          <w:p w14:paraId="22EFF3B9" w14:textId="77777777" w:rsidR="0006174C" w:rsidRPr="0006174C" w:rsidRDefault="0006174C" w:rsidP="0006174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Мінімальна площа</w:t>
            </w:r>
            <w:r w:rsidRPr="0006174C">
              <w:rPr>
                <w:rFonts w:ascii="Arial" w:hAnsi="Arial" w:cs="Arial"/>
                <w:b/>
                <w:color w:val="000000" w:themeColor="text1"/>
                <w:sz w:val="20"/>
                <w:szCs w:val="20"/>
                <w:vertAlign w:val="superscript"/>
              </w:rPr>
              <w:t>1) 2)</w:t>
            </w:r>
            <w:r w:rsidRPr="0006174C">
              <w:rPr>
                <w:rFonts w:ascii="Arial" w:hAnsi="Arial" w:cs="Arial"/>
                <w:b/>
                <w:color w:val="000000" w:themeColor="text1"/>
                <w:sz w:val="20"/>
                <w:szCs w:val="20"/>
              </w:rPr>
              <w:t>,</w:t>
            </w:r>
            <w:r w:rsidR="006D6D0F">
              <w:rPr>
                <w:rFonts w:ascii="Arial" w:hAnsi="Arial" w:cs="Arial"/>
                <w:b/>
                <w:color w:val="000000" w:themeColor="text1"/>
                <w:sz w:val="20"/>
                <w:szCs w:val="20"/>
              </w:rPr>
              <w:t>м</w:t>
            </w:r>
            <w:r w:rsidR="006D6D0F" w:rsidRPr="006D6D0F">
              <w:rPr>
                <w:rFonts w:ascii="Arial" w:hAnsi="Arial" w:cs="Arial"/>
                <w:b/>
                <w:color w:val="000000" w:themeColor="text1"/>
                <w:sz w:val="20"/>
                <w:szCs w:val="20"/>
                <w:vertAlign w:val="superscript"/>
              </w:rPr>
              <w:t>2</w:t>
            </w:r>
          </w:p>
          <w:p w14:paraId="6A65C5E3" w14:textId="77777777" w:rsidR="0006174C" w:rsidRPr="0006174C" w:rsidRDefault="0006174C" w:rsidP="0006174C">
            <w:pPr>
              <w:widowControl w:val="0"/>
              <w:spacing w:before="0"/>
              <w:ind w:firstLine="0"/>
              <w:jc w:val="center"/>
              <w:rPr>
                <w:bCs/>
                <w:color w:val="000000" w:themeColor="text1"/>
                <w:sz w:val="20"/>
                <w:szCs w:val="20"/>
              </w:rPr>
            </w:pPr>
          </w:p>
        </w:tc>
        <w:tc>
          <w:tcPr>
            <w:tcW w:w="4700" w:type="dxa"/>
            <w:vMerge w:val="restart"/>
            <w:shd w:val="clear" w:color="auto" w:fill="auto"/>
            <w:tcMar>
              <w:top w:w="100" w:type="dxa"/>
              <w:left w:w="100" w:type="dxa"/>
              <w:bottom w:w="100" w:type="dxa"/>
              <w:right w:w="100" w:type="dxa"/>
            </w:tcMar>
            <w:vAlign w:val="center"/>
          </w:tcPr>
          <w:p w14:paraId="5D6592D2" w14:textId="77777777" w:rsidR="0006174C" w:rsidRPr="0006174C" w:rsidRDefault="0006174C" w:rsidP="0006174C">
            <w:pPr>
              <w:widowControl w:val="0"/>
              <w:spacing w:before="0"/>
              <w:ind w:firstLine="0"/>
              <w:jc w:val="center"/>
              <w:rPr>
                <w:bCs/>
                <w:color w:val="000000" w:themeColor="text1"/>
                <w:sz w:val="20"/>
                <w:szCs w:val="20"/>
              </w:rPr>
            </w:pPr>
            <w:r w:rsidRPr="0006174C">
              <w:rPr>
                <w:rFonts w:ascii="Arial" w:hAnsi="Arial" w:cs="Arial"/>
                <w:b/>
                <w:color w:val="000000" w:themeColor="text1"/>
                <w:sz w:val="20"/>
                <w:szCs w:val="20"/>
              </w:rPr>
              <w:t xml:space="preserve">Спосіб розміщення та відсоток осіб, що підлягають укриттю </w:t>
            </w:r>
            <w:r w:rsidRPr="0006174C">
              <w:rPr>
                <w:rFonts w:ascii="Arial" w:hAnsi="Arial" w:cs="Arial"/>
                <w:b/>
                <w:color w:val="000000" w:themeColor="text1"/>
                <w:sz w:val="20"/>
                <w:szCs w:val="20"/>
                <w:vertAlign w:val="superscript"/>
              </w:rPr>
              <w:t>3)</w:t>
            </w:r>
          </w:p>
        </w:tc>
      </w:tr>
      <w:tr w:rsidR="0006174C" w:rsidRPr="00CA7C54" w14:paraId="70A18E5A" w14:textId="77777777" w:rsidTr="0006174C">
        <w:trPr>
          <w:trHeight w:val="785"/>
        </w:trPr>
        <w:tc>
          <w:tcPr>
            <w:tcW w:w="851" w:type="dxa"/>
            <w:vMerge/>
            <w:shd w:val="clear" w:color="auto" w:fill="auto"/>
            <w:tcMar>
              <w:top w:w="100" w:type="dxa"/>
              <w:left w:w="100" w:type="dxa"/>
              <w:bottom w:w="100" w:type="dxa"/>
              <w:right w:w="100" w:type="dxa"/>
            </w:tcMar>
          </w:tcPr>
          <w:p w14:paraId="4D37974A" w14:textId="77777777" w:rsidR="0006174C" w:rsidRPr="00CA7C54" w:rsidRDefault="0006174C" w:rsidP="0006174C">
            <w:pPr>
              <w:widowControl w:val="0"/>
              <w:spacing w:before="0"/>
              <w:ind w:firstLine="0"/>
              <w:jc w:val="center"/>
              <w:rPr>
                <w:bCs/>
                <w:color w:val="000000" w:themeColor="text1"/>
                <w:sz w:val="21"/>
                <w:szCs w:val="21"/>
              </w:rPr>
            </w:pPr>
          </w:p>
        </w:tc>
        <w:tc>
          <w:tcPr>
            <w:tcW w:w="2410" w:type="dxa"/>
            <w:vMerge/>
            <w:shd w:val="clear" w:color="auto" w:fill="auto"/>
            <w:tcMar>
              <w:top w:w="100" w:type="dxa"/>
              <w:left w:w="100" w:type="dxa"/>
              <w:bottom w:w="100" w:type="dxa"/>
              <w:right w:w="100" w:type="dxa"/>
            </w:tcMar>
          </w:tcPr>
          <w:p w14:paraId="68B3D83C" w14:textId="77777777" w:rsidR="0006174C" w:rsidRPr="00CA7C54" w:rsidRDefault="0006174C" w:rsidP="0006174C">
            <w:pPr>
              <w:widowControl w:val="0"/>
              <w:spacing w:before="0"/>
              <w:ind w:firstLine="0"/>
              <w:jc w:val="left"/>
              <w:rPr>
                <w:bCs/>
                <w:color w:val="000000" w:themeColor="text1"/>
                <w:sz w:val="21"/>
                <w:szCs w:val="21"/>
              </w:rPr>
            </w:pPr>
          </w:p>
        </w:tc>
        <w:tc>
          <w:tcPr>
            <w:tcW w:w="992" w:type="dxa"/>
            <w:shd w:val="clear" w:color="auto" w:fill="auto"/>
            <w:tcMar>
              <w:top w:w="100" w:type="dxa"/>
              <w:left w:w="100" w:type="dxa"/>
              <w:bottom w:w="100" w:type="dxa"/>
              <w:right w:w="100" w:type="dxa"/>
            </w:tcMar>
          </w:tcPr>
          <w:p w14:paraId="567B5448" w14:textId="77777777" w:rsidR="0006174C" w:rsidRPr="0006174C" w:rsidRDefault="0006174C" w:rsidP="0006174C">
            <w:pPr>
              <w:widowControl w:val="0"/>
              <w:spacing w:before="0"/>
              <w:ind w:firstLine="0"/>
              <w:jc w:val="center"/>
              <w:rPr>
                <w:bCs/>
                <w:color w:val="000000" w:themeColor="text1"/>
                <w:sz w:val="20"/>
                <w:szCs w:val="20"/>
              </w:rPr>
            </w:pPr>
            <w:r w:rsidRPr="0006174C">
              <w:rPr>
                <w:rFonts w:ascii="Arial" w:hAnsi="Arial" w:cs="Arial"/>
                <w:b/>
                <w:color w:val="000000" w:themeColor="text1"/>
                <w:sz w:val="20"/>
                <w:szCs w:val="20"/>
              </w:rPr>
              <w:t>нове будів-ництво</w:t>
            </w:r>
          </w:p>
        </w:tc>
        <w:tc>
          <w:tcPr>
            <w:tcW w:w="1134" w:type="dxa"/>
          </w:tcPr>
          <w:p w14:paraId="545D29DE" w14:textId="77777777" w:rsidR="0006174C" w:rsidRPr="0006174C" w:rsidRDefault="0006174C" w:rsidP="0006174C">
            <w:pPr>
              <w:widowControl w:val="0"/>
              <w:spacing w:before="0"/>
              <w:ind w:firstLine="0"/>
              <w:jc w:val="center"/>
              <w:rPr>
                <w:bCs/>
                <w:color w:val="000000" w:themeColor="text1"/>
                <w:sz w:val="20"/>
                <w:szCs w:val="20"/>
              </w:rPr>
            </w:pPr>
            <w:r>
              <w:rPr>
                <w:rFonts w:ascii="Arial" w:hAnsi="Arial" w:cs="Arial"/>
                <w:b/>
                <w:color w:val="000000" w:themeColor="text1"/>
                <w:sz w:val="20"/>
                <w:szCs w:val="20"/>
              </w:rPr>
              <w:t>р</w:t>
            </w:r>
            <w:r w:rsidRPr="0006174C">
              <w:rPr>
                <w:rFonts w:ascii="Arial" w:hAnsi="Arial" w:cs="Arial"/>
                <w:b/>
                <w:color w:val="000000" w:themeColor="text1"/>
                <w:sz w:val="20"/>
                <w:szCs w:val="20"/>
              </w:rPr>
              <w:t>екон</w:t>
            </w:r>
            <w:r>
              <w:rPr>
                <w:rFonts w:ascii="Arial" w:hAnsi="Arial" w:cs="Arial"/>
                <w:b/>
                <w:color w:val="000000" w:themeColor="text1"/>
                <w:sz w:val="20"/>
                <w:szCs w:val="20"/>
              </w:rPr>
              <w:t>-</w:t>
            </w:r>
            <w:r w:rsidRPr="0006174C">
              <w:rPr>
                <w:rFonts w:ascii="Arial" w:hAnsi="Arial" w:cs="Arial"/>
                <w:b/>
                <w:color w:val="000000" w:themeColor="text1"/>
                <w:sz w:val="20"/>
                <w:szCs w:val="20"/>
              </w:rPr>
              <w:t>струкція</w:t>
            </w:r>
          </w:p>
        </w:tc>
        <w:tc>
          <w:tcPr>
            <w:tcW w:w="4700" w:type="dxa"/>
            <w:vMerge/>
            <w:shd w:val="clear" w:color="auto" w:fill="auto"/>
            <w:tcMar>
              <w:top w:w="100" w:type="dxa"/>
              <w:left w:w="100" w:type="dxa"/>
              <w:bottom w:w="100" w:type="dxa"/>
              <w:right w:w="100" w:type="dxa"/>
            </w:tcMar>
          </w:tcPr>
          <w:p w14:paraId="151C1014" w14:textId="77777777" w:rsidR="0006174C" w:rsidRPr="00CA7C54" w:rsidRDefault="0006174C" w:rsidP="0006174C">
            <w:pPr>
              <w:widowControl w:val="0"/>
              <w:spacing w:before="0"/>
              <w:ind w:firstLine="0"/>
              <w:jc w:val="center"/>
              <w:rPr>
                <w:bCs/>
                <w:color w:val="000000" w:themeColor="text1"/>
                <w:sz w:val="21"/>
                <w:szCs w:val="21"/>
              </w:rPr>
            </w:pPr>
          </w:p>
        </w:tc>
      </w:tr>
      <w:tr w:rsidR="0006174C" w:rsidRPr="00CA7C54" w14:paraId="65F44A43" w14:textId="77777777" w:rsidTr="0006174C">
        <w:trPr>
          <w:trHeight w:val="785"/>
        </w:trPr>
        <w:tc>
          <w:tcPr>
            <w:tcW w:w="851" w:type="dxa"/>
            <w:shd w:val="clear" w:color="auto" w:fill="auto"/>
            <w:tcMar>
              <w:top w:w="100" w:type="dxa"/>
              <w:left w:w="100" w:type="dxa"/>
              <w:bottom w:w="100" w:type="dxa"/>
              <w:right w:w="100" w:type="dxa"/>
            </w:tcMar>
          </w:tcPr>
          <w:p w14:paraId="00DF10A7"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5.2</w:t>
            </w:r>
          </w:p>
        </w:tc>
        <w:tc>
          <w:tcPr>
            <w:tcW w:w="2410" w:type="dxa"/>
            <w:shd w:val="clear" w:color="auto" w:fill="auto"/>
            <w:tcMar>
              <w:top w:w="100" w:type="dxa"/>
              <w:left w:w="100" w:type="dxa"/>
              <w:bottom w:w="100" w:type="dxa"/>
              <w:right w:w="100" w:type="dxa"/>
            </w:tcMar>
          </w:tcPr>
          <w:p w14:paraId="088E972F"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загальної середньої освіти, у тому числі:</w:t>
            </w:r>
          </w:p>
        </w:tc>
        <w:tc>
          <w:tcPr>
            <w:tcW w:w="992" w:type="dxa"/>
            <w:shd w:val="clear" w:color="auto" w:fill="auto"/>
            <w:tcMar>
              <w:top w:w="100" w:type="dxa"/>
              <w:left w:w="100" w:type="dxa"/>
              <w:bottom w:w="100" w:type="dxa"/>
              <w:right w:w="100" w:type="dxa"/>
            </w:tcMar>
          </w:tcPr>
          <w:p w14:paraId="614AA89C"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1,5</w:t>
            </w:r>
          </w:p>
        </w:tc>
        <w:tc>
          <w:tcPr>
            <w:tcW w:w="1134" w:type="dxa"/>
          </w:tcPr>
          <w:p w14:paraId="08335968"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4700" w:type="dxa"/>
            <w:shd w:val="clear" w:color="auto" w:fill="auto"/>
            <w:tcMar>
              <w:top w:w="100" w:type="dxa"/>
              <w:left w:w="100" w:type="dxa"/>
              <w:bottom w:w="100" w:type="dxa"/>
              <w:right w:w="100" w:type="dxa"/>
            </w:tcMar>
          </w:tcPr>
          <w:p w14:paraId="34F995CB"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06174C" w:rsidRPr="00CA7C54" w14:paraId="2ED68820" w14:textId="77777777" w:rsidTr="0006174C">
        <w:trPr>
          <w:trHeight w:val="2064"/>
        </w:trPr>
        <w:tc>
          <w:tcPr>
            <w:tcW w:w="851" w:type="dxa"/>
            <w:shd w:val="clear" w:color="auto" w:fill="auto"/>
            <w:tcMar>
              <w:top w:w="100" w:type="dxa"/>
              <w:left w:w="100" w:type="dxa"/>
              <w:bottom w:w="100" w:type="dxa"/>
              <w:right w:w="100" w:type="dxa"/>
            </w:tcMar>
          </w:tcPr>
          <w:p w14:paraId="67D1CB0C"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5.2.1</w:t>
            </w:r>
          </w:p>
        </w:tc>
        <w:tc>
          <w:tcPr>
            <w:tcW w:w="2410" w:type="dxa"/>
            <w:shd w:val="clear" w:color="auto" w:fill="auto"/>
            <w:tcMar>
              <w:top w:w="100" w:type="dxa"/>
              <w:left w:w="100" w:type="dxa"/>
              <w:bottom w:w="100" w:type="dxa"/>
              <w:right w:w="100" w:type="dxa"/>
            </w:tcMar>
          </w:tcPr>
          <w:p w14:paraId="76677BF9"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 xml:space="preserve">для учнів 1 - 2 класів </w:t>
            </w:r>
          </w:p>
        </w:tc>
        <w:tc>
          <w:tcPr>
            <w:tcW w:w="992" w:type="dxa"/>
            <w:shd w:val="clear" w:color="auto" w:fill="auto"/>
            <w:tcMar>
              <w:top w:w="100" w:type="dxa"/>
              <w:left w:w="100" w:type="dxa"/>
              <w:bottom w:w="100" w:type="dxa"/>
              <w:right w:w="100" w:type="dxa"/>
            </w:tcMar>
          </w:tcPr>
          <w:p w14:paraId="7B0BFFE1"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2,0</w:t>
            </w:r>
          </w:p>
        </w:tc>
        <w:tc>
          <w:tcPr>
            <w:tcW w:w="1134" w:type="dxa"/>
          </w:tcPr>
          <w:p w14:paraId="166467D5"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1,6</w:t>
            </w:r>
          </w:p>
        </w:tc>
        <w:tc>
          <w:tcPr>
            <w:tcW w:w="4700" w:type="dxa"/>
            <w:shd w:val="clear" w:color="auto" w:fill="auto"/>
            <w:tcMar>
              <w:top w:w="100" w:type="dxa"/>
              <w:left w:w="100" w:type="dxa"/>
              <w:bottom w:w="100" w:type="dxa"/>
              <w:right w:w="100" w:type="dxa"/>
            </w:tcMar>
          </w:tcPr>
          <w:p w14:paraId="24F00B0E"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 двоярусних/триярусних ліжках-трансформерах та на стільцях за столиками - 100% учасників освітнього процесу;</w:t>
            </w:r>
          </w:p>
          <w:p w14:paraId="27E4E62A"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 xml:space="preserve"> додатково рекомендується передбачати ігрову зону (3м х 4м) на кожний клас;</w:t>
            </w:r>
          </w:p>
          <w:p w14:paraId="135E9714"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працівників закладу на місцях для сидіння.</w:t>
            </w:r>
          </w:p>
        </w:tc>
      </w:tr>
      <w:tr w:rsidR="0006174C" w:rsidRPr="00CA7C54" w14:paraId="43F1757F" w14:textId="77777777" w:rsidTr="0006174C">
        <w:trPr>
          <w:trHeight w:val="1561"/>
        </w:trPr>
        <w:tc>
          <w:tcPr>
            <w:tcW w:w="851" w:type="dxa"/>
            <w:shd w:val="clear" w:color="auto" w:fill="auto"/>
            <w:tcMar>
              <w:top w:w="100" w:type="dxa"/>
              <w:left w:w="100" w:type="dxa"/>
              <w:bottom w:w="100" w:type="dxa"/>
              <w:right w:w="100" w:type="dxa"/>
            </w:tcMar>
          </w:tcPr>
          <w:p w14:paraId="7730ED64"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5.2.2</w:t>
            </w:r>
          </w:p>
        </w:tc>
        <w:tc>
          <w:tcPr>
            <w:tcW w:w="2410" w:type="dxa"/>
            <w:shd w:val="clear" w:color="auto" w:fill="auto"/>
            <w:tcMar>
              <w:top w:w="100" w:type="dxa"/>
              <w:left w:w="100" w:type="dxa"/>
              <w:bottom w:w="100" w:type="dxa"/>
              <w:right w:w="100" w:type="dxa"/>
            </w:tcMar>
          </w:tcPr>
          <w:p w14:paraId="2B101741"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учнів 3 - 4 класів</w:t>
            </w:r>
          </w:p>
        </w:tc>
        <w:tc>
          <w:tcPr>
            <w:tcW w:w="992" w:type="dxa"/>
            <w:shd w:val="clear" w:color="auto" w:fill="auto"/>
            <w:tcMar>
              <w:top w:w="100" w:type="dxa"/>
              <w:left w:w="100" w:type="dxa"/>
              <w:bottom w:w="100" w:type="dxa"/>
              <w:right w:w="100" w:type="dxa"/>
            </w:tcMar>
          </w:tcPr>
          <w:p w14:paraId="2358F141"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1,6</w:t>
            </w:r>
          </w:p>
        </w:tc>
        <w:tc>
          <w:tcPr>
            <w:tcW w:w="1134" w:type="dxa"/>
          </w:tcPr>
          <w:p w14:paraId="262C1FE2"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4700" w:type="dxa"/>
            <w:shd w:val="clear" w:color="auto" w:fill="auto"/>
            <w:tcMar>
              <w:top w:w="100" w:type="dxa"/>
              <w:left w:w="100" w:type="dxa"/>
              <w:bottom w:w="100" w:type="dxa"/>
              <w:right w:w="100" w:type="dxa"/>
            </w:tcMar>
          </w:tcPr>
          <w:p w14:paraId="05CFEFB5"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учасників освітнього процесу 3-4 класів на місцях для сидіння за столами та ігрову зону із розрахунком 0,4 м</w:t>
            </w:r>
            <w:r w:rsidRPr="00CA7C54">
              <w:rPr>
                <w:rFonts w:ascii="Arial" w:hAnsi="Arial" w:cs="Arial"/>
                <w:bCs/>
                <w:color w:val="000000" w:themeColor="text1"/>
                <w:sz w:val="21"/>
                <w:szCs w:val="21"/>
                <w:vertAlign w:val="superscript"/>
              </w:rPr>
              <w:t>2</w:t>
            </w:r>
            <w:r w:rsidRPr="00CA7C54">
              <w:rPr>
                <w:rFonts w:ascii="Arial" w:hAnsi="Arial" w:cs="Arial"/>
                <w:bCs/>
                <w:color w:val="000000" w:themeColor="text1"/>
                <w:sz w:val="21"/>
                <w:szCs w:val="21"/>
              </w:rPr>
              <w:t xml:space="preserve"> на дитину;</w:t>
            </w:r>
          </w:p>
          <w:p w14:paraId="152B94A0"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працівників закладу на місцях для сидіння</w:t>
            </w:r>
          </w:p>
        </w:tc>
      </w:tr>
      <w:tr w:rsidR="0006174C" w:rsidRPr="00CA7C54" w14:paraId="24FC250B" w14:textId="77777777" w:rsidTr="0006174C">
        <w:trPr>
          <w:trHeight w:val="2266"/>
        </w:trPr>
        <w:tc>
          <w:tcPr>
            <w:tcW w:w="851" w:type="dxa"/>
            <w:shd w:val="clear" w:color="auto" w:fill="auto"/>
            <w:tcMar>
              <w:top w:w="100" w:type="dxa"/>
              <w:left w:w="100" w:type="dxa"/>
              <w:bottom w:w="100" w:type="dxa"/>
              <w:right w:w="100" w:type="dxa"/>
            </w:tcMar>
          </w:tcPr>
          <w:p w14:paraId="21356BE5"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5.2.3</w:t>
            </w:r>
          </w:p>
        </w:tc>
        <w:tc>
          <w:tcPr>
            <w:tcW w:w="2410" w:type="dxa"/>
            <w:shd w:val="clear" w:color="auto" w:fill="auto"/>
            <w:tcMar>
              <w:top w:w="100" w:type="dxa"/>
              <w:left w:w="100" w:type="dxa"/>
              <w:bottom w:w="100" w:type="dxa"/>
              <w:right w:w="100" w:type="dxa"/>
            </w:tcMar>
          </w:tcPr>
          <w:p w14:paraId="1978F31B"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учнів 5 - 12 класів</w:t>
            </w:r>
          </w:p>
        </w:tc>
        <w:tc>
          <w:tcPr>
            <w:tcW w:w="992" w:type="dxa"/>
            <w:shd w:val="clear" w:color="auto" w:fill="auto"/>
            <w:tcMar>
              <w:top w:w="100" w:type="dxa"/>
              <w:left w:w="100" w:type="dxa"/>
              <w:bottom w:w="100" w:type="dxa"/>
              <w:right w:w="100" w:type="dxa"/>
            </w:tcMar>
          </w:tcPr>
          <w:p w14:paraId="50130E27"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1,3</w:t>
            </w:r>
          </w:p>
        </w:tc>
        <w:tc>
          <w:tcPr>
            <w:tcW w:w="1134" w:type="dxa"/>
          </w:tcPr>
          <w:p w14:paraId="0612C29E"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700" w:type="dxa"/>
            <w:shd w:val="clear" w:color="auto" w:fill="auto"/>
            <w:tcMar>
              <w:top w:w="100" w:type="dxa"/>
              <w:left w:w="100" w:type="dxa"/>
              <w:bottom w:w="100" w:type="dxa"/>
              <w:right w:w="100" w:type="dxa"/>
            </w:tcMar>
          </w:tcPr>
          <w:p w14:paraId="18C0CFB6"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учасників освітнього на місцях для сидіння за столами, а при реконструкції допускається замінити стільці зі столами на стільці з відкідними підставками (в разі необхідності, слід передбачити можливість розміщення двоярусних ліжок замість стільців);</w:t>
            </w:r>
          </w:p>
          <w:p w14:paraId="37ED4851"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працівників закладу на місцях для сидіння</w:t>
            </w:r>
          </w:p>
        </w:tc>
      </w:tr>
      <w:tr w:rsidR="0006174C" w:rsidRPr="00CA7C54" w14:paraId="6431DFF3" w14:textId="77777777" w:rsidTr="0006174C">
        <w:trPr>
          <w:trHeight w:val="1209"/>
        </w:trPr>
        <w:tc>
          <w:tcPr>
            <w:tcW w:w="851" w:type="dxa"/>
            <w:vMerge w:val="restart"/>
            <w:shd w:val="clear" w:color="auto" w:fill="auto"/>
            <w:tcMar>
              <w:top w:w="100" w:type="dxa"/>
              <w:left w:w="100" w:type="dxa"/>
              <w:bottom w:w="100" w:type="dxa"/>
              <w:right w:w="100" w:type="dxa"/>
            </w:tcMar>
          </w:tcPr>
          <w:p w14:paraId="7825D3C3"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5.3</w:t>
            </w:r>
          </w:p>
        </w:tc>
        <w:tc>
          <w:tcPr>
            <w:tcW w:w="2410" w:type="dxa"/>
            <w:shd w:val="clear" w:color="auto" w:fill="auto"/>
            <w:tcMar>
              <w:top w:w="100" w:type="dxa"/>
              <w:left w:w="100" w:type="dxa"/>
              <w:bottom w:w="100" w:type="dxa"/>
              <w:right w:w="100" w:type="dxa"/>
            </w:tcMar>
          </w:tcPr>
          <w:p w14:paraId="5E39C597"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вищої, фахової передвищої, професійної (професійно-технічної) та післядипломної освіти:</w:t>
            </w:r>
          </w:p>
        </w:tc>
        <w:tc>
          <w:tcPr>
            <w:tcW w:w="992" w:type="dxa"/>
            <w:shd w:val="clear" w:color="auto" w:fill="auto"/>
            <w:tcMar>
              <w:top w:w="100" w:type="dxa"/>
              <w:left w:w="100" w:type="dxa"/>
              <w:bottom w:w="100" w:type="dxa"/>
              <w:right w:w="100" w:type="dxa"/>
            </w:tcMar>
          </w:tcPr>
          <w:p w14:paraId="695E2578"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c>
          <w:tcPr>
            <w:tcW w:w="1134" w:type="dxa"/>
          </w:tcPr>
          <w:p w14:paraId="5BD050D9"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c>
          <w:tcPr>
            <w:tcW w:w="4700" w:type="dxa"/>
            <w:vMerge w:val="restart"/>
            <w:shd w:val="clear" w:color="auto" w:fill="auto"/>
            <w:tcMar>
              <w:top w:w="100" w:type="dxa"/>
              <w:left w:w="100" w:type="dxa"/>
              <w:bottom w:w="100" w:type="dxa"/>
              <w:right w:w="100" w:type="dxa"/>
            </w:tcMar>
          </w:tcPr>
          <w:p w14:paraId="61BA7005"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здобувачів освіти на місцях для сидіння за столами (при реконструкції які допускається замінити стільці зі столами на стільці з відкідними підставками, а в разі необхідності, слід передбачити можливість розміщення двоярусних ліжок замість столів та стільців);</w:t>
            </w:r>
          </w:p>
          <w:p w14:paraId="48684BD4"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вчителів та працівників закладу на місцях для сидіння</w:t>
            </w:r>
          </w:p>
        </w:tc>
      </w:tr>
      <w:tr w:rsidR="0006174C" w:rsidRPr="00CA7C54" w14:paraId="35FFA6F5" w14:textId="77777777" w:rsidTr="0006174C">
        <w:trPr>
          <w:trHeight w:val="409"/>
        </w:trPr>
        <w:tc>
          <w:tcPr>
            <w:tcW w:w="851" w:type="dxa"/>
            <w:vMerge/>
            <w:shd w:val="clear" w:color="auto" w:fill="auto"/>
            <w:tcMar>
              <w:top w:w="100" w:type="dxa"/>
              <w:left w:w="100" w:type="dxa"/>
              <w:bottom w:w="100" w:type="dxa"/>
              <w:right w:w="100" w:type="dxa"/>
            </w:tcMar>
          </w:tcPr>
          <w:p w14:paraId="6869689B"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c>
          <w:tcPr>
            <w:tcW w:w="2410" w:type="dxa"/>
            <w:shd w:val="clear" w:color="auto" w:fill="auto"/>
            <w:tcMar>
              <w:top w:w="100" w:type="dxa"/>
              <w:left w:w="100" w:type="dxa"/>
              <w:bottom w:w="100" w:type="dxa"/>
              <w:right w:w="100" w:type="dxa"/>
            </w:tcMar>
          </w:tcPr>
          <w:p w14:paraId="2EDF01C3"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а) при місткості до 500 осіб</w:t>
            </w:r>
          </w:p>
        </w:tc>
        <w:tc>
          <w:tcPr>
            <w:tcW w:w="992" w:type="dxa"/>
            <w:shd w:val="clear" w:color="auto" w:fill="auto"/>
            <w:tcMar>
              <w:top w:w="100" w:type="dxa"/>
              <w:left w:w="100" w:type="dxa"/>
              <w:bottom w:w="100" w:type="dxa"/>
              <w:right w:w="100" w:type="dxa"/>
            </w:tcMar>
          </w:tcPr>
          <w:p w14:paraId="3C536E8E"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1,6</w:t>
            </w:r>
          </w:p>
        </w:tc>
        <w:tc>
          <w:tcPr>
            <w:tcW w:w="1134" w:type="dxa"/>
          </w:tcPr>
          <w:p w14:paraId="67C519D2" w14:textId="77777777" w:rsidR="0006174C" w:rsidRPr="00CA7C54" w:rsidRDefault="0006174C" w:rsidP="0006174C">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700" w:type="dxa"/>
            <w:vMerge/>
            <w:shd w:val="clear" w:color="auto" w:fill="auto"/>
            <w:tcMar>
              <w:top w:w="100" w:type="dxa"/>
              <w:left w:w="100" w:type="dxa"/>
              <w:bottom w:w="100" w:type="dxa"/>
              <w:right w:w="100" w:type="dxa"/>
            </w:tcMar>
          </w:tcPr>
          <w:p w14:paraId="0F7C7E22"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r w:rsidR="0006174C" w:rsidRPr="00CA7C54" w14:paraId="60443181" w14:textId="77777777" w:rsidTr="0006174C">
        <w:trPr>
          <w:trHeight w:val="564"/>
        </w:trPr>
        <w:tc>
          <w:tcPr>
            <w:tcW w:w="851" w:type="dxa"/>
            <w:vMerge/>
            <w:shd w:val="clear" w:color="auto" w:fill="auto"/>
            <w:tcMar>
              <w:top w:w="100" w:type="dxa"/>
              <w:left w:w="100" w:type="dxa"/>
              <w:bottom w:w="100" w:type="dxa"/>
              <w:right w:w="100" w:type="dxa"/>
            </w:tcMar>
          </w:tcPr>
          <w:p w14:paraId="2BB4DF38"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c>
          <w:tcPr>
            <w:tcW w:w="2410" w:type="dxa"/>
            <w:shd w:val="clear" w:color="auto" w:fill="auto"/>
            <w:tcMar>
              <w:top w:w="100" w:type="dxa"/>
              <w:left w:w="100" w:type="dxa"/>
              <w:bottom w:w="100" w:type="dxa"/>
              <w:right w:w="100" w:type="dxa"/>
            </w:tcMar>
          </w:tcPr>
          <w:p w14:paraId="54E4357E"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а) при місткості від 501 до 1000 осіб</w:t>
            </w:r>
          </w:p>
        </w:tc>
        <w:tc>
          <w:tcPr>
            <w:tcW w:w="992" w:type="dxa"/>
            <w:shd w:val="clear" w:color="auto" w:fill="auto"/>
            <w:tcMar>
              <w:top w:w="100" w:type="dxa"/>
              <w:left w:w="100" w:type="dxa"/>
              <w:bottom w:w="100" w:type="dxa"/>
              <w:right w:w="100" w:type="dxa"/>
            </w:tcMar>
          </w:tcPr>
          <w:p w14:paraId="51E50DEC"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1,4</w:t>
            </w:r>
          </w:p>
        </w:tc>
        <w:tc>
          <w:tcPr>
            <w:tcW w:w="1134" w:type="dxa"/>
          </w:tcPr>
          <w:p w14:paraId="5B53E6D5" w14:textId="77777777" w:rsidR="0006174C" w:rsidRPr="00CA7C54" w:rsidRDefault="0006174C" w:rsidP="0006174C">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700" w:type="dxa"/>
            <w:vMerge/>
            <w:shd w:val="clear" w:color="auto" w:fill="auto"/>
            <w:tcMar>
              <w:top w:w="100" w:type="dxa"/>
              <w:left w:w="100" w:type="dxa"/>
              <w:bottom w:w="100" w:type="dxa"/>
              <w:right w:w="100" w:type="dxa"/>
            </w:tcMar>
          </w:tcPr>
          <w:p w14:paraId="3CCB59E3"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r w:rsidR="0006174C" w:rsidRPr="00CA7C54" w14:paraId="41BF6728" w14:textId="77777777" w:rsidTr="0006174C">
        <w:trPr>
          <w:trHeight w:val="437"/>
        </w:trPr>
        <w:tc>
          <w:tcPr>
            <w:tcW w:w="851" w:type="dxa"/>
            <w:vMerge/>
            <w:shd w:val="clear" w:color="auto" w:fill="auto"/>
            <w:tcMar>
              <w:top w:w="100" w:type="dxa"/>
              <w:left w:w="100" w:type="dxa"/>
              <w:bottom w:w="100" w:type="dxa"/>
              <w:right w:w="100" w:type="dxa"/>
            </w:tcMar>
          </w:tcPr>
          <w:p w14:paraId="332C0C1D"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c>
          <w:tcPr>
            <w:tcW w:w="2410" w:type="dxa"/>
            <w:shd w:val="clear" w:color="auto" w:fill="auto"/>
            <w:tcMar>
              <w:top w:w="100" w:type="dxa"/>
              <w:left w:w="100" w:type="dxa"/>
              <w:bottom w:w="100" w:type="dxa"/>
              <w:right w:w="100" w:type="dxa"/>
            </w:tcMar>
          </w:tcPr>
          <w:p w14:paraId="3BD97DBE"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а) при місткості від 1001 і вище</w:t>
            </w:r>
          </w:p>
        </w:tc>
        <w:tc>
          <w:tcPr>
            <w:tcW w:w="992" w:type="dxa"/>
            <w:shd w:val="clear" w:color="auto" w:fill="auto"/>
            <w:tcMar>
              <w:top w:w="100" w:type="dxa"/>
              <w:left w:w="100" w:type="dxa"/>
              <w:bottom w:w="100" w:type="dxa"/>
              <w:right w:w="100" w:type="dxa"/>
            </w:tcMar>
          </w:tcPr>
          <w:p w14:paraId="21B9A742"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1134" w:type="dxa"/>
          </w:tcPr>
          <w:p w14:paraId="6A526285" w14:textId="77777777" w:rsidR="0006174C" w:rsidRPr="00CA7C54" w:rsidRDefault="0006174C" w:rsidP="0006174C">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0,9</w:t>
            </w:r>
          </w:p>
        </w:tc>
        <w:tc>
          <w:tcPr>
            <w:tcW w:w="4700" w:type="dxa"/>
            <w:vMerge/>
            <w:shd w:val="clear" w:color="auto" w:fill="auto"/>
            <w:tcMar>
              <w:top w:w="100" w:type="dxa"/>
              <w:left w:w="100" w:type="dxa"/>
              <w:bottom w:w="100" w:type="dxa"/>
              <w:right w:w="100" w:type="dxa"/>
            </w:tcMar>
          </w:tcPr>
          <w:p w14:paraId="759A7675"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bl>
    <w:p w14:paraId="66E53EB9" w14:textId="77777777" w:rsidR="003B320F" w:rsidRPr="00CA7C54" w:rsidRDefault="003B320F" w:rsidP="00AC05B5">
      <w:pPr>
        <w:spacing w:after="120"/>
        <w:jc w:val="center"/>
        <w:rPr>
          <w:bCs/>
          <w:color w:val="000000" w:themeColor="text1"/>
          <w:sz w:val="21"/>
          <w:szCs w:val="21"/>
        </w:rPr>
      </w:pPr>
      <w:r w:rsidRPr="00CA7C54">
        <w:rPr>
          <w:bCs/>
          <w:color w:val="000000" w:themeColor="text1"/>
          <w:sz w:val="21"/>
          <w:szCs w:val="21"/>
        </w:rPr>
        <w:br w:type="page"/>
      </w:r>
    </w:p>
    <w:p w14:paraId="03A42D35" w14:textId="77777777" w:rsidR="003C4E04" w:rsidRPr="00CA7C54" w:rsidRDefault="003B320F" w:rsidP="003B320F">
      <w:pPr>
        <w:spacing w:after="120"/>
        <w:ind w:firstLine="142"/>
        <w:jc w:val="left"/>
        <w:rPr>
          <w:bCs/>
          <w:color w:val="000000" w:themeColor="text1"/>
          <w:sz w:val="21"/>
          <w:szCs w:val="21"/>
        </w:rPr>
      </w:pPr>
      <w:r w:rsidRPr="00CA7C54">
        <w:rPr>
          <w:bCs/>
          <w:color w:val="000000" w:themeColor="text1"/>
          <w:sz w:val="21"/>
          <w:szCs w:val="21"/>
        </w:rPr>
        <w:lastRenderedPageBreak/>
        <w:t>КінецьТаблиці</w:t>
      </w:r>
      <w:r w:rsidR="001E748C" w:rsidRPr="00CA7C54">
        <w:rPr>
          <w:bCs/>
          <w:color w:val="000000" w:themeColor="text1"/>
          <w:sz w:val="21"/>
          <w:szCs w:val="21"/>
        </w:rPr>
        <w:t xml:space="preserve"> Б</w:t>
      </w:r>
      <w:r w:rsidRPr="00CA7C54">
        <w:rPr>
          <w:bCs/>
          <w:color w:val="000000" w:themeColor="text1"/>
          <w:sz w:val="21"/>
          <w:szCs w:val="21"/>
        </w:rPr>
        <w:t>.1</w:t>
      </w:r>
    </w:p>
    <w:tbl>
      <w:tblPr>
        <w:tblStyle w:val="affffffffffffffffffffffffffffffffc"/>
        <w:tblW w:w="996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7"/>
        <w:gridCol w:w="389"/>
        <w:gridCol w:w="462"/>
        <w:gridCol w:w="1696"/>
        <w:gridCol w:w="992"/>
        <w:gridCol w:w="1139"/>
        <w:gridCol w:w="4820"/>
      </w:tblGrid>
      <w:tr w:rsidR="006D6D0F" w:rsidRPr="00CA7C54" w14:paraId="1B99A3B5" w14:textId="77777777" w:rsidTr="006D6D0F">
        <w:trPr>
          <w:trHeight w:val="437"/>
        </w:trPr>
        <w:tc>
          <w:tcPr>
            <w:tcW w:w="856" w:type="dxa"/>
            <w:gridSpan w:val="2"/>
            <w:vMerge w:val="restart"/>
            <w:shd w:val="clear" w:color="auto" w:fill="auto"/>
            <w:tcMar>
              <w:top w:w="100" w:type="dxa"/>
              <w:left w:w="100" w:type="dxa"/>
              <w:bottom w:w="100" w:type="dxa"/>
              <w:right w:w="100" w:type="dxa"/>
            </w:tcMar>
          </w:tcPr>
          <w:p w14:paraId="4C66F03E" w14:textId="77777777" w:rsidR="006D6D0F" w:rsidRPr="0006174C" w:rsidRDefault="006D6D0F" w:rsidP="006D6D0F">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w:t>
            </w:r>
          </w:p>
          <w:p w14:paraId="241B57E3" w14:textId="77777777" w:rsidR="006D6D0F" w:rsidRPr="00CA7C54" w:rsidRDefault="006D6D0F" w:rsidP="006D6D0F">
            <w:pPr>
              <w:widowControl w:val="0"/>
              <w:spacing w:before="0"/>
              <w:ind w:firstLine="0"/>
              <w:jc w:val="center"/>
              <w:rPr>
                <w:bCs/>
                <w:color w:val="000000" w:themeColor="text1"/>
                <w:sz w:val="21"/>
                <w:szCs w:val="21"/>
              </w:rPr>
            </w:pPr>
            <w:r w:rsidRPr="0006174C">
              <w:rPr>
                <w:rFonts w:ascii="Arial" w:hAnsi="Arial" w:cs="Arial"/>
                <w:b/>
                <w:color w:val="000000" w:themeColor="text1"/>
                <w:sz w:val="20"/>
                <w:szCs w:val="20"/>
              </w:rPr>
              <w:t>з/п</w:t>
            </w:r>
          </w:p>
        </w:tc>
        <w:tc>
          <w:tcPr>
            <w:tcW w:w="2158" w:type="dxa"/>
            <w:gridSpan w:val="2"/>
            <w:vMerge w:val="restart"/>
            <w:shd w:val="clear" w:color="auto" w:fill="auto"/>
            <w:tcMar>
              <w:top w:w="100" w:type="dxa"/>
              <w:left w:w="100" w:type="dxa"/>
              <w:bottom w:w="100" w:type="dxa"/>
              <w:right w:w="100" w:type="dxa"/>
            </w:tcMar>
            <w:vAlign w:val="center"/>
          </w:tcPr>
          <w:p w14:paraId="48075F61" w14:textId="77777777" w:rsidR="006D6D0F" w:rsidRPr="00CA7C54" w:rsidRDefault="006D6D0F" w:rsidP="006D6D0F">
            <w:pPr>
              <w:widowControl w:val="0"/>
              <w:spacing w:before="0"/>
              <w:ind w:firstLine="0"/>
              <w:jc w:val="left"/>
              <w:rPr>
                <w:bCs/>
                <w:color w:val="000000" w:themeColor="text1"/>
                <w:sz w:val="21"/>
                <w:szCs w:val="21"/>
              </w:rPr>
            </w:pPr>
            <w:r w:rsidRPr="0006174C">
              <w:rPr>
                <w:rFonts w:ascii="Arial" w:hAnsi="Arial" w:cs="Arial"/>
                <w:b/>
                <w:color w:val="000000" w:themeColor="text1"/>
                <w:sz w:val="20"/>
                <w:szCs w:val="20"/>
              </w:rPr>
              <w:t>Тип підприємства / закладу, для якого проєктується захисна споруда / СПП</w:t>
            </w:r>
          </w:p>
        </w:tc>
        <w:tc>
          <w:tcPr>
            <w:tcW w:w="2131" w:type="dxa"/>
            <w:gridSpan w:val="2"/>
            <w:shd w:val="clear" w:color="auto" w:fill="auto"/>
            <w:tcMar>
              <w:top w:w="100" w:type="dxa"/>
              <w:left w:w="100" w:type="dxa"/>
              <w:bottom w:w="100" w:type="dxa"/>
              <w:right w:w="100" w:type="dxa"/>
            </w:tcMar>
          </w:tcPr>
          <w:p w14:paraId="5DE2E3C1" w14:textId="77777777" w:rsidR="006D6D0F" w:rsidRPr="0006174C" w:rsidRDefault="006D6D0F" w:rsidP="006D6D0F">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Мінімальна площа</w:t>
            </w:r>
            <w:r w:rsidRPr="0006174C">
              <w:rPr>
                <w:rFonts w:ascii="Arial" w:hAnsi="Arial" w:cs="Arial"/>
                <w:b/>
                <w:color w:val="000000" w:themeColor="text1"/>
                <w:sz w:val="20"/>
                <w:szCs w:val="20"/>
                <w:vertAlign w:val="superscript"/>
              </w:rPr>
              <w:t>1) 2)</w:t>
            </w:r>
            <w:r w:rsidRPr="0006174C">
              <w:rPr>
                <w:rFonts w:ascii="Arial" w:hAnsi="Arial" w:cs="Arial"/>
                <w:b/>
                <w:color w:val="000000" w:themeColor="text1"/>
                <w:sz w:val="20"/>
                <w:szCs w:val="20"/>
              </w:rPr>
              <w:t>,</w:t>
            </w:r>
            <w:r>
              <w:rPr>
                <w:rFonts w:ascii="Arial" w:hAnsi="Arial" w:cs="Arial"/>
                <w:b/>
                <w:color w:val="000000" w:themeColor="text1"/>
                <w:sz w:val="20"/>
                <w:szCs w:val="20"/>
              </w:rPr>
              <w:t>м</w:t>
            </w:r>
            <w:r w:rsidRPr="006D6D0F">
              <w:rPr>
                <w:rFonts w:ascii="Arial" w:hAnsi="Arial" w:cs="Arial"/>
                <w:b/>
                <w:color w:val="000000" w:themeColor="text1"/>
                <w:sz w:val="20"/>
                <w:szCs w:val="20"/>
                <w:vertAlign w:val="superscript"/>
              </w:rPr>
              <w:t>2</w:t>
            </w:r>
          </w:p>
          <w:p w14:paraId="644842F2" w14:textId="77777777" w:rsidR="006D6D0F" w:rsidRPr="00CA7C54" w:rsidRDefault="006D6D0F" w:rsidP="006D6D0F">
            <w:pPr>
              <w:widowControl w:val="0"/>
              <w:spacing w:before="0"/>
              <w:ind w:firstLine="0"/>
              <w:jc w:val="center"/>
              <w:rPr>
                <w:bCs/>
                <w:color w:val="000000" w:themeColor="text1"/>
                <w:sz w:val="21"/>
                <w:szCs w:val="21"/>
              </w:rPr>
            </w:pPr>
          </w:p>
        </w:tc>
        <w:tc>
          <w:tcPr>
            <w:tcW w:w="4820" w:type="dxa"/>
            <w:vMerge w:val="restart"/>
            <w:shd w:val="clear" w:color="auto" w:fill="auto"/>
            <w:tcMar>
              <w:top w:w="100" w:type="dxa"/>
              <w:left w:w="100" w:type="dxa"/>
              <w:bottom w:w="100" w:type="dxa"/>
              <w:right w:w="100" w:type="dxa"/>
            </w:tcMar>
            <w:vAlign w:val="center"/>
          </w:tcPr>
          <w:p w14:paraId="433D23F7" w14:textId="77777777" w:rsidR="006D6D0F" w:rsidRPr="00CA7C54" w:rsidRDefault="006D6D0F" w:rsidP="006D6D0F">
            <w:pPr>
              <w:widowControl w:val="0"/>
              <w:spacing w:before="0"/>
              <w:ind w:firstLine="0"/>
              <w:jc w:val="center"/>
              <w:rPr>
                <w:bCs/>
                <w:color w:val="000000" w:themeColor="text1"/>
                <w:sz w:val="21"/>
                <w:szCs w:val="21"/>
              </w:rPr>
            </w:pPr>
            <w:r w:rsidRPr="0006174C">
              <w:rPr>
                <w:rFonts w:ascii="Arial" w:hAnsi="Arial" w:cs="Arial"/>
                <w:b/>
                <w:color w:val="000000" w:themeColor="text1"/>
                <w:sz w:val="20"/>
                <w:szCs w:val="20"/>
              </w:rPr>
              <w:t xml:space="preserve">Спосіб розміщення та відсоток осіб, що підлягають укриттю </w:t>
            </w:r>
            <w:r w:rsidRPr="0006174C">
              <w:rPr>
                <w:rFonts w:ascii="Arial" w:hAnsi="Arial" w:cs="Arial"/>
                <w:b/>
                <w:color w:val="000000" w:themeColor="text1"/>
                <w:sz w:val="20"/>
                <w:szCs w:val="20"/>
                <w:vertAlign w:val="superscript"/>
              </w:rPr>
              <w:t>3)</w:t>
            </w:r>
          </w:p>
        </w:tc>
      </w:tr>
      <w:tr w:rsidR="006D6D0F" w:rsidRPr="00CA7C54" w14:paraId="500F19E8" w14:textId="77777777" w:rsidTr="006D6D0F">
        <w:trPr>
          <w:trHeight w:val="437"/>
        </w:trPr>
        <w:tc>
          <w:tcPr>
            <w:tcW w:w="856" w:type="dxa"/>
            <w:gridSpan w:val="2"/>
            <w:vMerge/>
            <w:shd w:val="clear" w:color="auto" w:fill="auto"/>
            <w:tcMar>
              <w:top w:w="100" w:type="dxa"/>
              <w:left w:w="100" w:type="dxa"/>
              <w:bottom w:w="100" w:type="dxa"/>
              <w:right w:w="100" w:type="dxa"/>
            </w:tcMar>
          </w:tcPr>
          <w:p w14:paraId="702A1C96" w14:textId="77777777" w:rsidR="006D6D0F" w:rsidRPr="00CA7C54" w:rsidRDefault="006D6D0F" w:rsidP="006D6D0F">
            <w:pPr>
              <w:widowControl w:val="0"/>
              <w:spacing w:before="0"/>
              <w:ind w:firstLine="0"/>
              <w:jc w:val="center"/>
              <w:rPr>
                <w:bCs/>
                <w:color w:val="000000" w:themeColor="text1"/>
                <w:sz w:val="21"/>
                <w:szCs w:val="21"/>
              </w:rPr>
            </w:pPr>
          </w:p>
        </w:tc>
        <w:tc>
          <w:tcPr>
            <w:tcW w:w="2158" w:type="dxa"/>
            <w:gridSpan w:val="2"/>
            <w:vMerge/>
            <w:shd w:val="clear" w:color="auto" w:fill="auto"/>
            <w:tcMar>
              <w:top w:w="100" w:type="dxa"/>
              <w:left w:w="100" w:type="dxa"/>
              <w:bottom w:w="100" w:type="dxa"/>
              <w:right w:w="100" w:type="dxa"/>
            </w:tcMar>
          </w:tcPr>
          <w:p w14:paraId="1A978B6C" w14:textId="77777777" w:rsidR="006D6D0F" w:rsidRPr="00CA7C54" w:rsidRDefault="006D6D0F" w:rsidP="006D6D0F">
            <w:pPr>
              <w:widowControl w:val="0"/>
              <w:spacing w:before="0"/>
              <w:ind w:firstLine="0"/>
              <w:jc w:val="left"/>
              <w:rPr>
                <w:bCs/>
                <w:color w:val="000000" w:themeColor="text1"/>
                <w:sz w:val="21"/>
                <w:szCs w:val="21"/>
              </w:rPr>
            </w:pPr>
          </w:p>
        </w:tc>
        <w:tc>
          <w:tcPr>
            <w:tcW w:w="992" w:type="dxa"/>
            <w:shd w:val="clear" w:color="auto" w:fill="auto"/>
            <w:tcMar>
              <w:top w:w="100" w:type="dxa"/>
              <w:left w:w="100" w:type="dxa"/>
              <w:bottom w:w="100" w:type="dxa"/>
              <w:right w:w="100" w:type="dxa"/>
            </w:tcMar>
            <w:vAlign w:val="center"/>
          </w:tcPr>
          <w:p w14:paraId="42CC7B7C" w14:textId="77777777" w:rsidR="006D6D0F" w:rsidRPr="00CA7C54" w:rsidRDefault="006D6D0F" w:rsidP="006D6D0F">
            <w:pPr>
              <w:widowControl w:val="0"/>
              <w:spacing w:before="0"/>
              <w:ind w:firstLine="0"/>
              <w:jc w:val="center"/>
              <w:rPr>
                <w:bCs/>
                <w:color w:val="000000" w:themeColor="text1"/>
                <w:sz w:val="21"/>
                <w:szCs w:val="21"/>
              </w:rPr>
            </w:pPr>
            <w:r w:rsidRPr="0006174C">
              <w:rPr>
                <w:rFonts w:ascii="Arial" w:hAnsi="Arial" w:cs="Arial"/>
                <w:b/>
                <w:color w:val="000000" w:themeColor="text1"/>
                <w:sz w:val="20"/>
                <w:szCs w:val="20"/>
              </w:rPr>
              <w:t>нове будів-ництво</w:t>
            </w:r>
          </w:p>
        </w:tc>
        <w:tc>
          <w:tcPr>
            <w:tcW w:w="1139" w:type="dxa"/>
            <w:vAlign w:val="center"/>
          </w:tcPr>
          <w:p w14:paraId="39AA284D" w14:textId="77777777" w:rsidR="006D6D0F" w:rsidRPr="00CA7C54" w:rsidRDefault="006D6D0F" w:rsidP="006D6D0F">
            <w:pPr>
              <w:widowControl w:val="0"/>
              <w:spacing w:before="0"/>
              <w:ind w:firstLine="0"/>
              <w:jc w:val="center"/>
              <w:rPr>
                <w:bCs/>
                <w:color w:val="000000" w:themeColor="text1"/>
                <w:sz w:val="21"/>
                <w:szCs w:val="21"/>
              </w:rPr>
            </w:pPr>
            <w:r>
              <w:rPr>
                <w:rFonts w:ascii="Arial" w:hAnsi="Arial" w:cs="Arial"/>
                <w:b/>
                <w:color w:val="000000" w:themeColor="text1"/>
                <w:sz w:val="20"/>
                <w:szCs w:val="20"/>
              </w:rPr>
              <w:t>р</w:t>
            </w:r>
            <w:r w:rsidRPr="0006174C">
              <w:rPr>
                <w:rFonts w:ascii="Arial" w:hAnsi="Arial" w:cs="Arial"/>
                <w:b/>
                <w:color w:val="000000" w:themeColor="text1"/>
                <w:sz w:val="20"/>
                <w:szCs w:val="20"/>
              </w:rPr>
              <w:t>екон</w:t>
            </w:r>
            <w:r>
              <w:rPr>
                <w:rFonts w:ascii="Arial" w:hAnsi="Arial" w:cs="Arial"/>
                <w:b/>
                <w:color w:val="000000" w:themeColor="text1"/>
                <w:sz w:val="20"/>
                <w:szCs w:val="20"/>
              </w:rPr>
              <w:t>-</w:t>
            </w:r>
            <w:r w:rsidRPr="0006174C">
              <w:rPr>
                <w:rFonts w:ascii="Arial" w:hAnsi="Arial" w:cs="Arial"/>
                <w:b/>
                <w:color w:val="000000" w:themeColor="text1"/>
                <w:sz w:val="20"/>
                <w:szCs w:val="20"/>
              </w:rPr>
              <w:t>струкція</w:t>
            </w:r>
          </w:p>
        </w:tc>
        <w:tc>
          <w:tcPr>
            <w:tcW w:w="4820" w:type="dxa"/>
            <w:vMerge/>
            <w:shd w:val="clear" w:color="auto" w:fill="auto"/>
            <w:tcMar>
              <w:top w:w="100" w:type="dxa"/>
              <w:left w:w="100" w:type="dxa"/>
              <w:bottom w:w="100" w:type="dxa"/>
              <w:right w:w="100" w:type="dxa"/>
            </w:tcMar>
          </w:tcPr>
          <w:p w14:paraId="4FD8ED29" w14:textId="77777777" w:rsidR="006D6D0F" w:rsidRPr="00CA7C54" w:rsidRDefault="006D6D0F" w:rsidP="006D6D0F">
            <w:pPr>
              <w:widowControl w:val="0"/>
              <w:spacing w:before="0"/>
              <w:ind w:firstLine="0"/>
              <w:jc w:val="center"/>
              <w:rPr>
                <w:bCs/>
                <w:color w:val="000000" w:themeColor="text1"/>
                <w:sz w:val="21"/>
                <w:szCs w:val="21"/>
              </w:rPr>
            </w:pPr>
          </w:p>
        </w:tc>
      </w:tr>
      <w:tr w:rsidR="006D6D0F" w:rsidRPr="00CA7C54" w14:paraId="5D393E3B" w14:textId="77777777" w:rsidTr="006D6D0F">
        <w:trPr>
          <w:trHeight w:val="437"/>
        </w:trPr>
        <w:tc>
          <w:tcPr>
            <w:tcW w:w="856" w:type="dxa"/>
            <w:gridSpan w:val="2"/>
            <w:shd w:val="clear" w:color="auto" w:fill="auto"/>
            <w:tcMar>
              <w:top w:w="100" w:type="dxa"/>
              <w:left w:w="100" w:type="dxa"/>
              <w:bottom w:w="100" w:type="dxa"/>
              <w:right w:w="100" w:type="dxa"/>
            </w:tcMar>
          </w:tcPr>
          <w:p w14:paraId="6E61B537"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5.4</w:t>
            </w:r>
          </w:p>
        </w:tc>
        <w:tc>
          <w:tcPr>
            <w:tcW w:w="2158" w:type="dxa"/>
            <w:gridSpan w:val="2"/>
            <w:shd w:val="clear" w:color="auto" w:fill="auto"/>
            <w:tcMar>
              <w:top w:w="100" w:type="dxa"/>
              <w:left w:w="100" w:type="dxa"/>
              <w:bottom w:w="100" w:type="dxa"/>
              <w:right w:w="100" w:type="dxa"/>
            </w:tcMar>
          </w:tcPr>
          <w:p w14:paraId="3571FA50"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позашкільної освіти, у тому числі:</w:t>
            </w:r>
          </w:p>
        </w:tc>
        <w:tc>
          <w:tcPr>
            <w:tcW w:w="992" w:type="dxa"/>
            <w:shd w:val="clear" w:color="auto" w:fill="auto"/>
            <w:tcMar>
              <w:top w:w="100" w:type="dxa"/>
              <w:left w:w="100" w:type="dxa"/>
              <w:bottom w:w="100" w:type="dxa"/>
              <w:right w:w="100" w:type="dxa"/>
            </w:tcMar>
            <w:vAlign w:val="center"/>
          </w:tcPr>
          <w:p w14:paraId="709CA84D"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1,5 </w:t>
            </w:r>
          </w:p>
        </w:tc>
        <w:tc>
          <w:tcPr>
            <w:tcW w:w="1139" w:type="dxa"/>
            <w:vAlign w:val="center"/>
          </w:tcPr>
          <w:p w14:paraId="44F178A0"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4820" w:type="dxa"/>
            <w:shd w:val="clear" w:color="auto" w:fill="auto"/>
            <w:tcMar>
              <w:top w:w="100" w:type="dxa"/>
              <w:left w:w="100" w:type="dxa"/>
              <w:bottom w:w="100" w:type="dxa"/>
              <w:right w:w="100" w:type="dxa"/>
            </w:tcMar>
          </w:tcPr>
          <w:p w14:paraId="7EAD6644"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6D6D0F" w:rsidRPr="00CA7C54" w14:paraId="1BB911BC" w14:textId="77777777" w:rsidTr="006D6D0F">
        <w:trPr>
          <w:trHeight w:val="1309"/>
        </w:trPr>
        <w:tc>
          <w:tcPr>
            <w:tcW w:w="856" w:type="dxa"/>
            <w:gridSpan w:val="2"/>
            <w:shd w:val="clear" w:color="auto" w:fill="auto"/>
            <w:tcMar>
              <w:top w:w="100" w:type="dxa"/>
              <w:left w:w="100" w:type="dxa"/>
              <w:bottom w:w="100" w:type="dxa"/>
              <w:right w:w="100" w:type="dxa"/>
            </w:tcMar>
          </w:tcPr>
          <w:p w14:paraId="78153D44"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5.4.1</w:t>
            </w:r>
          </w:p>
        </w:tc>
        <w:tc>
          <w:tcPr>
            <w:tcW w:w="2158" w:type="dxa"/>
            <w:gridSpan w:val="2"/>
            <w:shd w:val="clear" w:color="auto" w:fill="auto"/>
            <w:tcMar>
              <w:top w:w="100" w:type="dxa"/>
              <w:left w:w="100" w:type="dxa"/>
              <w:bottom w:w="100" w:type="dxa"/>
              <w:right w:w="100" w:type="dxa"/>
            </w:tcMar>
          </w:tcPr>
          <w:p w14:paraId="61DC3FC1"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вікова категорія: 3-8 років</w:t>
            </w:r>
          </w:p>
        </w:tc>
        <w:tc>
          <w:tcPr>
            <w:tcW w:w="992" w:type="dxa"/>
            <w:shd w:val="clear" w:color="auto" w:fill="auto"/>
            <w:tcMar>
              <w:top w:w="100" w:type="dxa"/>
              <w:left w:w="100" w:type="dxa"/>
              <w:bottom w:w="100" w:type="dxa"/>
              <w:right w:w="100" w:type="dxa"/>
            </w:tcMar>
            <w:vAlign w:val="center"/>
          </w:tcPr>
          <w:p w14:paraId="5986B83D"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3,0 </w:t>
            </w:r>
          </w:p>
        </w:tc>
        <w:tc>
          <w:tcPr>
            <w:tcW w:w="1139" w:type="dxa"/>
            <w:vAlign w:val="center"/>
          </w:tcPr>
          <w:p w14:paraId="2056CFEF"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2,0</w:t>
            </w:r>
          </w:p>
        </w:tc>
        <w:tc>
          <w:tcPr>
            <w:tcW w:w="4820" w:type="dxa"/>
            <w:shd w:val="clear" w:color="auto" w:fill="auto"/>
            <w:tcMar>
              <w:top w:w="100" w:type="dxa"/>
              <w:left w:w="100" w:type="dxa"/>
              <w:bottom w:w="100" w:type="dxa"/>
              <w:right w:w="100" w:type="dxa"/>
            </w:tcMar>
          </w:tcPr>
          <w:p w14:paraId="3D73BA26"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здобувачів позашкільної освіти на двоярусних/триярусних ліжках-трансформерах та на стільцях за столиками, ігрову зону із розрахунку 0,4 м</w:t>
            </w:r>
            <w:r w:rsidRPr="00CA7C54">
              <w:rPr>
                <w:rFonts w:ascii="Arial" w:hAnsi="Arial" w:cs="Arial"/>
                <w:bCs/>
                <w:color w:val="000000" w:themeColor="text1"/>
                <w:sz w:val="21"/>
                <w:szCs w:val="21"/>
                <w:vertAlign w:val="superscript"/>
              </w:rPr>
              <w:t xml:space="preserve">2 </w:t>
            </w:r>
            <w:r w:rsidRPr="00CA7C54">
              <w:rPr>
                <w:rFonts w:ascii="Arial" w:hAnsi="Arial" w:cs="Arial"/>
                <w:bCs/>
                <w:color w:val="000000" w:themeColor="text1"/>
                <w:sz w:val="21"/>
                <w:szCs w:val="21"/>
              </w:rPr>
              <w:t>на дитину</w:t>
            </w:r>
          </w:p>
        </w:tc>
      </w:tr>
      <w:tr w:rsidR="006D6D0F" w:rsidRPr="00CA7C54" w14:paraId="39D2A4CD" w14:textId="77777777" w:rsidTr="006D6D0F">
        <w:trPr>
          <w:trHeight w:val="1926"/>
        </w:trPr>
        <w:tc>
          <w:tcPr>
            <w:tcW w:w="856" w:type="dxa"/>
            <w:gridSpan w:val="2"/>
            <w:shd w:val="clear" w:color="auto" w:fill="auto"/>
            <w:tcMar>
              <w:top w:w="100" w:type="dxa"/>
              <w:left w:w="100" w:type="dxa"/>
              <w:bottom w:w="100" w:type="dxa"/>
              <w:right w:w="100" w:type="dxa"/>
            </w:tcMar>
          </w:tcPr>
          <w:p w14:paraId="25EA092E"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5.4.2</w:t>
            </w:r>
          </w:p>
        </w:tc>
        <w:tc>
          <w:tcPr>
            <w:tcW w:w="2158" w:type="dxa"/>
            <w:gridSpan w:val="2"/>
            <w:shd w:val="clear" w:color="auto" w:fill="auto"/>
            <w:tcMar>
              <w:top w:w="100" w:type="dxa"/>
              <w:left w:w="100" w:type="dxa"/>
              <w:bottom w:w="100" w:type="dxa"/>
              <w:right w:w="100" w:type="dxa"/>
            </w:tcMar>
          </w:tcPr>
          <w:p w14:paraId="1E6EDFD0" w14:textId="77777777" w:rsidR="006D6D0F" w:rsidRPr="00CA7C54" w:rsidRDefault="006D6D0F" w:rsidP="006D6D0F">
            <w:pPr>
              <w:widowControl w:val="0"/>
              <w:spacing w:before="0"/>
              <w:ind w:firstLine="0"/>
              <w:jc w:val="left"/>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вікова категорія: 9-11 років</w:t>
            </w:r>
          </w:p>
        </w:tc>
        <w:tc>
          <w:tcPr>
            <w:tcW w:w="992" w:type="dxa"/>
            <w:shd w:val="clear" w:color="auto" w:fill="auto"/>
            <w:tcMar>
              <w:top w:w="100" w:type="dxa"/>
              <w:left w:w="100" w:type="dxa"/>
              <w:bottom w:w="100" w:type="dxa"/>
              <w:right w:w="100" w:type="dxa"/>
            </w:tcMar>
            <w:vAlign w:val="center"/>
          </w:tcPr>
          <w:p w14:paraId="1E8CE796"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1,6 </w:t>
            </w:r>
          </w:p>
        </w:tc>
        <w:tc>
          <w:tcPr>
            <w:tcW w:w="1139" w:type="dxa"/>
            <w:vAlign w:val="center"/>
          </w:tcPr>
          <w:p w14:paraId="1E9D21BD"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4820" w:type="dxa"/>
            <w:shd w:val="clear" w:color="auto" w:fill="auto"/>
            <w:tcMar>
              <w:top w:w="100" w:type="dxa"/>
              <w:left w:w="100" w:type="dxa"/>
              <w:bottom w:w="100" w:type="dxa"/>
              <w:right w:w="100" w:type="dxa"/>
            </w:tcMar>
          </w:tcPr>
          <w:p w14:paraId="0D2404A3"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здобувачів позашкільної освіти місцях для сидіння за столами та ігрову зону із розрахунку 0,4 м</w:t>
            </w:r>
            <w:r w:rsidRPr="00CA7C54">
              <w:rPr>
                <w:rFonts w:ascii="Arial" w:hAnsi="Arial" w:cs="Arial"/>
                <w:bCs/>
                <w:color w:val="000000" w:themeColor="text1"/>
                <w:sz w:val="21"/>
                <w:szCs w:val="21"/>
                <w:vertAlign w:val="superscript"/>
              </w:rPr>
              <w:t>2</w:t>
            </w:r>
            <w:r w:rsidRPr="00CA7C54">
              <w:rPr>
                <w:rFonts w:ascii="Arial" w:hAnsi="Arial" w:cs="Arial"/>
                <w:bCs/>
                <w:color w:val="000000" w:themeColor="text1"/>
                <w:sz w:val="21"/>
                <w:szCs w:val="21"/>
              </w:rPr>
              <w:t xml:space="preserve"> на дитину (при реконструкції допускається замінити на стільці з відкідними підставками, а в разі необхідності, слід передбачити можливість розміщення двоярусних ліжок замість столів та стільців)</w:t>
            </w:r>
          </w:p>
        </w:tc>
      </w:tr>
      <w:tr w:rsidR="006D6D0F" w:rsidRPr="00CA7C54" w14:paraId="1495BEBE" w14:textId="77777777" w:rsidTr="006D6D0F">
        <w:trPr>
          <w:trHeight w:val="554"/>
        </w:trPr>
        <w:tc>
          <w:tcPr>
            <w:tcW w:w="856" w:type="dxa"/>
            <w:gridSpan w:val="2"/>
            <w:shd w:val="clear" w:color="auto" w:fill="auto"/>
            <w:tcMar>
              <w:top w:w="100" w:type="dxa"/>
              <w:left w:w="100" w:type="dxa"/>
              <w:bottom w:w="100" w:type="dxa"/>
              <w:right w:w="100" w:type="dxa"/>
            </w:tcMar>
          </w:tcPr>
          <w:p w14:paraId="6109202A"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5.4.3</w:t>
            </w:r>
          </w:p>
        </w:tc>
        <w:tc>
          <w:tcPr>
            <w:tcW w:w="2158" w:type="dxa"/>
            <w:gridSpan w:val="2"/>
            <w:shd w:val="clear" w:color="auto" w:fill="auto"/>
            <w:tcMar>
              <w:top w:w="100" w:type="dxa"/>
              <w:left w:w="100" w:type="dxa"/>
              <w:bottom w:w="100" w:type="dxa"/>
              <w:right w:w="100" w:type="dxa"/>
            </w:tcMar>
          </w:tcPr>
          <w:p w14:paraId="3623E757"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вікова категорія: 11-14 років</w:t>
            </w:r>
          </w:p>
        </w:tc>
        <w:tc>
          <w:tcPr>
            <w:tcW w:w="992" w:type="dxa"/>
            <w:shd w:val="clear" w:color="auto" w:fill="auto"/>
            <w:tcMar>
              <w:top w:w="100" w:type="dxa"/>
              <w:left w:w="100" w:type="dxa"/>
              <w:bottom w:w="100" w:type="dxa"/>
              <w:right w:w="100" w:type="dxa"/>
            </w:tcMar>
            <w:vAlign w:val="center"/>
          </w:tcPr>
          <w:p w14:paraId="1A6EC6A8"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1,3 </w:t>
            </w:r>
          </w:p>
        </w:tc>
        <w:tc>
          <w:tcPr>
            <w:tcW w:w="1139" w:type="dxa"/>
            <w:vAlign w:val="center"/>
          </w:tcPr>
          <w:p w14:paraId="26C7CA8A"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820" w:type="dxa"/>
            <w:vMerge w:val="restart"/>
            <w:shd w:val="clear" w:color="auto" w:fill="auto"/>
            <w:tcMar>
              <w:top w:w="100" w:type="dxa"/>
              <w:left w:w="100" w:type="dxa"/>
              <w:bottom w:w="100" w:type="dxa"/>
              <w:right w:w="100" w:type="dxa"/>
            </w:tcMar>
          </w:tcPr>
          <w:p w14:paraId="59B1C9C0"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здобувачів позашкільної освіти віком 12-14 та 15-18 років і більше на місцях для сидіння за столами (при реконструкції допускається замінити на стільці з відкідними підставками, а в разі необхідності, слід передбачити можливість розміщення двоярусних ліжок замість столів та стільців);</w:t>
            </w:r>
          </w:p>
        </w:tc>
      </w:tr>
      <w:tr w:rsidR="006D6D0F" w:rsidRPr="00CA7C54" w14:paraId="65E7C0E5" w14:textId="77777777" w:rsidTr="006D6D0F">
        <w:trPr>
          <w:trHeight w:val="800"/>
        </w:trPr>
        <w:tc>
          <w:tcPr>
            <w:tcW w:w="856" w:type="dxa"/>
            <w:gridSpan w:val="2"/>
            <w:shd w:val="clear" w:color="auto" w:fill="auto"/>
            <w:tcMar>
              <w:top w:w="100" w:type="dxa"/>
              <w:left w:w="100" w:type="dxa"/>
              <w:bottom w:w="100" w:type="dxa"/>
              <w:right w:w="100" w:type="dxa"/>
            </w:tcMar>
          </w:tcPr>
          <w:p w14:paraId="4FC33964"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5.4.4</w:t>
            </w:r>
          </w:p>
        </w:tc>
        <w:tc>
          <w:tcPr>
            <w:tcW w:w="2158" w:type="dxa"/>
            <w:gridSpan w:val="2"/>
            <w:shd w:val="clear" w:color="auto" w:fill="auto"/>
            <w:tcMar>
              <w:top w:w="100" w:type="dxa"/>
              <w:left w:w="100" w:type="dxa"/>
              <w:bottom w:w="100" w:type="dxa"/>
              <w:right w:w="100" w:type="dxa"/>
            </w:tcMar>
          </w:tcPr>
          <w:p w14:paraId="0F7D9E47"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вікова категорія: 15-18 років</w:t>
            </w:r>
          </w:p>
        </w:tc>
        <w:tc>
          <w:tcPr>
            <w:tcW w:w="992" w:type="dxa"/>
            <w:shd w:val="clear" w:color="auto" w:fill="auto"/>
            <w:tcMar>
              <w:top w:w="100" w:type="dxa"/>
              <w:left w:w="100" w:type="dxa"/>
              <w:bottom w:w="100" w:type="dxa"/>
              <w:right w:w="100" w:type="dxa"/>
            </w:tcMar>
            <w:vAlign w:val="center"/>
          </w:tcPr>
          <w:p w14:paraId="612DC150"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1,3 </w:t>
            </w:r>
          </w:p>
        </w:tc>
        <w:tc>
          <w:tcPr>
            <w:tcW w:w="1139" w:type="dxa"/>
            <w:vAlign w:val="center"/>
          </w:tcPr>
          <w:p w14:paraId="335E0AC1" w14:textId="77777777" w:rsidR="006D6D0F" w:rsidRPr="00CA7C54" w:rsidRDefault="006D6D0F" w:rsidP="006D6D0F">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820" w:type="dxa"/>
            <w:vMerge/>
            <w:shd w:val="clear" w:color="auto" w:fill="auto"/>
            <w:tcMar>
              <w:top w:w="100" w:type="dxa"/>
              <w:left w:w="100" w:type="dxa"/>
              <w:bottom w:w="100" w:type="dxa"/>
              <w:right w:w="100" w:type="dxa"/>
            </w:tcMar>
          </w:tcPr>
          <w:p w14:paraId="39CF6F25" w14:textId="77777777" w:rsidR="006D6D0F" w:rsidRPr="00CA7C54" w:rsidRDefault="006D6D0F" w:rsidP="006D6D0F">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r w:rsidR="006D6D0F" w:rsidRPr="00CA7C54" w14:paraId="4CE8D91D" w14:textId="77777777" w:rsidTr="006D6D0F">
        <w:trPr>
          <w:trHeight w:val="508"/>
        </w:trPr>
        <w:tc>
          <w:tcPr>
            <w:tcW w:w="856" w:type="dxa"/>
            <w:gridSpan w:val="2"/>
            <w:shd w:val="clear" w:color="auto" w:fill="auto"/>
            <w:tcMar>
              <w:top w:w="100" w:type="dxa"/>
              <w:left w:w="100" w:type="dxa"/>
              <w:bottom w:w="100" w:type="dxa"/>
              <w:right w:w="100" w:type="dxa"/>
            </w:tcMar>
          </w:tcPr>
          <w:p w14:paraId="06E004F6"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5.4.5</w:t>
            </w:r>
          </w:p>
        </w:tc>
        <w:tc>
          <w:tcPr>
            <w:tcW w:w="2158" w:type="dxa"/>
            <w:gridSpan w:val="2"/>
            <w:shd w:val="clear" w:color="auto" w:fill="auto"/>
            <w:tcMar>
              <w:top w:w="100" w:type="dxa"/>
              <w:left w:w="100" w:type="dxa"/>
              <w:bottom w:w="100" w:type="dxa"/>
              <w:right w:w="100" w:type="dxa"/>
            </w:tcMar>
          </w:tcPr>
          <w:p w14:paraId="5B2AF6D4"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вікова категорія: 19 років і більше</w:t>
            </w:r>
          </w:p>
        </w:tc>
        <w:tc>
          <w:tcPr>
            <w:tcW w:w="992" w:type="dxa"/>
            <w:shd w:val="clear" w:color="auto" w:fill="auto"/>
            <w:tcMar>
              <w:top w:w="100" w:type="dxa"/>
              <w:left w:w="100" w:type="dxa"/>
              <w:bottom w:w="100" w:type="dxa"/>
              <w:right w:w="100" w:type="dxa"/>
            </w:tcMar>
            <w:vAlign w:val="center"/>
          </w:tcPr>
          <w:p w14:paraId="1A4C1C54"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1,3 </w:t>
            </w:r>
          </w:p>
        </w:tc>
        <w:tc>
          <w:tcPr>
            <w:tcW w:w="1139" w:type="dxa"/>
            <w:vAlign w:val="center"/>
          </w:tcPr>
          <w:p w14:paraId="74E778E9" w14:textId="77777777" w:rsidR="006D6D0F" w:rsidRPr="00CA7C54" w:rsidRDefault="006D6D0F" w:rsidP="006D6D0F">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820" w:type="dxa"/>
            <w:vMerge/>
            <w:shd w:val="clear" w:color="auto" w:fill="auto"/>
            <w:tcMar>
              <w:top w:w="100" w:type="dxa"/>
              <w:left w:w="100" w:type="dxa"/>
              <w:bottom w:w="100" w:type="dxa"/>
              <w:right w:w="100" w:type="dxa"/>
            </w:tcMar>
          </w:tcPr>
          <w:p w14:paraId="6F167DE6" w14:textId="77777777" w:rsidR="006D6D0F" w:rsidRPr="00CA7C54" w:rsidRDefault="006D6D0F" w:rsidP="006D6D0F">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r w:rsidR="006D6D0F" w:rsidRPr="00CA7C54" w14:paraId="001A4E59" w14:textId="77777777" w:rsidTr="006D6D0F">
        <w:trPr>
          <w:trHeight w:val="362"/>
        </w:trPr>
        <w:tc>
          <w:tcPr>
            <w:tcW w:w="856" w:type="dxa"/>
            <w:gridSpan w:val="2"/>
            <w:tcBorders>
              <w:bottom w:val="single" w:sz="4" w:space="0" w:color="000000"/>
            </w:tcBorders>
            <w:shd w:val="clear" w:color="auto" w:fill="auto"/>
            <w:tcMar>
              <w:top w:w="100" w:type="dxa"/>
              <w:left w:w="100" w:type="dxa"/>
              <w:bottom w:w="100" w:type="dxa"/>
              <w:right w:w="100" w:type="dxa"/>
            </w:tcMar>
          </w:tcPr>
          <w:p w14:paraId="1BDE116B" w14:textId="77777777" w:rsidR="006D6D0F" w:rsidRPr="00CA7C54" w:rsidRDefault="006D6D0F" w:rsidP="006D6D0F">
            <w:pPr>
              <w:widowControl w:val="0"/>
              <w:pBdr>
                <w:top w:val="nil"/>
                <w:left w:val="nil"/>
                <w:bottom w:val="nil"/>
                <w:right w:val="nil"/>
                <w:between w:val="nil"/>
              </w:pBdr>
              <w:spacing w:before="0"/>
              <w:ind w:firstLine="0"/>
              <w:jc w:val="left"/>
              <w:rPr>
                <w:rFonts w:ascii="Arial" w:hAnsi="Arial" w:cs="Arial"/>
                <w:bCs/>
                <w:color w:val="000000" w:themeColor="text1"/>
                <w:sz w:val="21"/>
                <w:szCs w:val="21"/>
              </w:rPr>
            </w:pPr>
          </w:p>
        </w:tc>
        <w:tc>
          <w:tcPr>
            <w:tcW w:w="2158" w:type="dxa"/>
            <w:gridSpan w:val="2"/>
            <w:tcBorders>
              <w:bottom w:val="single" w:sz="4" w:space="0" w:color="000000"/>
            </w:tcBorders>
            <w:shd w:val="clear" w:color="auto" w:fill="auto"/>
            <w:tcMar>
              <w:top w:w="100" w:type="dxa"/>
              <w:left w:w="100" w:type="dxa"/>
              <w:bottom w:w="100" w:type="dxa"/>
              <w:right w:w="100" w:type="dxa"/>
            </w:tcMar>
          </w:tcPr>
          <w:p w14:paraId="314EEE38"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інші працівники закладів освіти</w:t>
            </w:r>
          </w:p>
        </w:tc>
        <w:tc>
          <w:tcPr>
            <w:tcW w:w="992" w:type="dxa"/>
            <w:tcBorders>
              <w:bottom w:val="single" w:sz="4" w:space="0" w:color="000000"/>
            </w:tcBorders>
            <w:shd w:val="clear" w:color="auto" w:fill="auto"/>
            <w:tcMar>
              <w:top w:w="100" w:type="dxa"/>
              <w:left w:w="100" w:type="dxa"/>
              <w:bottom w:w="100" w:type="dxa"/>
              <w:right w:w="100" w:type="dxa"/>
            </w:tcMar>
            <w:vAlign w:val="center"/>
          </w:tcPr>
          <w:p w14:paraId="3C15A499"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1,0 </w:t>
            </w:r>
          </w:p>
        </w:tc>
        <w:tc>
          <w:tcPr>
            <w:tcW w:w="1139" w:type="dxa"/>
            <w:tcBorders>
              <w:bottom w:val="single" w:sz="4" w:space="0" w:color="000000"/>
            </w:tcBorders>
            <w:vAlign w:val="center"/>
          </w:tcPr>
          <w:p w14:paraId="25585BA6"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0,9</w:t>
            </w:r>
          </w:p>
        </w:tc>
        <w:tc>
          <w:tcPr>
            <w:tcW w:w="4820" w:type="dxa"/>
            <w:tcBorders>
              <w:bottom w:val="single" w:sz="4" w:space="0" w:color="000000"/>
            </w:tcBorders>
            <w:shd w:val="clear" w:color="auto" w:fill="auto"/>
            <w:tcMar>
              <w:top w:w="100" w:type="dxa"/>
              <w:left w:w="100" w:type="dxa"/>
              <w:bottom w:w="100" w:type="dxa"/>
              <w:right w:w="100" w:type="dxa"/>
            </w:tcMar>
          </w:tcPr>
          <w:p w14:paraId="49C0AF85"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працівників закладу на місцях для сидіння</w:t>
            </w:r>
          </w:p>
        </w:tc>
      </w:tr>
      <w:tr w:rsidR="006D6D0F" w:rsidRPr="00CA7C54" w14:paraId="646E0045" w14:textId="77777777">
        <w:trPr>
          <w:trHeight w:val="1592"/>
        </w:trPr>
        <w:tc>
          <w:tcPr>
            <w:tcW w:w="467" w:type="dxa"/>
            <w:tcBorders>
              <w:bottom w:val="nil"/>
              <w:right w:val="nil"/>
            </w:tcBorders>
            <w:shd w:val="clear" w:color="auto" w:fill="auto"/>
            <w:tcMar>
              <w:top w:w="100" w:type="dxa"/>
              <w:left w:w="100" w:type="dxa"/>
              <w:bottom w:w="100" w:type="dxa"/>
              <w:right w:w="100" w:type="dxa"/>
            </w:tcMar>
          </w:tcPr>
          <w:p w14:paraId="0C3C5552"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vertAlign w:val="superscript"/>
              </w:rPr>
            </w:pPr>
            <w:r w:rsidRPr="00CA7C54">
              <w:rPr>
                <w:rFonts w:ascii="Arial" w:hAnsi="Arial" w:cs="Arial"/>
                <w:bCs/>
                <w:color w:val="000000" w:themeColor="text1"/>
                <w:sz w:val="21"/>
                <w:szCs w:val="21"/>
                <w:vertAlign w:val="superscript"/>
              </w:rPr>
              <w:t xml:space="preserve"> 1)</w:t>
            </w:r>
          </w:p>
        </w:tc>
        <w:tc>
          <w:tcPr>
            <w:tcW w:w="9498" w:type="dxa"/>
            <w:gridSpan w:val="6"/>
            <w:tcBorders>
              <w:left w:val="nil"/>
              <w:bottom w:val="nil"/>
            </w:tcBorders>
            <w:shd w:val="clear" w:color="auto" w:fill="auto"/>
            <w:tcMar>
              <w:top w:w="100" w:type="dxa"/>
              <w:left w:w="100" w:type="dxa"/>
              <w:bottom w:w="100" w:type="dxa"/>
              <w:right w:w="100" w:type="dxa"/>
            </w:tcMar>
          </w:tcPr>
          <w:p w14:paraId="01A1EBFB"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Мінімальними площами передбачено розміщення МГН:</w:t>
            </w:r>
          </w:p>
          <w:p w14:paraId="3BE6BF16" w14:textId="77777777" w:rsidR="006D6D0F" w:rsidRPr="00CA7C54" w:rsidRDefault="006D6D0F" w:rsidP="006D6D0F">
            <w:pPr>
              <w:widowControl w:val="0"/>
              <w:spacing w:before="0" w:line="276" w:lineRule="auto"/>
              <w:ind w:right="-104"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закладів охорони здоров’я - 10% від кількості пацієнтів, що не потребують госпіталізації та персоналу;</w:t>
            </w:r>
          </w:p>
          <w:p w14:paraId="1E3D8172"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закладів дошкільної освіти – 15% від місткості захисної споруди / СПП;</w:t>
            </w:r>
          </w:p>
          <w:p w14:paraId="389BB148"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закладів середньої освіти – 7% від місткості захисної споруди  / СПП;</w:t>
            </w:r>
          </w:p>
          <w:p w14:paraId="47ECD9D8"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закладів вищої освіти – 10% від місткості захисної споруди  / СПП.</w:t>
            </w:r>
          </w:p>
        </w:tc>
      </w:tr>
      <w:tr w:rsidR="006D6D0F" w:rsidRPr="00CA7C54" w14:paraId="7C7E1B2E" w14:textId="77777777">
        <w:trPr>
          <w:trHeight w:val="434"/>
        </w:trPr>
        <w:tc>
          <w:tcPr>
            <w:tcW w:w="467" w:type="dxa"/>
            <w:tcBorders>
              <w:top w:val="nil"/>
              <w:bottom w:val="single" w:sz="4" w:space="0" w:color="000000"/>
              <w:right w:val="nil"/>
            </w:tcBorders>
            <w:shd w:val="clear" w:color="auto" w:fill="auto"/>
            <w:tcMar>
              <w:top w:w="100" w:type="dxa"/>
              <w:left w:w="100" w:type="dxa"/>
              <w:bottom w:w="100" w:type="dxa"/>
              <w:right w:w="100" w:type="dxa"/>
            </w:tcMar>
          </w:tcPr>
          <w:p w14:paraId="6B0D37DF" w14:textId="77777777" w:rsidR="006D6D0F" w:rsidRPr="00CA7C54" w:rsidRDefault="006D6D0F" w:rsidP="006D6D0F">
            <w:pPr>
              <w:widowControl w:val="0"/>
              <w:spacing w:before="0" w:after="120" w:line="276" w:lineRule="auto"/>
              <w:ind w:firstLine="0"/>
              <w:jc w:val="left"/>
              <w:rPr>
                <w:rFonts w:ascii="Arial" w:hAnsi="Arial" w:cs="Arial"/>
                <w:bCs/>
                <w:color w:val="000000" w:themeColor="text1"/>
                <w:sz w:val="21"/>
                <w:szCs w:val="21"/>
                <w:vertAlign w:val="superscript"/>
              </w:rPr>
            </w:pPr>
            <w:r w:rsidRPr="00CA7C54">
              <w:rPr>
                <w:rFonts w:ascii="Arial" w:hAnsi="Arial" w:cs="Arial"/>
                <w:bCs/>
                <w:color w:val="000000" w:themeColor="text1"/>
                <w:sz w:val="21"/>
                <w:szCs w:val="21"/>
                <w:vertAlign w:val="superscript"/>
              </w:rPr>
              <w:t>2)</w:t>
            </w:r>
          </w:p>
          <w:p w14:paraId="752559EC"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vertAlign w:val="superscript"/>
              </w:rPr>
              <w:t>3)</w:t>
            </w:r>
          </w:p>
        </w:tc>
        <w:tc>
          <w:tcPr>
            <w:tcW w:w="9498" w:type="dxa"/>
            <w:gridSpan w:val="6"/>
            <w:tcBorders>
              <w:top w:val="nil"/>
              <w:left w:val="nil"/>
              <w:bottom w:val="single" w:sz="4" w:space="0" w:color="000000"/>
            </w:tcBorders>
            <w:shd w:val="clear" w:color="auto" w:fill="auto"/>
            <w:tcMar>
              <w:top w:w="100" w:type="dxa"/>
              <w:left w:w="100" w:type="dxa"/>
              <w:bottom w:w="100" w:type="dxa"/>
              <w:right w:w="100" w:type="dxa"/>
            </w:tcMar>
          </w:tcPr>
          <w:p w14:paraId="34F7B2F0" w14:textId="77777777" w:rsidR="006D6D0F" w:rsidRPr="00CA7C54" w:rsidRDefault="006D6D0F" w:rsidP="006D6D0F">
            <w:pPr>
              <w:widowControl w:val="0"/>
              <w:spacing w:before="0" w:after="12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Наведені значення враховують спосіб розміщення осіб, що підлягають укриттю</w:t>
            </w:r>
          </w:p>
          <w:p w14:paraId="1D9872F0"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highlight w:val="yellow"/>
              </w:rPr>
            </w:pPr>
            <w:r w:rsidRPr="00CA7C54">
              <w:rPr>
                <w:rFonts w:ascii="Arial" w:hAnsi="Arial" w:cs="Arial"/>
                <w:bCs/>
                <w:color w:val="000000" w:themeColor="text1"/>
                <w:sz w:val="21"/>
                <w:szCs w:val="21"/>
              </w:rPr>
              <w:t>Без врахування площ шляхів евакуації</w:t>
            </w:r>
          </w:p>
        </w:tc>
      </w:tr>
      <w:tr w:rsidR="006D6D0F" w:rsidRPr="00CA7C54" w14:paraId="63D8946E" w14:textId="77777777">
        <w:trPr>
          <w:trHeight w:val="586"/>
        </w:trPr>
        <w:tc>
          <w:tcPr>
            <w:tcW w:w="1318" w:type="dxa"/>
            <w:gridSpan w:val="3"/>
            <w:tcBorders>
              <w:right w:val="nil"/>
            </w:tcBorders>
            <w:shd w:val="clear" w:color="auto" w:fill="auto"/>
            <w:tcMar>
              <w:top w:w="100" w:type="dxa"/>
              <w:left w:w="100" w:type="dxa"/>
              <w:bottom w:w="100" w:type="dxa"/>
              <w:right w:w="100" w:type="dxa"/>
            </w:tcMar>
          </w:tcPr>
          <w:p w14:paraId="0CE5A42F" w14:textId="77777777" w:rsidR="006D6D0F" w:rsidRPr="00CA7C54" w:rsidRDefault="006D6D0F" w:rsidP="006D6D0F">
            <w:pPr>
              <w:widowControl w:val="0"/>
              <w:spacing w:before="0" w:line="276" w:lineRule="auto"/>
              <w:ind w:firstLine="0"/>
              <w:jc w:val="left"/>
              <w:rPr>
                <w:rFonts w:ascii="Arial" w:hAnsi="Arial" w:cs="Arial"/>
                <w:b/>
                <w:color w:val="000000" w:themeColor="text1"/>
                <w:sz w:val="20"/>
                <w:szCs w:val="20"/>
              </w:rPr>
            </w:pPr>
            <w:r w:rsidRPr="00CA7C54">
              <w:rPr>
                <w:rFonts w:ascii="Arial" w:hAnsi="Arial" w:cs="Arial"/>
                <w:b/>
                <w:color w:val="000000" w:themeColor="text1"/>
                <w:sz w:val="20"/>
                <w:szCs w:val="20"/>
              </w:rPr>
              <w:t>Примітка.</w:t>
            </w:r>
          </w:p>
        </w:tc>
        <w:tc>
          <w:tcPr>
            <w:tcW w:w="8647" w:type="dxa"/>
            <w:gridSpan w:val="4"/>
            <w:tcBorders>
              <w:left w:val="nil"/>
            </w:tcBorders>
          </w:tcPr>
          <w:p w14:paraId="60D844E9" w14:textId="77777777" w:rsidR="006D6D0F" w:rsidRPr="00CA7C54" w:rsidRDefault="006D6D0F" w:rsidP="006D6D0F">
            <w:pPr>
              <w:widowControl w:val="0"/>
              <w:spacing w:before="0" w:line="276" w:lineRule="auto"/>
              <w:ind w:firstLine="0"/>
              <w:jc w:val="left"/>
              <w:rPr>
                <w:rFonts w:ascii="Arial" w:hAnsi="Arial" w:cs="Arial"/>
                <w:bCs/>
                <w:color w:val="000000" w:themeColor="text1"/>
                <w:sz w:val="20"/>
                <w:szCs w:val="20"/>
              </w:rPr>
            </w:pPr>
            <w:r w:rsidRPr="00CA7C54">
              <w:rPr>
                <w:rFonts w:ascii="Arial" w:hAnsi="Arial" w:cs="Arial"/>
                <w:bCs/>
                <w:color w:val="000000" w:themeColor="text1"/>
                <w:sz w:val="20"/>
                <w:szCs w:val="20"/>
              </w:rPr>
              <w:t>У разі збільшення відсотку осіб, що підлягають укриттю та розміщуються на ліжках, мінімальна площа на одну особу має бути розрахована виходячи із наведених значень для відповідного способу розміщення.</w:t>
            </w:r>
          </w:p>
        </w:tc>
      </w:tr>
    </w:tbl>
    <w:p w14:paraId="06C32E7C" w14:textId="77777777" w:rsidR="006D6D0F" w:rsidRDefault="006D6D0F">
      <w:pPr>
        <w:ind w:right="565"/>
        <w:jc w:val="center"/>
        <w:rPr>
          <w:bCs/>
          <w:color w:val="000000" w:themeColor="text1"/>
          <w:sz w:val="21"/>
          <w:szCs w:val="21"/>
        </w:rPr>
      </w:pPr>
    </w:p>
    <w:p w14:paraId="08DAFB74" w14:textId="77777777" w:rsidR="003C4E04" w:rsidRPr="00CA7C54" w:rsidRDefault="003C4E04">
      <w:pPr>
        <w:ind w:right="565"/>
        <w:jc w:val="center"/>
        <w:rPr>
          <w:bCs/>
          <w:color w:val="000000" w:themeColor="text1"/>
          <w:sz w:val="21"/>
          <w:szCs w:val="21"/>
        </w:rPr>
      </w:pPr>
    </w:p>
    <w:p w14:paraId="53ED51A7" w14:textId="77777777" w:rsidR="003C4E04" w:rsidRPr="00CA7C54" w:rsidRDefault="001E748C">
      <w:pPr>
        <w:pStyle w:val="2"/>
        <w:spacing w:before="0" w:after="0" w:line="240" w:lineRule="auto"/>
        <w:ind w:firstLine="0"/>
        <w:jc w:val="center"/>
        <w:rPr>
          <w:rFonts w:ascii="Arial" w:hAnsi="Arial"/>
          <w:b w:val="0"/>
          <w:bCs w:val="0"/>
          <w:color w:val="000000" w:themeColor="text1"/>
          <w:sz w:val="22"/>
          <w:szCs w:val="22"/>
        </w:rPr>
      </w:pPr>
      <w:bookmarkStart w:id="37" w:name="_heading=h.b3zxunn3qx05" w:colFirst="0" w:colLast="0"/>
      <w:bookmarkEnd w:id="37"/>
      <w:r w:rsidRPr="00CA7C54">
        <w:rPr>
          <w:rFonts w:ascii="Arial" w:hAnsi="Arial"/>
          <w:b w:val="0"/>
          <w:bCs w:val="0"/>
          <w:color w:val="000000" w:themeColor="text1"/>
          <w:sz w:val="22"/>
          <w:szCs w:val="22"/>
        </w:rPr>
        <w:lastRenderedPageBreak/>
        <w:t>ДОДАТОК В</w:t>
      </w:r>
    </w:p>
    <w:p w14:paraId="52625C91" w14:textId="77777777" w:rsidR="003C4E04" w:rsidRPr="00CA7C54" w:rsidRDefault="001E748C">
      <w:pPr>
        <w:spacing w:before="0" w:line="240" w:lineRule="auto"/>
        <w:ind w:firstLine="0"/>
        <w:jc w:val="center"/>
        <w:rPr>
          <w:color w:val="000000" w:themeColor="text1"/>
        </w:rPr>
      </w:pPr>
      <w:r w:rsidRPr="00CA7C54">
        <w:rPr>
          <w:color w:val="000000" w:themeColor="text1"/>
        </w:rPr>
        <w:t>(довідковий)</w:t>
      </w:r>
    </w:p>
    <w:p w14:paraId="22860BE8" w14:textId="77777777" w:rsidR="003C4E04" w:rsidRPr="00CA7C54" w:rsidRDefault="001E748C">
      <w:pPr>
        <w:spacing w:after="320" w:line="240" w:lineRule="auto"/>
        <w:ind w:firstLine="0"/>
        <w:jc w:val="center"/>
        <w:rPr>
          <w:rFonts w:eastAsia="Calibri"/>
          <w:b/>
          <w:smallCaps/>
          <w:color w:val="000000" w:themeColor="text1"/>
          <w:sz w:val="21"/>
          <w:szCs w:val="21"/>
          <w:vertAlign w:val="subscript"/>
        </w:rPr>
      </w:pPr>
      <w:r w:rsidRPr="00CA7C54">
        <w:rPr>
          <w:rFonts w:eastAsia="Calibri"/>
          <w:b/>
          <w:smallCaps/>
          <w:color w:val="000000" w:themeColor="text1"/>
          <w:sz w:val="21"/>
          <w:szCs w:val="21"/>
        </w:rPr>
        <w:t>КОЕФІЦІЄНТ ЛОБОВОГО ОПОРУ С</w:t>
      </w:r>
      <w:r w:rsidRPr="00CA7C54">
        <w:rPr>
          <w:rFonts w:eastAsia="Calibri"/>
          <w:b/>
          <w:smallCaps/>
          <w:color w:val="000000" w:themeColor="text1"/>
          <w:sz w:val="21"/>
          <w:szCs w:val="21"/>
          <w:vertAlign w:val="subscript"/>
        </w:rPr>
        <w:t>Х</w:t>
      </w:r>
    </w:p>
    <w:tbl>
      <w:tblPr>
        <w:tblStyle w:val="affffffffffffffffffffffffffffffffd"/>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7"/>
        <w:gridCol w:w="2126"/>
        <w:gridCol w:w="2155"/>
      </w:tblGrid>
      <w:tr w:rsidR="00CA7C54" w:rsidRPr="00CA7C54" w14:paraId="5BEFB68D" w14:textId="77777777">
        <w:trPr>
          <w:trHeight w:val="445"/>
          <w:jc w:val="center"/>
        </w:trPr>
        <w:tc>
          <w:tcPr>
            <w:tcW w:w="3657" w:type="dxa"/>
            <w:shd w:val="clear" w:color="auto" w:fill="auto"/>
            <w:vAlign w:val="center"/>
          </w:tcPr>
          <w:p w14:paraId="0B8385F9"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Умови обтікання перепони гідравлічним потоком</w:t>
            </w:r>
          </w:p>
        </w:tc>
        <w:tc>
          <w:tcPr>
            <w:tcW w:w="2126" w:type="dxa"/>
            <w:shd w:val="clear" w:color="auto" w:fill="auto"/>
            <w:vAlign w:val="center"/>
          </w:tcPr>
          <w:p w14:paraId="4FB747E5"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Співвідношення b/с</w:t>
            </w:r>
          </w:p>
        </w:tc>
        <w:tc>
          <w:tcPr>
            <w:tcW w:w="2155" w:type="dxa"/>
            <w:shd w:val="clear" w:color="auto" w:fill="auto"/>
            <w:vAlign w:val="center"/>
          </w:tcPr>
          <w:p w14:paraId="454DFD00"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Значення С</w:t>
            </w:r>
            <w:r w:rsidRPr="00CA7C54">
              <w:rPr>
                <w:rFonts w:ascii="Arial" w:eastAsia="Arial" w:hAnsi="Arial" w:cs="Arial"/>
                <w:b/>
                <w:color w:val="000000" w:themeColor="text1"/>
                <w:sz w:val="21"/>
                <w:szCs w:val="21"/>
                <w:vertAlign w:val="subscript"/>
              </w:rPr>
              <w:t>х</w:t>
            </w:r>
          </w:p>
        </w:tc>
      </w:tr>
      <w:tr w:rsidR="00CA7C54" w:rsidRPr="00CA7C54" w14:paraId="55CCE8B5" w14:textId="77777777">
        <w:trPr>
          <w:jc w:val="center"/>
        </w:trPr>
        <w:tc>
          <w:tcPr>
            <w:tcW w:w="3657" w:type="dxa"/>
            <w:shd w:val="clear" w:color="auto" w:fill="auto"/>
          </w:tcPr>
          <w:p w14:paraId="163B18F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003B035E" wp14:editId="72FCECAF">
                  <wp:extent cx="1640840" cy="770890"/>
                  <wp:effectExtent l="0" t="0" r="0" b="0"/>
                  <wp:docPr id="213052446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4594" t="8083" r="58514" b="81577"/>
                          <a:stretch>
                            <a:fillRect/>
                          </a:stretch>
                        </pic:blipFill>
                        <pic:spPr>
                          <a:xfrm>
                            <a:off x="0" y="0"/>
                            <a:ext cx="1640840" cy="770890"/>
                          </a:xfrm>
                          <a:prstGeom prst="rect">
                            <a:avLst/>
                          </a:prstGeom>
                          <a:ln/>
                        </pic:spPr>
                      </pic:pic>
                    </a:graphicData>
                  </a:graphic>
                </wp:inline>
              </w:drawing>
            </w:r>
          </w:p>
        </w:tc>
        <w:tc>
          <w:tcPr>
            <w:tcW w:w="2126" w:type="dxa"/>
            <w:shd w:val="clear" w:color="auto" w:fill="auto"/>
            <w:vAlign w:val="center"/>
          </w:tcPr>
          <w:p w14:paraId="743A6C9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155" w:type="dxa"/>
            <w:shd w:val="clear" w:color="auto" w:fill="auto"/>
            <w:vAlign w:val="center"/>
          </w:tcPr>
          <w:p w14:paraId="0065A08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r>
      <w:tr w:rsidR="00CA7C54" w:rsidRPr="00CA7C54" w14:paraId="6B44E9CD" w14:textId="77777777">
        <w:trPr>
          <w:jc w:val="center"/>
        </w:trPr>
        <w:tc>
          <w:tcPr>
            <w:tcW w:w="3657" w:type="dxa"/>
            <w:shd w:val="clear" w:color="auto" w:fill="auto"/>
          </w:tcPr>
          <w:p w14:paraId="31085D65"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6C10F6F9" wp14:editId="61DFB15B">
                  <wp:extent cx="1174115" cy="762000"/>
                  <wp:effectExtent l="0" t="0" r="0" b="0"/>
                  <wp:docPr id="21305244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5406" t="19264" r="65511" b="70493"/>
                          <a:stretch>
                            <a:fillRect/>
                          </a:stretch>
                        </pic:blipFill>
                        <pic:spPr>
                          <a:xfrm>
                            <a:off x="0" y="0"/>
                            <a:ext cx="1174115" cy="762000"/>
                          </a:xfrm>
                          <a:prstGeom prst="rect">
                            <a:avLst/>
                          </a:prstGeom>
                          <a:ln/>
                        </pic:spPr>
                      </pic:pic>
                    </a:graphicData>
                  </a:graphic>
                </wp:inline>
              </w:drawing>
            </w:r>
          </w:p>
        </w:tc>
        <w:tc>
          <w:tcPr>
            <w:tcW w:w="2126" w:type="dxa"/>
            <w:shd w:val="clear" w:color="auto" w:fill="auto"/>
            <w:vAlign w:val="center"/>
          </w:tcPr>
          <w:p w14:paraId="28F3B44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155" w:type="dxa"/>
            <w:shd w:val="clear" w:color="auto" w:fill="auto"/>
            <w:vAlign w:val="center"/>
          </w:tcPr>
          <w:p w14:paraId="2858A1D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 – 2,3</w:t>
            </w:r>
          </w:p>
        </w:tc>
      </w:tr>
      <w:tr w:rsidR="00CA7C54" w:rsidRPr="00CA7C54" w14:paraId="03B002C9" w14:textId="77777777">
        <w:trPr>
          <w:trHeight w:val="1756"/>
          <w:jc w:val="center"/>
        </w:trPr>
        <w:tc>
          <w:tcPr>
            <w:tcW w:w="3657" w:type="dxa"/>
            <w:shd w:val="clear" w:color="auto" w:fill="auto"/>
          </w:tcPr>
          <w:p w14:paraId="4DCA489F"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5DA3D67C" wp14:editId="7168387F">
                  <wp:extent cx="1506220" cy="1075690"/>
                  <wp:effectExtent l="0" t="0" r="0" b="0"/>
                  <wp:docPr id="213052447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4952" t="31104" r="60432" b="54515"/>
                          <a:stretch>
                            <a:fillRect/>
                          </a:stretch>
                        </pic:blipFill>
                        <pic:spPr>
                          <a:xfrm>
                            <a:off x="0" y="0"/>
                            <a:ext cx="1506220" cy="1075690"/>
                          </a:xfrm>
                          <a:prstGeom prst="rect">
                            <a:avLst/>
                          </a:prstGeom>
                          <a:ln/>
                        </pic:spPr>
                      </pic:pic>
                    </a:graphicData>
                  </a:graphic>
                </wp:inline>
              </w:drawing>
            </w:r>
          </w:p>
        </w:tc>
        <w:tc>
          <w:tcPr>
            <w:tcW w:w="2126" w:type="dxa"/>
            <w:shd w:val="clear" w:color="auto" w:fill="auto"/>
            <w:vAlign w:val="center"/>
          </w:tcPr>
          <w:p w14:paraId="6450CC0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155" w:type="dxa"/>
            <w:shd w:val="clear" w:color="auto" w:fill="auto"/>
            <w:vAlign w:val="center"/>
          </w:tcPr>
          <w:p w14:paraId="0AAF572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1,8 - 2</w:t>
            </w:r>
          </w:p>
        </w:tc>
      </w:tr>
      <w:tr w:rsidR="00CA7C54" w:rsidRPr="00CA7C54" w14:paraId="4BE6F084" w14:textId="77777777">
        <w:trPr>
          <w:trHeight w:val="1245"/>
          <w:jc w:val="center"/>
        </w:trPr>
        <w:tc>
          <w:tcPr>
            <w:tcW w:w="3657" w:type="dxa"/>
            <w:shd w:val="clear" w:color="auto" w:fill="auto"/>
          </w:tcPr>
          <w:p w14:paraId="12679DA8"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464C5E17" wp14:editId="7AC27F3B">
                  <wp:extent cx="1586865" cy="807085"/>
                  <wp:effectExtent l="0" t="0" r="0" b="0"/>
                  <wp:docPr id="213052447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5984" t="46419" r="58143" b="42868"/>
                          <a:stretch>
                            <a:fillRect/>
                          </a:stretch>
                        </pic:blipFill>
                        <pic:spPr>
                          <a:xfrm>
                            <a:off x="0" y="0"/>
                            <a:ext cx="1586865" cy="807085"/>
                          </a:xfrm>
                          <a:prstGeom prst="rect">
                            <a:avLst/>
                          </a:prstGeom>
                          <a:ln/>
                        </pic:spPr>
                      </pic:pic>
                    </a:graphicData>
                  </a:graphic>
                </wp:inline>
              </w:drawing>
            </w:r>
          </w:p>
        </w:tc>
        <w:tc>
          <w:tcPr>
            <w:tcW w:w="2126" w:type="dxa"/>
            <w:shd w:val="clear" w:color="auto" w:fill="auto"/>
            <w:vAlign w:val="center"/>
          </w:tcPr>
          <w:p w14:paraId="2C17F83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w:t>
            </w:r>
          </w:p>
        </w:tc>
        <w:tc>
          <w:tcPr>
            <w:tcW w:w="2155" w:type="dxa"/>
            <w:shd w:val="clear" w:color="auto" w:fill="auto"/>
            <w:vAlign w:val="center"/>
          </w:tcPr>
          <w:p w14:paraId="2E99588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 – 1,2</w:t>
            </w:r>
          </w:p>
        </w:tc>
      </w:tr>
      <w:tr w:rsidR="00CA7C54" w:rsidRPr="00CA7C54" w14:paraId="0C52742A" w14:textId="77777777">
        <w:trPr>
          <w:trHeight w:val="1708"/>
          <w:jc w:val="center"/>
        </w:trPr>
        <w:tc>
          <w:tcPr>
            <w:tcW w:w="3657" w:type="dxa"/>
            <w:shd w:val="clear" w:color="auto" w:fill="auto"/>
          </w:tcPr>
          <w:p w14:paraId="75A5C2E1"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1297E356" wp14:editId="67F9191B">
                  <wp:extent cx="1631315" cy="977265"/>
                  <wp:effectExtent l="0" t="0" r="0" b="0"/>
                  <wp:docPr id="213052447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4948" t="59012" r="58376" b="27923"/>
                          <a:stretch>
                            <a:fillRect/>
                          </a:stretch>
                        </pic:blipFill>
                        <pic:spPr>
                          <a:xfrm>
                            <a:off x="0" y="0"/>
                            <a:ext cx="1631315" cy="977265"/>
                          </a:xfrm>
                          <a:prstGeom prst="rect">
                            <a:avLst/>
                          </a:prstGeom>
                          <a:ln/>
                        </pic:spPr>
                      </pic:pic>
                    </a:graphicData>
                  </a:graphic>
                </wp:inline>
              </w:drawing>
            </w:r>
          </w:p>
        </w:tc>
        <w:tc>
          <w:tcPr>
            <w:tcW w:w="2126" w:type="dxa"/>
            <w:shd w:val="clear" w:color="auto" w:fill="auto"/>
            <w:vAlign w:val="center"/>
          </w:tcPr>
          <w:p w14:paraId="73322427"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155" w:type="dxa"/>
            <w:shd w:val="clear" w:color="auto" w:fill="auto"/>
            <w:vAlign w:val="center"/>
          </w:tcPr>
          <w:p w14:paraId="65A1D417"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r>
      <w:tr w:rsidR="00CA7C54" w:rsidRPr="00CA7C54" w14:paraId="0A9FB6A4" w14:textId="77777777">
        <w:trPr>
          <w:trHeight w:val="1555"/>
          <w:jc w:val="center"/>
        </w:trPr>
        <w:tc>
          <w:tcPr>
            <w:tcW w:w="3657" w:type="dxa"/>
            <w:shd w:val="clear" w:color="auto" w:fill="auto"/>
          </w:tcPr>
          <w:p w14:paraId="523F21C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5A4509DB" wp14:editId="259809BA">
                  <wp:extent cx="1649730" cy="923290"/>
                  <wp:effectExtent l="0" t="0" r="0" b="0"/>
                  <wp:docPr id="213052447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5404" t="73769" r="57579" b="13825"/>
                          <a:stretch>
                            <a:fillRect/>
                          </a:stretch>
                        </pic:blipFill>
                        <pic:spPr>
                          <a:xfrm>
                            <a:off x="0" y="0"/>
                            <a:ext cx="1649730" cy="923290"/>
                          </a:xfrm>
                          <a:prstGeom prst="rect">
                            <a:avLst/>
                          </a:prstGeom>
                          <a:ln/>
                        </pic:spPr>
                      </pic:pic>
                    </a:graphicData>
                  </a:graphic>
                </wp:inline>
              </w:drawing>
            </w:r>
          </w:p>
        </w:tc>
        <w:tc>
          <w:tcPr>
            <w:tcW w:w="2126" w:type="dxa"/>
            <w:shd w:val="clear" w:color="auto" w:fill="auto"/>
            <w:vAlign w:val="center"/>
          </w:tcPr>
          <w:p w14:paraId="5AFEF9A6"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155" w:type="dxa"/>
            <w:shd w:val="clear" w:color="auto" w:fill="auto"/>
            <w:vAlign w:val="center"/>
          </w:tcPr>
          <w:p w14:paraId="02BC3DE9"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 – 1,4</w:t>
            </w:r>
          </w:p>
        </w:tc>
      </w:tr>
      <w:tr w:rsidR="003C4E04" w:rsidRPr="00CA7C54" w14:paraId="6FB2CE02" w14:textId="77777777">
        <w:trPr>
          <w:trHeight w:val="1293"/>
          <w:jc w:val="center"/>
        </w:trPr>
        <w:tc>
          <w:tcPr>
            <w:tcW w:w="3657" w:type="dxa"/>
            <w:shd w:val="clear" w:color="auto" w:fill="auto"/>
          </w:tcPr>
          <w:p w14:paraId="2C2E5E64"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54B9DF03" wp14:editId="79AD6A00">
                  <wp:extent cx="1631315" cy="815975"/>
                  <wp:effectExtent l="0" t="0" r="0" b="0"/>
                  <wp:docPr id="213052447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5996" t="87393" r="57303" b="1694"/>
                          <a:stretch>
                            <a:fillRect/>
                          </a:stretch>
                        </pic:blipFill>
                        <pic:spPr>
                          <a:xfrm>
                            <a:off x="0" y="0"/>
                            <a:ext cx="1631315" cy="815975"/>
                          </a:xfrm>
                          <a:prstGeom prst="rect">
                            <a:avLst/>
                          </a:prstGeom>
                          <a:ln/>
                        </pic:spPr>
                      </pic:pic>
                    </a:graphicData>
                  </a:graphic>
                </wp:inline>
              </w:drawing>
            </w:r>
          </w:p>
        </w:tc>
        <w:tc>
          <w:tcPr>
            <w:tcW w:w="2126" w:type="dxa"/>
            <w:shd w:val="clear" w:color="auto" w:fill="auto"/>
            <w:vAlign w:val="center"/>
          </w:tcPr>
          <w:p w14:paraId="09E7DE44"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155" w:type="dxa"/>
            <w:shd w:val="clear" w:color="auto" w:fill="auto"/>
            <w:vAlign w:val="center"/>
          </w:tcPr>
          <w:p w14:paraId="1F4686E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bl>
    <w:p w14:paraId="399602BF" w14:textId="77777777" w:rsidR="003C4E04" w:rsidRPr="00CA7C54" w:rsidRDefault="003C4E04">
      <w:pPr>
        <w:spacing w:line="240" w:lineRule="auto"/>
        <w:ind w:firstLine="0"/>
        <w:rPr>
          <w:color w:val="000000" w:themeColor="text1"/>
          <w:sz w:val="2"/>
          <w:szCs w:val="2"/>
        </w:rPr>
      </w:pPr>
    </w:p>
    <w:p w14:paraId="4AF43DB7" w14:textId="77777777" w:rsidR="003C4E04" w:rsidRPr="00CA7C54" w:rsidRDefault="001E748C">
      <w:pPr>
        <w:rPr>
          <w:b/>
          <w:color w:val="000000" w:themeColor="text1"/>
          <w:sz w:val="24"/>
          <w:szCs w:val="24"/>
        </w:rPr>
      </w:pPr>
      <w:r w:rsidRPr="00CA7C54">
        <w:rPr>
          <w:color w:val="000000" w:themeColor="text1"/>
        </w:rPr>
        <w:br w:type="page"/>
      </w:r>
    </w:p>
    <w:p w14:paraId="16F077A4" w14:textId="77777777" w:rsidR="003C4E04" w:rsidRPr="00CA7C54" w:rsidRDefault="001E748C" w:rsidP="003B320F">
      <w:pPr>
        <w:pStyle w:val="2"/>
        <w:spacing w:before="0" w:after="0" w:line="288" w:lineRule="auto"/>
        <w:ind w:firstLine="0"/>
        <w:contextualSpacing/>
        <w:jc w:val="center"/>
        <w:rPr>
          <w:rFonts w:ascii="Arial" w:hAnsi="Arial"/>
          <w:b w:val="0"/>
          <w:bCs w:val="0"/>
          <w:color w:val="000000" w:themeColor="text1"/>
          <w:sz w:val="21"/>
          <w:szCs w:val="21"/>
        </w:rPr>
      </w:pPr>
      <w:r w:rsidRPr="00CA7C54">
        <w:rPr>
          <w:rFonts w:ascii="Arial" w:hAnsi="Arial"/>
          <w:b w:val="0"/>
          <w:bCs w:val="0"/>
          <w:color w:val="000000" w:themeColor="text1"/>
          <w:sz w:val="21"/>
          <w:szCs w:val="21"/>
        </w:rPr>
        <w:lastRenderedPageBreak/>
        <w:t>ДОДАТОК Г</w:t>
      </w:r>
    </w:p>
    <w:p w14:paraId="222A801C" w14:textId="77777777" w:rsidR="003C4E04" w:rsidRPr="00CA7C54" w:rsidRDefault="001E748C" w:rsidP="003B320F">
      <w:pPr>
        <w:spacing w:before="0" w:line="288" w:lineRule="auto"/>
        <w:ind w:firstLine="0"/>
        <w:contextualSpacing/>
        <w:jc w:val="center"/>
        <w:rPr>
          <w:color w:val="000000" w:themeColor="text1"/>
          <w:sz w:val="21"/>
          <w:szCs w:val="21"/>
        </w:rPr>
      </w:pPr>
      <w:r w:rsidRPr="00CA7C54">
        <w:rPr>
          <w:color w:val="000000" w:themeColor="text1"/>
          <w:sz w:val="21"/>
          <w:szCs w:val="21"/>
        </w:rPr>
        <w:t>(обов'язковий)</w:t>
      </w:r>
    </w:p>
    <w:p w14:paraId="5381681F" w14:textId="77777777" w:rsidR="003C4E04" w:rsidRPr="00CA7C54" w:rsidRDefault="001E748C" w:rsidP="003B320F">
      <w:pPr>
        <w:spacing w:before="0" w:line="288" w:lineRule="auto"/>
        <w:ind w:firstLine="0"/>
        <w:contextualSpacing/>
        <w:jc w:val="center"/>
        <w:rPr>
          <w:rFonts w:eastAsia="Calibri"/>
          <w:b/>
          <w:smallCaps/>
          <w:color w:val="000000" w:themeColor="text1"/>
          <w:sz w:val="21"/>
          <w:szCs w:val="21"/>
        </w:rPr>
      </w:pPr>
      <w:r w:rsidRPr="00CA7C54">
        <w:rPr>
          <w:rFonts w:eastAsia="Calibri"/>
          <w:b/>
          <w:smallCaps/>
          <w:color w:val="000000" w:themeColor="text1"/>
          <w:sz w:val="21"/>
          <w:szCs w:val="21"/>
        </w:rPr>
        <w:t>МЕТОДИКА РОЗРАХУНКУ ЗАХИСТУ ВІД РАДІАЦІЇ</w:t>
      </w:r>
    </w:p>
    <w:p w14:paraId="26843EB6" w14:textId="77777777" w:rsidR="003C4E04" w:rsidRPr="00CA7C54" w:rsidRDefault="001E748C" w:rsidP="003B320F">
      <w:pPr>
        <w:widowControl w:val="0"/>
        <w:pBdr>
          <w:top w:val="nil"/>
          <w:left w:val="nil"/>
          <w:bottom w:val="nil"/>
          <w:right w:val="nil"/>
          <w:between w:val="nil"/>
        </w:pBdr>
        <w:spacing w:before="0" w:line="288" w:lineRule="auto"/>
        <w:ind w:firstLine="635"/>
        <w:contextualSpacing/>
        <w:rPr>
          <w:color w:val="000000" w:themeColor="text1"/>
          <w:sz w:val="21"/>
          <w:szCs w:val="21"/>
        </w:rPr>
      </w:pPr>
      <w:r w:rsidRPr="00CA7C54">
        <w:rPr>
          <w:color w:val="000000" w:themeColor="text1"/>
          <w:sz w:val="21"/>
          <w:szCs w:val="21"/>
        </w:rPr>
        <w:t xml:space="preserve">Огороджувальні конструкції захисних споруд та СПП, у тому числі багатошарові конструкції, а також конструктивно-планувальні рішення захисту прорізів у них, повинні забезпечувати  послаблення радіаційного впливу до нормативного значення, яке приймається згідно додатку А цих </w:t>
      </w:r>
      <w:r w:rsidR="00144AEF" w:rsidRPr="00CA7C54">
        <w:rPr>
          <w:color w:val="000000" w:themeColor="text1"/>
          <w:sz w:val="21"/>
          <w:szCs w:val="21"/>
        </w:rPr>
        <w:t>н</w:t>
      </w:r>
      <w:r w:rsidRPr="00CA7C54">
        <w:rPr>
          <w:color w:val="000000" w:themeColor="text1"/>
          <w:sz w:val="21"/>
          <w:szCs w:val="21"/>
        </w:rPr>
        <w:t xml:space="preserve">орм. При цьому такі конструкції повинні бути стійкими до особливого поєднання навантажень на стійкість від сприйняття яких розраховується захисна споруда чи СПП. </w:t>
      </w:r>
    </w:p>
    <w:p w14:paraId="3A66909A"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 xml:space="preserve">Розрахунок захисту від радіації для забезпечення досягнення встановлених у додатку А цих </w:t>
      </w:r>
      <w:r w:rsidR="00144AEF" w:rsidRPr="00CA7C54">
        <w:rPr>
          <w:color w:val="000000" w:themeColor="text1"/>
          <w:sz w:val="21"/>
          <w:szCs w:val="21"/>
        </w:rPr>
        <w:t>н</w:t>
      </w:r>
      <w:r w:rsidRPr="00CA7C54">
        <w:rPr>
          <w:color w:val="000000" w:themeColor="text1"/>
          <w:sz w:val="21"/>
          <w:szCs w:val="21"/>
        </w:rPr>
        <w:t xml:space="preserve">орм показників послаблення радіаційного впливу (ступеня захисту </w:t>
      </w:r>
      <w:r w:rsidRPr="00CA7C54">
        <w:rPr>
          <w:i/>
          <w:color w:val="000000" w:themeColor="text1"/>
          <w:sz w:val="21"/>
          <w:szCs w:val="21"/>
        </w:rPr>
        <w:t>Аз</w:t>
      </w:r>
      <w:r w:rsidRPr="00CA7C54">
        <w:rPr>
          <w:color w:val="000000" w:themeColor="text1"/>
          <w:sz w:val="21"/>
          <w:szCs w:val="21"/>
        </w:rPr>
        <w:t xml:space="preserve"> чи коефіцієнта </w:t>
      </w:r>
      <w:r w:rsidRPr="00CA7C54">
        <w:rPr>
          <w:i/>
          <w:color w:val="000000" w:themeColor="text1"/>
          <w:sz w:val="21"/>
          <w:szCs w:val="21"/>
        </w:rPr>
        <w:t>Кз</w:t>
      </w:r>
      <w:r w:rsidRPr="00CA7C54">
        <w:rPr>
          <w:color w:val="000000" w:themeColor="text1"/>
          <w:sz w:val="21"/>
          <w:szCs w:val="21"/>
        </w:rPr>
        <w:t>) виконується виключно для огороджувальних конструкцій захисних споруд чи СПП, без врахування конструкцій споруд в які вони вбудовуються чи прибудовуються.</w:t>
      </w:r>
    </w:p>
    <w:p w14:paraId="0BC63E8A"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Характеристики захисних екранів, огороджувальних конструкцій входів, тамбурів, тамбур-шлюзів, шахт, форкамер, розширювальних камер, інших просторів захисної споруди або СПП, які мають сполучення із навколишнім середовищем через отвір (проріз, в тому числі заповнений дверима, ставнями, іншим пристроєм) за показниками послабленням радіаційного впливу мають відповідати огороджувальним конструкціям захисних споруд чи СПП.</w:t>
      </w:r>
    </w:p>
    <w:p w14:paraId="4F59D866" w14:textId="77777777" w:rsidR="003C4E04" w:rsidRPr="00CA7C54" w:rsidRDefault="001E748C" w:rsidP="003B320F">
      <w:pPr>
        <w:widowControl w:val="0"/>
        <w:pBdr>
          <w:top w:val="nil"/>
          <w:left w:val="nil"/>
          <w:bottom w:val="nil"/>
          <w:right w:val="nil"/>
          <w:between w:val="nil"/>
        </w:pBdr>
        <w:spacing w:before="0" w:line="288" w:lineRule="auto"/>
        <w:ind w:firstLine="709"/>
        <w:contextualSpacing/>
        <w:rPr>
          <w:color w:val="000000" w:themeColor="text1"/>
          <w:sz w:val="21"/>
          <w:szCs w:val="21"/>
        </w:rPr>
      </w:pPr>
      <w:r w:rsidRPr="00CA7C54">
        <w:rPr>
          <w:color w:val="000000" w:themeColor="text1"/>
          <w:sz w:val="21"/>
          <w:szCs w:val="21"/>
        </w:rPr>
        <w:t>Під час про</w:t>
      </w:r>
      <w:r w:rsidR="00343B3A" w:rsidRPr="00CA7C54">
        <w:rPr>
          <w:color w:val="000000" w:themeColor="text1"/>
          <w:sz w:val="21"/>
          <w:szCs w:val="21"/>
        </w:rPr>
        <w:t>є</w:t>
      </w:r>
      <w:r w:rsidRPr="00CA7C54">
        <w:rPr>
          <w:color w:val="000000" w:themeColor="text1"/>
          <w:sz w:val="21"/>
          <w:szCs w:val="21"/>
        </w:rPr>
        <w:t>ктування нових захисних споруд, СПП, їх реконструкції, тощо, не допускається забезпечувати нормативне значення послаблення радіаційного впливу тимчасовими організаційно-технічними рішеннями.</w:t>
      </w:r>
    </w:p>
    <w:p w14:paraId="44CF9799" w14:textId="77777777" w:rsidR="003C4E04" w:rsidRPr="00CA7C54" w:rsidRDefault="001E748C" w:rsidP="003B320F">
      <w:pPr>
        <w:widowControl w:val="0"/>
        <w:pBdr>
          <w:top w:val="nil"/>
          <w:left w:val="nil"/>
          <w:bottom w:val="nil"/>
          <w:right w:val="nil"/>
          <w:between w:val="nil"/>
        </w:pBdr>
        <w:spacing w:before="0" w:line="288" w:lineRule="auto"/>
        <w:ind w:firstLine="709"/>
        <w:contextualSpacing/>
        <w:rPr>
          <w:color w:val="000000" w:themeColor="text1"/>
          <w:sz w:val="20"/>
          <w:szCs w:val="20"/>
        </w:rPr>
      </w:pPr>
      <w:r w:rsidRPr="00CA7C54">
        <w:rPr>
          <w:b/>
          <w:color w:val="000000" w:themeColor="text1"/>
          <w:sz w:val="20"/>
          <w:szCs w:val="20"/>
        </w:rPr>
        <w:t>Примітка.</w:t>
      </w:r>
      <w:r w:rsidRPr="00CA7C54">
        <w:rPr>
          <w:color w:val="000000" w:themeColor="text1"/>
          <w:sz w:val="20"/>
          <w:szCs w:val="20"/>
        </w:rPr>
        <w:t xml:space="preserve"> Навколишнім середовищем є простір за межами огороджувальних  конструкцій захисної споруди чи СПП.</w:t>
      </w:r>
    </w:p>
    <w:p w14:paraId="6AF79A8D" w14:textId="77777777" w:rsidR="003C4E04" w:rsidRPr="00CA7C54" w:rsidRDefault="001E748C" w:rsidP="003B320F">
      <w:pPr>
        <w:keepNext/>
        <w:spacing w:before="0" w:line="288" w:lineRule="auto"/>
        <w:contextualSpacing/>
        <w:rPr>
          <w:b/>
          <w:color w:val="000000" w:themeColor="text1"/>
          <w:sz w:val="21"/>
          <w:szCs w:val="21"/>
        </w:rPr>
      </w:pPr>
      <w:r w:rsidRPr="00CA7C54">
        <w:rPr>
          <w:b/>
          <w:color w:val="000000" w:themeColor="text1"/>
          <w:sz w:val="21"/>
          <w:szCs w:val="21"/>
        </w:rPr>
        <w:t>Г.1 Сховища та СПП із захисними властивостями сховищ</w:t>
      </w:r>
    </w:p>
    <w:p w14:paraId="37F1087C"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Г.1.1</w:t>
      </w:r>
      <w:r w:rsidRPr="00CA7C54">
        <w:rPr>
          <w:color w:val="000000" w:themeColor="text1"/>
          <w:sz w:val="21"/>
          <w:szCs w:val="21"/>
        </w:rPr>
        <w:t xml:space="preserve">  Нормативний ступінь послаблення радіаційного впливу, </w:t>
      </w:r>
      <w:r w:rsidRPr="00CA7C54">
        <w:rPr>
          <w:i/>
          <w:color w:val="000000" w:themeColor="text1"/>
          <w:sz w:val="21"/>
          <w:szCs w:val="21"/>
        </w:rPr>
        <w:t>А</w:t>
      </w:r>
      <w:r w:rsidRPr="00CA7C54">
        <w:rPr>
          <w:i/>
          <w:color w:val="000000" w:themeColor="text1"/>
          <w:sz w:val="21"/>
          <w:szCs w:val="21"/>
          <w:vertAlign w:val="subscript"/>
        </w:rPr>
        <w:t>З</w:t>
      </w:r>
      <w:r w:rsidRPr="00CA7C54">
        <w:rPr>
          <w:color w:val="000000" w:themeColor="text1"/>
          <w:sz w:val="21"/>
          <w:szCs w:val="21"/>
        </w:rPr>
        <w:t xml:space="preserve">, огороджувальною конструкцією (стіною, покриттям, багатошаровими конструкціями, тощо) сховища чи СПП, вважається досягненим при виконанні нерівності: </w:t>
      </w:r>
    </w:p>
    <w:p w14:paraId="34DF613A" w14:textId="77777777" w:rsidR="00144AEF" w:rsidRPr="00CA7C54" w:rsidRDefault="00144AEF" w:rsidP="003B320F">
      <w:pPr>
        <w:widowControl w:val="0"/>
        <w:pBdr>
          <w:top w:val="nil"/>
          <w:left w:val="nil"/>
          <w:bottom w:val="nil"/>
          <w:right w:val="nil"/>
          <w:between w:val="nil"/>
        </w:pBdr>
        <w:spacing w:before="0" w:line="288" w:lineRule="auto"/>
        <w:contextualSpacing/>
        <w:rPr>
          <w:color w:val="000000" w:themeColor="text1"/>
          <w:sz w:val="21"/>
          <w:szCs w:val="21"/>
        </w:rPr>
      </w:pPr>
    </w:p>
    <w:p w14:paraId="78A1C249" w14:textId="77777777" w:rsidR="003C4E04" w:rsidRPr="00CA7C54" w:rsidRDefault="001E748C" w:rsidP="003B320F">
      <w:pPr>
        <w:widowControl w:val="0"/>
        <w:pBdr>
          <w:top w:val="nil"/>
          <w:left w:val="nil"/>
          <w:bottom w:val="nil"/>
          <w:right w:val="nil"/>
          <w:between w:val="nil"/>
        </w:pBdr>
        <w:spacing w:before="0" w:line="288" w:lineRule="auto"/>
        <w:contextualSpacing/>
        <w:jc w:val="right"/>
        <w:rPr>
          <w:color w:val="000000" w:themeColor="text1"/>
          <w:sz w:val="21"/>
          <w:szCs w:val="21"/>
        </w:rPr>
      </w:pPr>
      <w:r w:rsidRPr="002F5686">
        <w:rPr>
          <w:rFonts w:ascii="Times New Roman" w:hAnsi="Times New Roman" w:cs="Times New Roman"/>
          <w:i/>
          <w:color w:val="000000" w:themeColor="text1"/>
          <w:sz w:val="21"/>
          <w:szCs w:val="21"/>
        </w:rPr>
        <w:t>А</w:t>
      </w:r>
      <w:r w:rsidRPr="002F5686">
        <w:rPr>
          <w:rFonts w:ascii="Times New Roman" w:hAnsi="Times New Roman" w:cs="Times New Roman"/>
          <w:i/>
          <w:color w:val="000000" w:themeColor="text1"/>
          <w:sz w:val="21"/>
          <w:szCs w:val="21"/>
          <w:vertAlign w:val="subscript"/>
        </w:rPr>
        <w:t>З</w:t>
      </w:r>
      <w:sdt>
        <w:sdtPr>
          <w:rPr>
            <w:rFonts w:ascii="Times New Roman" w:hAnsi="Times New Roman" w:cs="Times New Roman"/>
            <w:color w:val="000000" w:themeColor="text1"/>
            <w:sz w:val="21"/>
            <w:szCs w:val="21"/>
          </w:rPr>
          <w:tag w:val="goog_rdk_63"/>
          <w:id w:val="592518526"/>
        </w:sdtPr>
        <w:sdtEndPr/>
        <w:sdtContent>
          <w:r w:rsidRPr="002F5686">
            <w:rPr>
              <w:rFonts w:ascii="Times New Roman" w:eastAsia="Arial Unicode MS" w:hAnsi="Times New Roman" w:cs="Times New Roman"/>
              <w:i/>
              <w:color w:val="000000" w:themeColor="text1"/>
              <w:sz w:val="21"/>
              <w:szCs w:val="21"/>
            </w:rPr>
            <w:t xml:space="preserve"> ≤ А</w:t>
          </w:r>
        </w:sdtContent>
      </w:sdt>
      <w:r w:rsidRPr="002F5686">
        <w:rPr>
          <w:rFonts w:ascii="Times New Roman" w:hAnsi="Times New Roman" w:cs="Times New Roman"/>
          <w:i/>
          <w:color w:val="000000" w:themeColor="text1"/>
          <w:sz w:val="21"/>
          <w:szCs w:val="21"/>
          <w:vertAlign w:val="subscript"/>
        </w:rPr>
        <w:t>ЗФ</w:t>
      </w:r>
      <w:r w:rsidRPr="002F5686">
        <w:rPr>
          <w:rFonts w:ascii="Times New Roman" w:hAnsi="Times New Roman" w:cs="Times New Roman"/>
          <w:i/>
          <w:color w:val="000000" w:themeColor="text1"/>
          <w:sz w:val="21"/>
          <w:szCs w:val="21"/>
        </w:rPr>
        <w:t xml:space="preserve"> = 1,18 (K</w:t>
      </w:r>
      <w:r w:rsidRPr="002F5686">
        <w:rPr>
          <w:rFonts w:ascii="Times New Roman" w:hAnsi="Times New Roman" w:cs="Times New Roman"/>
          <w:i/>
          <w:color w:val="000000" w:themeColor="text1"/>
          <w:sz w:val="21"/>
          <w:szCs w:val="21"/>
          <w:vertAlign w:val="subscript"/>
        </w:rPr>
        <w:t>y,i</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n,i</w:t>
      </w:r>
      <w:r w:rsidRPr="002F5686">
        <w:rPr>
          <w:rFonts w:ascii="Times New Roman" w:hAnsi="Times New Roman" w:cs="Times New Roman"/>
          <w:i/>
          <w:color w:val="000000" w:themeColor="text1"/>
          <w:sz w:val="21"/>
          <w:szCs w:val="21"/>
        </w:rPr>
        <w:t>) × K</w:t>
      </w:r>
      <w:r w:rsidRPr="002F5686">
        <w:rPr>
          <w:rFonts w:ascii="Times New Roman" w:hAnsi="Times New Roman" w:cs="Times New Roman"/>
          <w:i/>
          <w:color w:val="000000" w:themeColor="text1"/>
          <w:sz w:val="21"/>
          <w:szCs w:val="21"/>
          <w:vertAlign w:val="subscript"/>
        </w:rPr>
        <w:t>p</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N</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y,i</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n,i</w:t>
      </w:r>
      <w:r w:rsidRPr="002F5686">
        <w:rPr>
          <w:rFonts w:ascii="Times New Roman" w:hAnsi="Times New Roman" w:cs="Times New Roman"/>
          <w:i/>
          <w:color w:val="000000" w:themeColor="text1"/>
          <w:sz w:val="21"/>
          <w:szCs w:val="21"/>
        </w:rPr>
        <w:t>)</w:t>
      </w:r>
      <w:r w:rsidRPr="002F5686">
        <w:rPr>
          <w:rFonts w:ascii="Times New Roman" w:hAnsi="Times New Roman" w:cs="Times New Roman"/>
          <w:color w:val="000000" w:themeColor="text1"/>
          <w:sz w:val="21"/>
          <w:szCs w:val="21"/>
        </w:rPr>
        <w:t>,</w:t>
      </w:r>
      <w:r w:rsidRPr="00CA7C54">
        <w:rPr>
          <w:color w:val="000000" w:themeColor="text1"/>
          <w:sz w:val="21"/>
          <w:szCs w:val="21"/>
        </w:rPr>
        <w:t xml:space="preserve">                                      (Г.1) </w:t>
      </w:r>
    </w:p>
    <w:p w14:paraId="70A77103"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де: </w:t>
      </w:r>
    </w:p>
    <w:p w14:paraId="62A78217"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А</w:t>
      </w:r>
      <w:r w:rsidRPr="002F5686">
        <w:rPr>
          <w:rFonts w:ascii="Times New Roman" w:hAnsi="Times New Roman" w:cs="Times New Roman"/>
          <w:i/>
          <w:color w:val="000000" w:themeColor="text1"/>
          <w:sz w:val="21"/>
          <w:szCs w:val="21"/>
          <w:vertAlign w:val="subscript"/>
        </w:rPr>
        <w:t>З</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нормативний ступінь послаблення, який приймається згідно з таблицею А.1 додатк</w:t>
      </w:r>
      <w:r w:rsidR="00144AEF" w:rsidRPr="00CA7C54">
        <w:rPr>
          <w:color w:val="000000" w:themeColor="text1"/>
          <w:sz w:val="21"/>
          <w:szCs w:val="21"/>
        </w:rPr>
        <w:t>а</w:t>
      </w:r>
      <w:r w:rsidRPr="00CA7C54">
        <w:rPr>
          <w:color w:val="000000" w:themeColor="text1"/>
          <w:sz w:val="21"/>
          <w:szCs w:val="21"/>
        </w:rPr>
        <w:t xml:space="preserve"> А цих </w:t>
      </w:r>
      <w:r w:rsidR="00144AEF" w:rsidRPr="00CA7C54">
        <w:rPr>
          <w:color w:val="000000" w:themeColor="text1"/>
          <w:sz w:val="21"/>
          <w:szCs w:val="21"/>
        </w:rPr>
        <w:t>н</w:t>
      </w:r>
      <w:r w:rsidRPr="00CA7C54">
        <w:rPr>
          <w:color w:val="000000" w:themeColor="text1"/>
          <w:sz w:val="21"/>
          <w:szCs w:val="21"/>
        </w:rPr>
        <w:t xml:space="preserve">орм залежно від класу споруди; </w:t>
      </w:r>
    </w:p>
    <w:p w14:paraId="4F368BE3"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А</w:t>
      </w:r>
      <w:r w:rsidRPr="002F5686">
        <w:rPr>
          <w:rFonts w:ascii="Times New Roman" w:hAnsi="Times New Roman" w:cs="Times New Roman"/>
          <w:i/>
          <w:color w:val="000000" w:themeColor="text1"/>
          <w:sz w:val="21"/>
          <w:szCs w:val="21"/>
          <w:vertAlign w:val="subscript"/>
        </w:rPr>
        <w:t>ЗФ</w:t>
      </w:r>
      <w:r w:rsidRPr="00CA7C54">
        <w:rPr>
          <w:color w:val="000000" w:themeColor="text1"/>
          <w:sz w:val="21"/>
          <w:szCs w:val="21"/>
        </w:rPr>
        <w:t xml:space="preserve"> – розрахунковий ступінь послаблення;</w:t>
      </w:r>
    </w:p>
    <w:p w14:paraId="7AA17401"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y,i</w:t>
      </w:r>
      <w:r w:rsidRPr="00CA7C54">
        <w:rPr>
          <w:color w:val="000000" w:themeColor="text1"/>
          <w:sz w:val="21"/>
          <w:szCs w:val="21"/>
        </w:rPr>
        <w:t xml:space="preserve"> – коефіцієнт послаблення дози гамма-випромінювання огороджувальною  конструкцією з одного або декількох </w:t>
      </w:r>
      <w:r w:rsidRPr="00CA7C54">
        <w:rPr>
          <w:i/>
          <w:color w:val="000000" w:themeColor="text1"/>
          <w:sz w:val="21"/>
          <w:szCs w:val="21"/>
        </w:rPr>
        <w:t>і</w:t>
      </w:r>
      <w:r w:rsidRPr="00CA7C54">
        <w:rPr>
          <w:color w:val="000000" w:themeColor="text1"/>
          <w:sz w:val="21"/>
          <w:szCs w:val="21"/>
        </w:rPr>
        <w:t>-тих шарів матеріалу, що приймається для шару матеріалу за таблицею Г.1 та дорівнює добутку їх відповідних значень, якщо шарів матеріалів декілька;</w:t>
      </w:r>
    </w:p>
    <w:p w14:paraId="1EEC43D3"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n,i</w:t>
      </w:r>
      <w:r w:rsidRPr="00CA7C54">
        <w:rPr>
          <w:color w:val="000000" w:themeColor="text1"/>
          <w:sz w:val="21"/>
          <w:szCs w:val="21"/>
        </w:rPr>
        <w:t xml:space="preserve"> – коефіцієнт послаблення дози нейтронів огороджувальною  конструкцією з одного або декількох</w:t>
      </w:r>
      <w:r w:rsidRPr="00CA7C54">
        <w:rPr>
          <w:i/>
          <w:color w:val="000000" w:themeColor="text1"/>
          <w:sz w:val="21"/>
          <w:szCs w:val="21"/>
        </w:rPr>
        <w:t>і</w:t>
      </w:r>
      <w:r w:rsidRPr="00CA7C54">
        <w:rPr>
          <w:color w:val="000000" w:themeColor="text1"/>
          <w:sz w:val="21"/>
          <w:szCs w:val="21"/>
        </w:rPr>
        <w:t>-тих шарів матеріалу, що приймається для шару матеріалу за таблицею Г.1 та дорівнює добутку їх значень, якщо шарів матеріалів декілька;</w:t>
      </w:r>
    </w:p>
    <w:p w14:paraId="68F2BA0F"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N</w:t>
      </w:r>
      <w:r w:rsidRPr="00CA7C54">
        <w:rPr>
          <w:color w:val="000000" w:themeColor="text1"/>
          <w:sz w:val="21"/>
          <w:szCs w:val="21"/>
        </w:rPr>
        <w:t xml:space="preserve"> – коефіцієнт, що враховує товщину шару матеріалу, значення якого визначається за таблицею Г.4;</w:t>
      </w:r>
    </w:p>
    <w:p w14:paraId="42D8CB6F"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p</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коефіцієнт умов розташування сховищ чи СПП.</w:t>
      </w:r>
    </w:p>
    <w:p w14:paraId="12013014"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CA7C54">
        <w:rPr>
          <w:color w:val="000000" w:themeColor="text1"/>
          <w:sz w:val="21"/>
          <w:szCs w:val="21"/>
        </w:rPr>
        <w:t xml:space="preserve">Під час виконання розрахунку за формулою Г.1 коефіцієнти </w:t>
      </w:r>
      <w:r w:rsidRPr="00CA7C54">
        <w:rPr>
          <w:i/>
          <w:color w:val="000000" w:themeColor="text1"/>
          <w:sz w:val="21"/>
          <w:szCs w:val="21"/>
        </w:rPr>
        <w:t>K</w:t>
      </w:r>
      <w:r w:rsidRPr="00CA7C54">
        <w:rPr>
          <w:i/>
          <w:color w:val="000000" w:themeColor="text1"/>
          <w:sz w:val="21"/>
          <w:szCs w:val="21"/>
          <w:vertAlign w:val="subscript"/>
        </w:rPr>
        <w:t>y,i</w:t>
      </w:r>
      <w:r w:rsidRPr="00CA7C54">
        <w:rPr>
          <w:color w:val="000000" w:themeColor="text1"/>
          <w:sz w:val="21"/>
          <w:szCs w:val="21"/>
        </w:rPr>
        <w:t xml:space="preserve">та </w:t>
      </w:r>
      <w:r w:rsidRPr="00CA7C54">
        <w:rPr>
          <w:i/>
          <w:color w:val="000000" w:themeColor="text1"/>
          <w:sz w:val="21"/>
          <w:szCs w:val="21"/>
        </w:rPr>
        <w:t>K</w:t>
      </w:r>
      <w:r w:rsidRPr="00CA7C54">
        <w:rPr>
          <w:i/>
          <w:color w:val="000000" w:themeColor="text1"/>
          <w:sz w:val="21"/>
          <w:szCs w:val="21"/>
          <w:vertAlign w:val="subscript"/>
        </w:rPr>
        <w:t xml:space="preserve">n,i </w:t>
      </w:r>
      <w:r w:rsidRPr="00CA7C54">
        <w:rPr>
          <w:color w:val="000000" w:themeColor="text1"/>
          <w:sz w:val="21"/>
          <w:szCs w:val="21"/>
        </w:rPr>
        <w:t>застосовуються лише по відношенню до огороджувальних конструкцій (в тому числі ґрунтової обсипки, тощо), що безпосередньо належать до об’ємів сховищ чи СПП, і не застосовуються щодо огороджувальних конструкцій будівель/споруд, у які ці сховища чи СПП вбудовуються.</w:t>
      </w:r>
    </w:p>
    <w:p w14:paraId="529E1F12"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CA7C54">
        <w:rPr>
          <w:b/>
          <w:color w:val="000000" w:themeColor="text1"/>
          <w:sz w:val="21"/>
          <w:szCs w:val="21"/>
        </w:rPr>
        <w:t>Г.1.2</w:t>
      </w:r>
      <w:r w:rsidRPr="00CA7C54">
        <w:rPr>
          <w:color w:val="000000" w:themeColor="text1"/>
          <w:sz w:val="21"/>
          <w:szCs w:val="21"/>
        </w:rPr>
        <w:t xml:space="preserve"> Коефіцієнт умов розташування, </w:t>
      </w:r>
      <w:r w:rsidRPr="00CA7C54">
        <w:rPr>
          <w:i/>
          <w:color w:val="000000" w:themeColor="text1"/>
          <w:sz w:val="21"/>
          <w:szCs w:val="21"/>
        </w:rPr>
        <w:t>K</w:t>
      </w:r>
      <w:r w:rsidRPr="00CA7C54">
        <w:rPr>
          <w:i/>
          <w:color w:val="000000" w:themeColor="text1"/>
          <w:sz w:val="21"/>
          <w:szCs w:val="21"/>
          <w:vertAlign w:val="subscript"/>
        </w:rPr>
        <w:t>p</w:t>
      </w:r>
      <w:r w:rsidRPr="00CA7C54">
        <w:rPr>
          <w:color w:val="000000" w:themeColor="text1"/>
          <w:sz w:val="21"/>
          <w:szCs w:val="21"/>
        </w:rPr>
        <w:t xml:space="preserve">, визначається за формулою: </w:t>
      </w:r>
    </w:p>
    <w:p w14:paraId="171ACB09" w14:textId="77777777" w:rsidR="00144AEF" w:rsidRPr="00CA7C54" w:rsidRDefault="00144AEF" w:rsidP="003B320F">
      <w:pPr>
        <w:widowControl w:val="0"/>
        <w:pBdr>
          <w:top w:val="nil"/>
          <w:left w:val="nil"/>
          <w:bottom w:val="nil"/>
          <w:right w:val="nil"/>
          <w:between w:val="nil"/>
        </w:pBdr>
        <w:spacing w:before="0" w:line="288" w:lineRule="auto"/>
        <w:contextualSpacing/>
        <w:rPr>
          <w:color w:val="000000" w:themeColor="text1"/>
          <w:sz w:val="21"/>
          <w:szCs w:val="21"/>
        </w:rPr>
      </w:pPr>
    </w:p>
    <w:p w14:paraId="79EBD568" w14:textId="77777777" w:rsidR="003C4E04" w:rsidRPr="00CA7C54" w:rsidRDefault="001E748C" w:rsidP="003B320F">
      <w:pPr>
        <w:widowControl w:val="0"/>
        <w:pBdr>
          <w:top w:val="nil"/>
          <w:left w:val="nil"/>
          <w:bottom w:val="nil"/>
          <w:right w:val="nil"/>
          <w:between w:val="nil"/>
        </w:pBdr>
        <w:spacing w:before="0" w:line="288" w:lineRule="auto"/>
        <w:contextualSpacing/>
        <w:jc w:val="right"/>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p</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заб</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буд</w:t>
      </w:r>
      <w:r w:rsidRPr="00CA7C54">
        <w:rPr>
          <w:color w:val="000000" w:themeColor="text1"/>
          <w:sz w:val="21"/>
          <w:szCs w:val="21"/>
        </w:rPr>
        <w:t xml:space="preserve">,                                                                 (Г.2) </w:t>
      </w:r>
    </w:p>
    <w:p w14:paraId="6766FF60"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де </w:t>
      </w:r>
    </w:p>
    <w:p w14:paraId="755FE4CE"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заб</w:t>
      </w:r>
      <w:r w:rsidRPr="00CA7C54">
        <w:rPr>
          <w:color w:val="000000" w:themeColor="text1"/>
          <w:sz w:val="21"/>
          <w:szCs w:val="21"/>
        </w:rPr>
        <w:t xml:space="preserve"> – коефіцієнт, який враховує зниження дози проникаючої радіації у забудові та  приймається за таблицею Г.2; </w:t>
      </w:r>
    </w:p>
    <w:p w14:paraId="7AD9B85B"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lastRenderedPageBreak/>
        <w:t>K</w:t>
      </w:r>
      <w:r w:rsidRPr="002F5686">
        <w:rPr>
          <w:rFonts w:ascii="Times New Roman" w:hAnsi="Times New Roman" w:cs="Times New Roman"/>
          <w:i/>
          <w:color w:val="000000" w:themeColor="text1"/>
          <w:sz w:val="21"/>
          <w:szCs w:val="21"/>
          <w:vertAlign w:val="subscript"/>
        </w:rPr>
        <w:t>буд</w:t>
      </w:r>
      <w:r w:rsidRPr="00CA7C54">
        <w:rPr>
          <w:color w:val="000000" w:themeColor="text1"/>
          <w:sz w:val="21"/>
          <w:szCs w:val="21"/>
        </w:rPr>
        <w:t xml:space="preserve"> – коефіцієнт, який приймається за таблицею Г.3 і враховує послаблення радіації огороджувальними конструкціями житлових, громадських та виробничих будівель, в які вбудовані сховища чи СПП. Особливості визначення коефіцієнта </w:t>
      </w:r>
      <w:r w:rsidRPr="00CA7C54">
        <w:rPr>
          <w:i/>
          <w:color w:val="000000" w:themeColor="text1"/>
          <w:sz w:val="21"/>
          <w:szCs w:val="21"/>
        </w:rPr>
        <w:t>K</w:t>
      </w:r>
      <w:r w:rsidRPr="00CA7C54">
        <w:rPr>
          <w:i/>
          <w:color w:val="000000" w:themeColor="text1"/>
          <w:sz w:val="21"/>
          <w:szCs w:val="21"/>
          <w:vertAlign w:val="subscript"/>
        </w:rPr>
        <w:t>буд</w:t>
      </w:r>
      <w:r w:rsidRPr="00CA7C54">
        <w:rPr>
          <w:color w:val="000000" w:themeColor="text1"/>
          <w:sz w:val="21"/>
          <w:szCs w:val="21"/>
        </w:rPr>
        <w:t xml:space="preserve">  наведено в примітках до таблиці Г.3.</w:t>
      </w:r>
    </w:p>
    <w:p w14:paraId="0D826F47"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Г.1.3</w:t>
      </w:r>
      <w:r w:rsidRPr="00CA7C54">
        <w:rPr>
          <w:color w:val="000000" w:themeColor="text1"/>
          <w:sz w:val="21"/>
          <w:szCs w:val="21"/>
        </w:rPr>
        <w:t xml:space="preserve"> Для матеріалів, близьких за хімічним складом до наведених у таблиці Г.1, але які відрізняються щільністю, коефіцієнти </w:t>
      </w:r>
      <w:r w:rsidRPr="00CA7C54">
        <w:rPr>
          <w:i/>
          <w:color w:val="000000" w:themeColor="text1"/>
          <w:sz w:val="21"/>
          <w:szCs w:val="21"/>
        </w:rPr>
        <w:t>K</w:t>
      </w:r>
      <w:r w:rsidRPr="00CA7C54">
        <w:rPr>
          <w:i/>
          <w:color w:val="000000" w:themeColor="text1"/>
          <w:sz w:val="21"/>
          <w:szCs w:val="21"/>
          <w:vertAlign w:val="subscript"/>
        </w:rPr>
        <w:t>y</w:t>
      </w:r>
      <w:r w:rsidRPr="00CA7C54">
        <w:rPr>
          <w:color w:val="000000" w:themeColor="text1"/>
          <w:sz w:val="21"/>
          <w:szCs w:val="21"/>
        </w:rPr>
        <w:t xml:space="preserve">та </w:t>
      </w:r>
      <w:r w:rsidRPr="00CA7C54">
        <w:rPr>
          <w:i/>
          <w:color w:val="000000" w:themeColor="text1"/>
          <w:sz w:val="21"/>
          <w:szCs w:val="21"/>
        </w:rPr>
        <w:t>K</w:t>
      </w:r>
      <w:r w:rsidRPr="00CA7C54">
        <w:rPr>
          <w:i/>
          <w:color w:val="000000" w:themeColor="text1"/>
          <w:sz w:val="21"/>
          <w:szCs w:val="21"/>
          <w:vertAlign w:val="subscript"/>
        </w:rPr>
        <w:t xml:space="preserve"> n</w:t>
      </w:r>
      <w:r w:rsidRPr="00CA7C54">
        <w:rPr>
          <w:color w:val="000000" w:themeColor="text1"/>
          <w:sz w:val="21"/>
          <w:szCs w:val="21"/>
        </w:rPr>
        <w:t xml:space="preserve">  визначаються для товщини приведеного шару </w:t>
      </w:r>
      <w:r w:rsidRPr="00CA7C54">
        <w:rPr>
          <w:i/>
          <w:color w:val="000000" w:themeColor="text1"/>
          <w:sz w:val="21"/>
          <w:szCs w:val="21"/>
        </w:rPr>
        <w:t xml:space="preserve">х </w:t>
      </w:r>
      <w:r w:rsidRPr="00CA7C54">
        <w:rPr>
          <w:i/>
          <w:color w:val="000000" w:themeColor="text1"/>
          <w:sz w:val="21"/>
          <w:szCs w:val="21"/>
          <w:vertAlign w:val="subscript"/>
        </w:rPr>
        <w:t>пр,ρ</w:t>
      </w:r>
      <w:r w:rsidRPr="00CA7C54">
        <w:rPr>
          <w:color w:val="000000" w:themeColor="text1"/>
          <w:sz w:val="21"/>
          <w:szCs w:val="21"/>
        </w:rPr>
        <w:t xml:space="preserve">, який визначається за формулою: </w:t>
      </w:r>
    </w:p>
    <w:p w14:paraId="5FF39FC7" w14:textId="77777777" w:rsidR="003C4E04" w:rsidRPr="00CA7C54" w:rsidRDefault="001E748C" w:rsidP="003B320F">
      <w:pPr>
        <w:widowControl w:val="0"/>
        <w:pBdr>
          <w:top w:val="nil"/>
          <w:left w:val="nil"/>
          <w:bottom w:val="nil"/>
          <w:right w:val="nil"/>
          <w:between w:val="nil"/>
        </w:pBdr>
        <w:spacing w:before="0" w:line="288" w:lineRule="auto"/>
        <w:contextualSpacing/>
        <w:jc w:val="right"/>
        <w:rPr>
          <w:color w:val="000000" w:themeColor="text1"/>
          <w:sz w:val="21"/>
          <w:szCs w:val="21"/>
        </w:rPr>
      </w:pPr>
      <w:r w:rsidRPr="002F5686">
        <w:rPr>
          <w:rFonts w:ascii="Times New Roman" w:hAnsi="Times New Roman" w:cs="Times New Roman"/>
          <w:i/>
          <w:color w:val="000000" w:themeColor="text1"/>
        </w:rPr>
        <w:t>х</w:t>
      </w:r>
      <w:r w:rsidRPr="002F5686">
        <w:rPr>
          <w:rFonts w:ascii="Times New Roman" w:hAnsi="Times New Roman" w:cs="Times New Roman"/>
          <w:i/>
          <w:color w:val="000000" w:themeColor="text1"/>
          <w:vertAlign w:val="subscript"/>
        </w:rPr>
        <w:t>пр,ρ</w:t>
      </w:r>
      <w:r w:rsidRPr="002F5686">
        <w:rPr>
          <w:rFonts w:ascii="Times New Roman" w:hAnsi="Times New Roman" w:cs="Times New Roman"/>
          <w:i/>
          <w:color w:val="000000" w:themeColor="text1"/>
        </w:rPr>
        <w:t xml:space="preserve"> = x × ρ</w:t>
      </w:r>
      <w:r w:rsidRPr="002F5686">
        <w:rPr>
          <w:rFonts w:ascii="Times New Roman" w:hAnsi="Times New Roman" w:cs="Times New Roman"/>
          <w:i/>
          <w:color w:val="000000" w:themeColor="text1"/>
          <w:vertAlign w:val="subscript"/>
        </w:rPr>
        <w:t>x</w:t>
      </w:r>
      <w:r w:rsidRPr="002F5686">
        <w:rPr>
          <w:rFonts w:ascii="Times New Roman" w:hAnsi="Times New Roman" w:cs="Times New Roman"/>
          <w:i/>
          <w:color w:val="000000" w:themeColor="text1"/>
        </w:rPr>
        <w:t xml:space="preserve"> /ρ</w:t>
      </w:r>
      <w:r w:rsidRPr="002F5686">
        <w:rPr>
          <w:rFonts w:ascii="Times New Roman" w:hAnsi="Times New Roman" w:cs="Times New Roman"/>
          <w:color w:val="000000" w:themeColor="text1"/>
        </w:rPr>
        <w:t xml:space="preserve">,                                                                   </w:t>
      </w:r>
      <w:r w:rsidRPr="00CA7C54">
        <w:rPr>
          <w:color w:val="000000" w:themeColor="text1"/>
          <w:sz w:val="21"/>
          <w:szCs w:val="21"/>
        </w:rPr>
        <w:t xml:space="preserve">(Г.3)  </w:t>
      </w:r>
    </w:p>
    <w:p w14:paraId="20457CD9"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де</w:t>
      </w:r>
    </w:p>
    <w:p w14:paraId="24D3455C"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х</w:t>
      </w:r>
      <w:r w:rsidRPr="002F5686">
        <w:rPr>
          <w:rFonts w:ascii="Times New Roman" w:hAnsi="Times New Roman" w:cs="Times New Roman"/>
          <w:i/>
          <w:color w:val="000000" w:themeColor="text1"/>
          <w:sz w:val="21"/>
          <w:szCs w:val="21"/>
          <w:vertAlign w:val="subscript"/>
        </w:rPr>
        <w:t>пр,ρ</w:t>
      </w:r>
      <w:r w:rsidRPr="00CA7C54">
        <w:rPr>
          <w:color w:val="000000" w:themeColor="text1"/>
          <w:sz w:val="21"/>
          <w:szCs w:val="21"/>
        </w:rPr>
        <w:t xml:space="preserve">  - товщина приведеного шару, см;</w:t>
      </w:r>
    </w:p>
    <w:p w14:paraId="58189A8F"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ρ</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щільність матеріалу з відомими значеннями </w:t>
      </w:r>
      <w:r w:rsidRPr="00CA7C54">
        <w:rPr>
          <w:i/>
          <w:color w:val="000000" w:themeColor="text1"/>
          <w:sz w:val="21"/>
          <w:szCs w:val="21"/>
        </w:rPr>
        <w:t>K</w:t>
      </w:r>
      <w:r w:rsidRPr="00CA7C54">
        <w:rPr>
          <w:i/>
          <w:color w:val="000000" w:themeColor="text1"/>
          <w:sz w:val="21"/>
          <w:szCs w:val="21"/>
          <w:vertAlign w:val="subscript"/>
        </w:rPr>
        <w:t xml:space="preserve"> n</w:t>
      </w:r>
      <w:r w:rsidRPr="00CA7C54">
        <w:rPr>
          <w:color w:val="000000" w:themeColor="text1"/>
          <w:sz w:val="21"/>
          <w:szCs w:val="21"/>
        </w:rPr>
        <w:t xml:space="preserve"> та </w:t>
      </w:r>
      <w:r w:rsidRPr="00CA7C54">
        <w:rPr>
          <w:i/>
          <w:color w:val="000000" w:themeColor="text1"/>
          <w:sz w:val="21"/>
          <w:szCs w:val="21"/>
        </w:rPr>
        <w:t>K</w:t>
      </w:r>
      <w:r w:rsidRPr="00CA7C54">
        <w:rPr>
          <w:i/>
          <w:color w:val="000000" w:themeColor="text1"/>
          <w:sz w:val="21"/>
          <w:szCs w:val="21"/>
          <w:vertAlign w:val="subscript"/>
        </w:rPr>
        <w:t xml:space="preserve"> y</w:t>
      </w:r>
      <w:r w:rsidRPr="00CA7C54">
        <w:rPr>
          <w:color w:val="000000" w:themeColor="text1"/>
          <w:sz w:val="21"/>
          <w:szCs w:val="21"/>
        </w:rPr>
        <w:t xml:space="preserve">; </w:t>
      </w:r>
    </w:p>
    <w:p w14:paraId="42EE4C5F"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х</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товщина шару, см, матеріалу з щільністю </w:t>
      </w:r>
      <w:r w:rsidRPr="00CA7C54">
        <w:rPr>
          <w:i/>
          <w:color w:val="000000" w:themeColor="text1"/>
          <w:sz w:val="21"/>
          <w:szCs w:val="21"/>
        </w:rPr>
        <w:t>ρ</w:t>
      </w:r>
      <w:r w:rsidRPr="00CA7C54">
        <w:rPr>
          <w:i/>
          <w:color w:val="000000" w:themeColor="text1"/>
          <w:sz w:val="21"/>
          <w:szCs w:val="21"/>
          <w:vertAlign w:val="subscript"/>
        </w:rPr>
        <w:t xml:space="preserve"> x</w:t>
      </w:r>
      <w:r w:rsidRPr="00CA7C54">
        <w:rPr>
          <w:color w:val="000000" w:themeColor="text1"/>
          <w:sz w:val="21"/>
          <w:szCs w:val="21"/>
        </w:rPr>
        <w:t xml:space="preserve">, для якого визначається приведена товщина </w:t>
      </w:r>
      <w:r w:rsidRPr="00CA7C54">
        <w:rPr>
          <w:i/>
          <w:color w:val="000000" w:themeColor="text1"/>
          <w:sz w:val="21"/>
          <w:szCs w:val="21"/>
        </w:rPr>
        <w:t>х</w:t>
      </w:r>
      <w:r w:rsidRPr="00CA7C54">
        <w:rPr>
          <w:i/>
          <w:color w:val="000000" w:themeColor="text1"/>
          <w:sz w:val="21"/>
          <w:szCs w:val="21"/>
          <w:vertAlign w:val="subscript"/>
        </w:rPr>
        <w:t>пр,ρ</w:t>
      </w:r>
      <w:r w:rsidRPr="00CA7C54">
        <w:rPr>
          <w:color w:val="000000" w:themeColor="text1"/>
          <w:sz w:val="21"/>
          <w:szCs w:val="21"/>
        </w:rPr>
        <w:t>;</w:t>
      </w:r>
    </w:p>
    <w:p w14:paraId="4AF4ABFB"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ρ</w:t>
      </w:r>
      <w:r w:rsidRPr="002F5686">
        <w:rPr>
          <w:rFonts w:ascii="Times New Roman" w:hAnsi="Times New Roman" w:cs="Times New Roman"/>
          <w:i/>
          <w:color w:val="000000" w:themeColor="text1"/>
          <w:sz w:val="21"/>
          <w:szCs w:val="21"/>
          <w:vertAlign w:val="subscript"/>
        </w:rPr>
        <w:t>x</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щільність матеріалу, кг/м.куб., для шару якого визначається приведена товщина </w:t>
      </w:r>
      <w:r w:rsidRPr="00CA7C54">
        <w:rPr>
          <w:i/>
          <w:color w:val="000000" w:themeColor="text1"/>
          <w:sz w:val="21"/>
          <w:szCs w:val="21"/>
        </w:rPr>
        <w:t>х</w:t>
      </w:r>
      <w:r w:rsidRPr="00CA7C54">
        <w:rPr>
          <w:i/>
          <w:color w:val="000000" w:themeColor="text1"/>
          <w:sz w:val="21"/>
          <w:szCs w:val="21"/>
          <w:vertAlign w:val="subscript"/>
        </w:rPr>
        <w:t>пр,ρ</w:t>
      </w:r>
      <w:r w:rsidRPr="00CA7C54">
        <w:rPr>
          <w:color w:val="000000" w:themeColor="text1"/>
          <w:sz w:val="21"/>
          <w:szCs w:val="21"/>
        </w:rPr>
        <w:t>.</w:t>
      </w:r>
    </w:p>
    <w:p w14:paraId="2776A35D"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Г.1.4</w:t>
      </w:r>
      <w:r w:rsidRPr="00CA7C54">
        <w:rPr>
          <w:color w:val="000000" w:themeColor="text1"/>
          <w:sz w:val="21"/>
          <w:szCs w:val="21"/>
        </w:rPr>
        <w:t xml:space="preserve"> Для матеріалів, близьких за хімічним складом, але які відрізняються рівнем вологості при однаковій щільності i не включені у таблицю Г.1, приведену товщину </w:t>
      </w:r>
      <w:r w:rsidRPr="00CA7C54">
        <w:rPr>
          <w:i/>
          <w:color w:val="000000" w:themeColor="text1"/>
          <w:sz w:val="21"/>
          <w:szCs w:val="21"/>
        </w:rPr>
        <w:t>х</w:t>
      </w:r>
      <w:r w:rsidRPr="00CA7C54">
        <w:rPr>
          <w:i/>
          <w:color w:val="000000" w:themeColor="text1"/>
          <w:sz w:val="21"/>
          <w:szCs w:val="21"/>
          <w:vertAlign w:val="subscript"/>
        </w:rPr>
        <w:t>пp,n</w:t>
      </w:r>
      <w:r w:rsidRPr="00CA7C54">
        <w:rPr>
          <w:color w:val="000000" w:themeColor="text1"/>
          <w:sz w:val="21"/>
          <w:szCs w:val="21"/>
        </w:rPr>
        <w:t xml:space="preserve"> слiд визначати за формулою:</w:t>
      </w:r>
    </w:p>
    <w:p w14:paraId="0D65DED6" w14:textId="77777777" w:rsidR="003C4E04" w:rsidRPr="00CA7C54" w:rsidRDefault="001E748C" w:rsidP="003B320F">
      <w:pPr>
        <w:pBdr>
          <w:top w:val="nil"/>
          <w:left w:val="nil"/>
          <w:bottom w:val="nil"/>
          <w:right w:val="nil"/>
          <w:between w:val="nil"/>
        </w:pBdr>
        <w:spacing w:before="0" w:line="288" w:lineRule="auto"/>
        <w:ind w:left="142" w:right="141" w:firstLine="709"/>
        <w:contextualSpacing/>
        <w:jc w:val="right"/>
        <w:rPr>
          <w:color w:val="000000" w:themeColor="text1"/>
          <w:sz w:val="21"/>
          <w:szCs w:val="21"/>
        </w:rPr>
      </w:pPr>
      <w:r w:rsidRPr="002F5686">
        <w:rPr>
          <w:rFonts w:ascii="Times New Roman" w:hAnsi="Times New Roman" w:cs="Times New Roman"/>
          <w:i/>
          <w:color w:val="000000" w:themeColor="text1"/>
          <w:sz w:val="21"/>
          <w:szCs w:val="21"/>
        </w:rPr>
        <w:t>х</w:t>
      </w:r>
      <w:r w:rsidRPr="002F5686">
        <w:rPr>
          <w:rFonts w:ascii="Times New Roman" w:hAnsi="Times New Roman" w:cs="Times New Roman"/>
          <w:i/>
          <w:color w:val="000000" w:themeColor="text1"/>
          <w:sz w:val="21"/>
          <w:szCs w:val="21"/>
          <w:vertAlign w:val="subscript"/>
        </w:rPr>
        <w:t>пр,n</w:t>
      </w:r>
      <w:r w:rsidRPr="002F5686">
        <w:rPr>
          <w:rFonts w:ascii="Times New Roman" w:hAnsi="Times New Roman" w:cs="Times New Roman"/>
          <w:i/>
          <w:color w:val="000000" w:themeColor="text1"/>
          <w:sz w:val="21"/>
          <w:szCs w:val="21"/>
        </w:rPr>
        <w:t xml:space="preserve"> = х</w:t>
      </w:r>
      <w:r w:rsidRPr="002F5686">
        <w:rPr>
          <w:rFonts w:ascii="Times New Roman" w:hAnsi="Times New Roman" w:cs="Times New Roman"/>
          <w:i/>
          <w:color w:val="000000" w:themeColor="text1"/>
          <w:sz w:val="21"/>
          <w:szCs w:val="21"/>
          <w:vertAlign w:val="subscript"/>
        </w:rPr>
        <w:t xml:space="preserve">пр,ρ </w:t>
      </w:r>
      <w:r w:rsidRPr="002F5686">
        <w:rPr>
          <w:rFonts w:ascii="Times New Roman" w:hAnsi="Times New Roman" w:cs="Times New Roman"/>
          <w:i/>
          <w:color w:val="000000" w:themeColor="text1"/>
          <w:sz w:val="21"/>
          <w:szCs w:val="21"/>
        </w:rPr>
        <w:t>× (W /W</w:t>
      </w:r>
      <w:r w:rsidRPr="002F5686">
        <w:rPr>
          <w:rFonts w:ascii="Times New Roman" w:hAnsi="Times New Roman" w:cs="Times New Roman"/>
          <w:i/>
          <w:color w:val="000000" w:themeColor="text1"/>
          <w:sz w:val="21"/>
          <w:szCs w:val="21"/>
          <w:vertAlign w:val="subscript"/>
        </w:rPr>
        <w:t>від</w:t>
      </w:r>
      <w:r w:rsidRPr="002F5686">
        <w:rPr>
          <w:rFonts w:ascii="Times New Roman" w:hAnsi="Times New Roman" w:cs="Times New Roman"/>
          <w:i/>
          <w:color w:val="000000" w:themeColor="text1"/>
          <w:sz w:val="21"/>
          <w:szCs w:val="21"/>
        </w:rPr>
        <w:t>)</w:t>
      </w:r>
      <w:r w:rsidRPr="002F5686">
        <w:rPr>
          <w:rFonts w:ascii="Times New Roman" w:hAnsi="Times New Roman" w:cs="Times New Roman"/>
          <w:i/>
          <w:color w:val="000000" w:themeColor="text1"/>
          <w:sz w:val="21"/>
          <w:szCs w:val="21"/>
          <w:vertAlign w:val="superscript"/>
        </w:rPr>
        <w:t xml:space="preserve"> 1/4</w:t>
      </w:r>
      <w:r w:rsidRPr="00CA7C54">
        <w:rPr>
          <w:color w:val="000000" w:themeColor="text1"/>
          <w:sz w:val="21"/>
          <w:szCs w:val="21"/>
        </w:rPr>
        <w:t xml:space="preserve">,                                                     </w:t>
      </w:r>
      <w:r w:rsidR="003F54FE">
        <w:rPr>
          <w:color w:val="000000" w:themeColor="text1"/>
          <w:sz w:val="21"/>
          <w:szCs w:val="21"/>
        </w:rPr>
        <w:t xml:space="preserve"> .</w:t>
      </w:r>
      <w:r w:rsidRPr="00CA7C54">
        <w:rPr>
          <w:color w:val="000000" w:themeColor="text1"/>
          <w:sz w:val="21"/>
          <w:szCs w:val="21"/>
        </w:rPr>
        <w:t xml:space="preserve">(Г.4)   </w:t>
      </w:r>
    </w:p>
    <w:p w14:paraId="18226620"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7AB49DCE"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2F5686">
        <w:rPr>
          <w:rFonts w:ascii="Times New Roman" w:hAnsi="Times New Roman" w:cs="Times New Roman"/>
          <w:i/>
          <w:color w:val="000000" w:themeColor="text1"/>
          <w:sz w:val="21"/>
          <w:szCs w:val="21"/>
        </w:rPr>
        <w:t>х</w:t>
      </w:r>
      <w:r w:rsidRPr="002F5686">
        <w:rPr>
          <w:rFonts w:ascii="Times New Roman" w:hAnsi="Times New Roman" w:cs="Times New Roman"/>
          <w:i/>
          <w:color w:val="000000" w:themeColor="text1"/>
          <w:sz w:val="21"/>
          <w:szCs w:val="21"/>
          <w:vertAlign w:val="subscript"/>
        </w:rPr>
        <w:t>пр,n</w:t>
      </w:r>
      <w:r w:rsidRPr="00CA7C54">
        <w:rPr>
          <w:color w:val="000000" w:themeColor="text1"/>
          <w:sz w:val="21"/>
          <w:szCs w:val="21"/>
        </w:rPr>
        <w:t xml:space="preserve">  – приведена до однієї щільності за співвідношенням (Г.1.3) товщина нового матеріалу;</w:t>
      </w:r>
    </w:p>
    <w:p w14:paraId="7E16F346"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2F5686">
        <w:rPr>
          <w:rFonts w:ascii="Times New Roman" w:hAnsi="Times New Roman" w:cs="Times New Roman"/>
          <w:i/>
          <w:color w:val="000000" w:themeColor="text1"/>
          <w:sz w:val="21"/>
          <w:szCs w:val="21"/>
        </w:rPr>
        <w:t>W</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вологість матеріалу, для якого визначається </w:t>
      </w:r>
      <w:r w:rsidRPr="002F5686">
        <w:rPr>
          <w:rFonts w:ascii="Times New Roman" w:hAnsi="Times New Roman" w:cs="Times New Roman"/>
          <w:i/>
          <w:color w:val="000000" w:themeColor="text1"/>
          <w:sz w:val="21"/>
          <w:szCs w:val="21"/>
        </w:rPr>
        <w:t>х</w:t>
      </w:r>
      <w:r w:rsidRPr="002F5686">
        <w:rPr>
          <w:rFonts w:ascii="Times New Roman" w:hAnsi="Times New Roman" w:cs="Times New Roman"/>
          <w:i/>
          <w:color w:val="000000" w:themeColor="text1"/>
          <w:sz w:val="21"/>
          <w:szCs w:val="21"/>
          <w:vertAlign w:val="subscript"/>
        </w:rPr>
        <w:t>пр,n</w:t>
      </w:r>
      <w:r w:rsidRPr="002F5686">
        <w:rPr>
          <w:rFonts w:ascii="Times New Roman" w:hAnsi="Times New Roman" w:cs="Times New Roman"/>
          <w:color w:val="000000" w:themeColor="text1"/>
          <w:sz w:val="21"/>
          <w:szCs w:val="21"/>
        </w:rPr>
        <w:t>;</w:t>
      </w:r>
    </w:p>
    <w:p w14:paraId="517FC5FB"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2F5686">
        <w:rPr>
          <w:rFonts w:ascii="Times New Roman" w:hAnsi="Times New Roman" w:cs="Times New Roman"/>
          <w:i/>
          <w:color w:val="000000" w:themeColor="text1"/>
          <w:sz w:val="21"/>
          <w:szCs w:val="21"/>
        </w:rPr>
        <w:t>W</w:t>
      </w:r>
      <w:r w:rsidRPr="002F5686">
        <w:rPr>
          <w:rFonts w:ascii="Times New Roman" w:hAnsi="Times New Roman" w:cs="Times New Roman"/>
          <w:i/>
          <w:color w:val="000000" w:themeColor="text1"/>
          <w:sz w:val="21"/>
          <w:szCs w:val="21"/>
          <w:vertAlign w:val="subscript"/>
        </w:rPr>
        <w:t>від</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вологiсть матеріалу з вiдомим значеннями </w:t>
      </w: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n</w:t>
      </w:r>
      <w:r w:rsidRPr="002F5686">
        <w:rPr>
          <w:rFonts w:ascii="Times New Roman" w:hAnsi="Times New Roman" w:cs="Times New Roman"/>
          <w:color w:val="000000" w:themeColor="text1"/>
          <w:sz w:val="21"/>
          <w:szCs w:val="21"/>
        </w:rPr>
        <w:t>.</w:t>
      </w:r>
    </w:p>
    <w:p w14:paraId="2DDB0A46"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 xml:space="preserve">За обчисленим значенням </w:t>
      </w:r>
      <w:r w:rsidRPr="00CA7C54">
        <w:rPr>
          <w:i/>
          <w:color w:val="000000" w:themeColor="text1"/>
          <w:sz w:val="21"/>
          <w:szCs w:val="21"/>
        </w:rPr>
        <w:t>х</w:t>
      </w:r>
      <w:r w:rsidRPr="00CA7C54">
        <w:rPr>
          <w:i/>
          <w:color w:val="000000" w:themeColor="text1"/>
          <w:sz w:val="21"/>
          <w:szCs w:val="21"/>
          <w:vertAlign w:val="subscript"/>
        </w:rPr>
        <w:t>пр,n</w:t>
      </w:r>
      <w:r w:rsidRPr="00CA7C54">
        <w:rPr>
          <w:color w:val="000000" w:themeColor="text1"/>
          <w:sz w:val="21"/>
          <w:szCs w:val="21"/>
        </w:rPr>
        <w:t xml:space="preserve"> за таблицею Г.1 визначається значення  </w:t>
      </w: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y</w:t>
      </w:r>
      <w:r w:rsidRPr="002F5686">
        <w:rPr>
          <w:rFonts w:ascii="Times New Roman" w:hAnsi="Times New Roman" w:cs="Times New Roman"/>
          <w:color w:val="000000" w:themeColor="text1"/>
          <w:sz w:val="21"/>
          <w:szCs w:val="21"/>
        </w:rPr>
        <w:t xml:space="preserve"> та </w:t>
      </w: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 xml:space="preserve"> n</w:t>
      </w:r>
      <w:r w:rsidRPr="002F5686">
        <w:rPr>
          <w:rFonts w:ascii="Times New Roman" w:hAnsi="Times New Roman" w:cs="Times New Roman"/>
          <w:color w:val="000000" w:themeColor="text1"/>
          <w:sz w:val="21"/>
          <w:szCs w:val="21"/>
        </w:rPr>
        <w:t>.</w:t>
      </w:r>
    </w:p>
    <w:p w14:paraId="4725DBF9" w14:textId="77777777" w:rsidR="008E0886" w:rsidRPr="00CA7C54" w:rsidRDefault="008E0886"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p>
    <w:p w14:paraId="1274B04F" w14:textId="77777777" w:rsidR="003C4E04" w:rsidRPr="00CA7C54" w:rsidRDefault="001E748C" w:rsidP="003B320F">
      <w:pPr>
        <w:widowControl w:val="0"/>
        <w:pBdr>
          <w:top w:val="nil"/>
          <w:left w:val="nil"/>
          <w:bottom w:val="nil"/>
          <w:right w:val="nil"/>
          <w:between w:val="nil"/>
        </w:pBdr>
        <w:spacing w:before="0" w:line="288" w:lineRule="auto"/>
        <w:contextualSpacing/>
        <w:rPr>
          <w:b/>
          <w:color w:val="000000" w:themeColor="text1"/>
          <w:sz w:val="21"/>
          <w:szCs w:val="21"/>
        </w:rPr>
      </w:pPr>
      <w:r w:rsidRPr="00CA7C54">
        <w:rPr>
          <w:b/>
          <w:color w:val="000000" w:themeColor="text1"/>
          <w:sz w:val="21"/>
          <w:szCs w:val="21"/>
        </w:rPr>
        <w:t>Таблиця Г.1</w:t>
      </w:r>
    </w:p>
    <w:tbl>
      <w:tblPr>
        <w:tblStyle w:val="affffffffffffffffffffffffffffffffe"/>
        <w:tblW w:w="9995" w:type="dxa"/>
        <w:tblLayout w:type="fixed"/>
        <w:tblLook w:val="0000" w:firstRow="0" w:lastRow="0" w:firstColumn="0" w:lastColumn="0" w:noHBand="0" w:noVBand="0"/>
      </w:tblPr>
      <w:tblGrid>
        <w:gridCol w:w="1266"/>
        <w:gridCol w:w="846"/>
        <w:gridCol w:w="774"/>
        <w:gridCol w:w="796"/>
        <w:gridCol w:w="641"/>
        <w:gridCol w:w="845"/>
        <w:gridCol w:w="773"/>
        <w:gridCol w:w="845"/>
        <w:gridCol w:w="723"/>
        <w:gridCol w:w="773"/>
        <w:gridCol w:w="552"/>
        <w:gridCol w:w="498"/>
        <w:gridCol w:w="663"/>
      </w:tblGrid>
      <w:tr w:rsidR="00CA7C54" w:rsidRPr="00CA7C54" w14:paraId="2116A1C1" w14:textId="77777777" w:rsidTr="002F5686">
        <w:trPr>
          <w:trHeight w:val="227"/>
        </w:trPr>
        <w:tc>
          <w:tcPr>
            <w:tcW w:w="1264" w:type="dxa"/>
            <w:vMerge w:val="restart"/>
            <w:tcBorders>
              <w:top w:val="single" w:sz="4" w:space="0" w:color="000000"/>
              <w:left w:val="single" w:sz="4" w:space="0" w:color="000000"/>
              <w:bottom w:val="single" w:sz="4" w:space="0" w:color="000000"/>
            </w:tcBorders>
            <w:shd w:val="clear" w:color="auto" w:fill="auto"/>
            <w:vAlign w:val="center"/>
          </w:tcPr>
          <w:p w14:paraId="219C79C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Товщина шару матеріалу, см</w:t>
            </w:r>
          </w:p>
        </w:tc>
        <w:tc>
          <w:tcPr>
            <w:tcW w:w="872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AF982A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Коефіцієнт послаблення дози гамма-випромінювання та нейтронів проникаючої радіації товщею матеріалів</w:t>
            </w:r>
          </w:p>
        </w:tc>
      </w:tr>
      <w:tr w:rsidR="00CA7C54" w:rsidRPr="00CA7C54" w14:paraId="4A7098F9" w14:textId="77777777" w:rsidTr="002F5686">
        <w:trPr>
          <w:trHeight w:val="227"/>
        </w:trPr>
        <w:tc>
          <w:tcPr>
            <w:tcW w:w="1264" w:type="dxa"/>
            <w:vMerge/>
            <w:tcBorders>
              <w:top w:val="single" w:sz="4" w:space="0" w:color="000000"/>
              <w:left w:val="single" w:sz="4" w:space="0" w:color="000000"/>
              <w:bottom w:val="single" w:sz="4" w:space="0" w:color="000000"/>
            </w:tcBorders>
            <w:shd w:val="clear" w:color="auto" w:fill="auto"/>
            <w:vAlign w:val="center"/>
          </w:tcPr>
          <w:p w14:paraId="7C483576" w14:textId="77777777" w:rsidR="003C4E04" w:rsidRPr="00CA7C54" w:rsidRDefault="003C4E04" w:rsidP="002F5686">
            <w:pPr>
              <w:widowControl w:val="0"/>
              <w:pBdr>
                <w:top w:val="nil"/>
                <w:left w:val="nil"/>
                <w:bottom w:val="nil"/>
                <w:right w:val="nil"/>
                <w:between w:val="nil"/>
              </w:pBdr>
              <w:spacing w:before="0" w:line="240" w:lineRule="auto"/>
              <w:ind w:firstLine="0"/>
              <w:contextualSpacing/>
              <w:jc w:val="left"/>
              <w:rPr>
                <w:rFonts w:ascii="Arial" w:eastAsia="Arial" w:hAnsi="Arial" w:cs="Arial"/>
                <w:color w:val="000000" w:themeColor="text1"/>
                <w:sz w:val="21"/>
                <w:szCs w:val="21"/>
              </w:rPr>
            </w:pPr>
          </w:p>
        </w:tc>
        <w:tc>
          <w:tcPr>
            <w:tcW w:w="1618" w:type="dxa"/>
            <w:gridSpan w:val="2"/>
            <w:tcBorders>
              <w:top w:val="single" w:sz="4" w:space="0" w:color="000000"/>
              <w:left w:val="single" w:sz="4" w:space="0" w:color="000000"/>
              <w:bottom w:val="single" w:sz="4" w:space="0" w:color="000000"/>
            </w:tcBorders>
            <w:shd w:val="clear" w:color="auto" w:fill="auto"/>
          </w:tcPr>
          <w:p w14:paraId="7937F39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Бетон</w:t>
            </w:r>
          </w:p>
          <w:p w14:paraId="7288CE4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2,4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10%</w:t>
            </w:r>
          </w:p>
        </w:tc>
        <w:tc>
          <w:tcPr>
            <w:tcW w:w="1436" w:type="dxa"/>
            <w:gridSpan w:val="2"/>
            <w:tcBorders>
              <w:top w:val="single" w:sz="4" w:space="0" w:color="000000"/>
              <w:left w:val="single" w:sz="4" w:space="0" w:color="000000"/>
              <w:bottom w:val="single" w:sz="4" w:space="0" w:color="000000"/>
            </w:tcBorders>
            <w:shd w:val="clear" w:color="auto" w:fill="auto"/>
          </w:tcPr>
          <w:p w14:paraId="055E85B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Цегла</w:t>
            </w:r>
          </w:p>
          <w:p w14:paraId="163B693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1,84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5%</w:t>
            </w:r>
          </w:p>
        </w:tc>
        <w:tc>
          <w:tcPr>
            <w:tcW w:w="1618" w:type="dxa"/>
            <w:gridSpan w:val="2"/>
            <w:tcBorders>
              <w:top w:val="single" w:sz="4" w:space="0" w:color="000000"/>
              <w:left w:val="single" w:sz="4" w:space="0" w:color="000000"/>
              <w:bottom w:val="single" w:sz="4" w:space="0" w:color="000000"/>
            </w:tcBorders>
            <w:shd w:val="clear" w:color="auto" w:fill="auto"/>
          </w:tcPr>
          <w:p w14:paraId="003FFFE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Грунт</w:t>
            </w:r>
          </w:p>
          <w:p w14:paraId="32491F1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1,95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19%</w:t>
            </w:r>
          </w:p>
        </w:tc>
        <w:tc>
          <w:tcPr>
            <w:tcW w:w="1568" w:type="dxa"/>
            <w:gridSpan w:val="2"/>
            <w:tcBorders>
              <w:top w:val="single" w:sz="4" w:space="0" w:color="000000"/>
              <w:left w:val="single" w:sz="4" w:space="0" w:color="000000"/>
              <w:bottom w:val="single" w:sz="4" w:space="0" w:color="000000"/>
            </w:tcBorders>
            <w:shd w:val="clear" w:color="auto" w:fill="auto"/>
          </w:tcPr>
          <w:p w14:paraId="3A3B0EA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Дерево</w:t>
            </w:r>
          </w:p>
          <w:p w14:paraId="06ADD53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ρ = 0,7 г/см</w:t>
            </w:r>
            <w:r w:rsidRPr="00CA7C54">
              <w:rPr>
                <w:rFonts w:ascii="Arial" w:eastAsia="Arial" w:hAnsi="Arial" w:cs="Arial"/>
                <w:b/>
                <w:color w:val="000000" w:themeColor="text1"/>
                <w:sz w:val="21"/>
                <w:szCs w:val="21"/>
                <w:vertAlign w:val="superscript"/>
              </w:rPr>
              <w:t>3</w:t>
            </w:r>
          </w:p>
          <w:p w14:paraId="55DA645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вологість 30%</w:t>
            </w:r>
          </w:p>
        </w:tc>
        <w:tc>
          <w:tcPr>
            <w:tcW w:w="1325" w:type="dxa"/>
            <w:gridSpan w:val="2"/>
            <w:tcBorders>
              <w:top w:val="single" w:sz="4" w:space="0" w:color="000000"/>
              <w:left w:val="single" w:sz="4" w:space="0" w:color="000000"/>
              <w:bottom w:val="single" w:sz="4" w:space="0" w:color="000000"/>
            </w:tcBorders>
            <w:shd w:val="clear" w:color="auto" w:fill="auto"/>
          </w:tcPr>
          <w:p w14:paraId="36476B7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Поліетилен ρ = 0,94 г/см</w:t>
            </w:r>
            <w:r w:rsidRPr="00CA7C54">
              <w:rPr>
                <w:rFonts w:ascii="Arial" w:eastAsia="Arial" w:hAnsi="Arial" w:cs="Arial"/>
                <w:b/>
                <w:color w:val="000000" w:themeColor="text1"/>
                <w:sz w:val="21"/>
                <w:szCs w:val="21"/>
                <w:vertAlign w:val="superscript"/>
              </w:rPr>
              <w:t>3</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tcPr>
          <w:p w14:paraId="6CF3821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Сталь</w:t>
            </w:r>
          </w:p>
          <w:p w14:paraId="54D354F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ρ = 7,8 г/см</w:t>
            </w:r>
            <w:r w:rsidRPr="00CA7C54">
              <w:rPr>
                <w:rFonts w:ascii="Arial" w:eastAsia="Arial" w:hAnsi="Arial" w:cs="Arial"/>
                <w:b/>
                <w:color w:val="000000" w:themeColor="text1"/>
                <w:sz w:val="21"/>
                <w:szCs w:val="21"/>
                <w:vertAlign w:val="superscript"/>
              </w:rPr>
              <w:t>3</w:t>
            </w:r>
          </w:p>
        </w:tc>
      </w:tr>
      <w:tr w:rsidR="00CA7C54" w:rsidRPr="00CA7C54" w14:paraId="23273281" w14:textId="77777777" w:rsidTr="002F5686">
        <w:trPr>
          <w:trHeight w:val="210"/>
        </w:trPr>
        <w:tc>
          <w:tcPr>
            <w:tcW w:w="1264" w:type="dxa"/>
            <w:vMerge/>
            <w:tcBorders>
              <w:top w:val="single" w:sz="4" w:space="0" w:color="000000"/>
              <w:left w:val="single" w:sz="4" w:space="0" w:color="000000"/>
              <w:bottom w:val="single" w:sz="4" w:space="0" w:color="000000"/>
            </w:tcBorders>
            <w:shd w:val="clear" w:color="auto" w:fill="auto"/>
            <w:vAlign w:val="center"/>
          </w:tcPr>
          <w:p w14:paraId="5CA9563B" w14:textId="77777777" w:rsidR="003C4E04" w:rsidRPr="00CA7C54" w:rsidRDefault="003C4E04" w:rsidP="002F5686">
            <w:pPr>
              <w:widowControl w:val="0"/>
              <w:pBdr>
                <w:top w:val="nil"/>
                <w:left w:val="nil"/>
                <w:bottom w:val="nil"/>
                <w:right w:val="nil"/>
                <w:between w:val="nil"/>
              </w:pBdr>
              <w:spacing w:before="0" w:line="240" w:lineRule="auto"/>
              <w:ind w:firstLine="0"/>
              <w:contextualSpacing/>
              <w:jc w:val="left"/>
              <w:rPr>
                <w:rFonts w:ascii="Arial" w:eastAsia="Arial" w:hAnsi="Arial" w:cs="Arial"/>
                <w:color w:val="000000" w:themeColor="text1"/>
                <w:sz w:val="21"/>
                <w:szCs w:val="21"/>
              </w:rPr>
            </w:pPr>
          </w:p>
        </w:tc>
        <w:tc>
          <w:tcPr>
            <w:tcW w:w="845" w:type="dxa"/>
            <w:tcBorders>
              <w:top w:val="single" w:sz="4" w:space="0" w:color="000000"/>
              <w:left w:val="single" w:sz="4" w:space="0" w:color="000000"/>
              <w:bottom w:val="single" w:sz="4" w:space="0" w:color="000000"/>
            </w:tcBorders>
            <w:shd w:val="clear" w:color="auto" w:fill="auto"/>
            <w:vAlign w:val="center"/>
          </w:tcPr>
          <w:p w14:paraId="675E041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73" w:type="dxa"/>
            <w:tcBorders>
              <w:top w:val="single" w:sz="4" w:space="0" w:color="000000"/>
              <w:left w:val="single" w:sz="4" w:space="0" w:color="000000"/>
              <w:bottom w:val="single" w:sz="4" w:space="0" w:color="000000"/>
            </w:tcBorders>
            <w:shd w:val="clear" w:color="auto" w:fill="auto"/>
            <w:vAlign w:val="center"/>
          </w:tcPr>
          <w:p w14:paraId="1CD03E2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795" w:type="dxa"/>
            <w:tcBorders>
              <w:top w:val="single" w:sz="4" w:space="0" w:color="000000"/>
              <w:left w:val="single" w:sz="4" w:space="0" w:color="000000"/>
              <w:bottom w:val="single" w:sz="4" w:space="0" w:color="000000"/>
            </w:tcBorders>
            <w:shd w:val="clear" w:color="auto" w:fill="auto"/>
            <w:vAlign w:val="center"/>
          </w:tcPr>
          <w:p w14:paraId="7BED167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641" w:type="dxa"/>
            <w:tcBorders>
              <w:top w:val="single" w:sz="4" w:space="0" w:color="000000"/>
              <w:left w:val="single" w:sz="4" w:space="0" w:color="000000"/>
              <w:bottom w:val="single" w:sz="4" w:space="0" w:color="000000"/>
            </w:tcBorders>
            <w:shd w:val="clear" w:color="auto" w:fill="auto"/>
            <w:vAlign w:val="center"/>
          </w:tcPr>
          <w:p w14:paraId="5182B05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845" w:type="dxa"/>
            <w:tcBorders>
              <w:top w:val="single" w:sz="4" w:space="0" w:color="000000"/>
              <w:left w:val="single" w:sz="4" w:space="0" w:color="000000"/>
              <w:bottom w:val="single" w:sz="4" w:space="0" w:color="000000"/>
            </w:tcBorders>
            <w:shd w:val="clear" w:color="auto" w:fill="auto"/>
            <w:vAlign w:val="center"/>
          </w:tcPr>
          <w:p w14:paraId="1DB3B19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73" w:type="dxa"/>
            <w:tcBorders>
              <w:top w:val="single" w:sz="4" w:space="0" w:color="000000"/>
              <w:left w:val="single" w:sz="4" w:space="0" w:color="000000"/>
              <w:bottom w:val="single" w:sz="4" w:space="0" w:color="000000"/>
            </w:tcBorders>
            <w:shd w:val="clear" w:color="auto" w:fill="auto"/>
            <w:vAlign w:val="center"/>
          </w:tcPr>
          <w:p w14:paraId="11B0488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845" w:type="dxa"/>
            <w:tcBorders>
              <w:top w:val="single" w:sz="4" w:space="0" w:color="000000"/>
              <w:left w:val="single" w:sz="4" w:space="0" w:color="000000"/>
              <w:bottom w:val="single" w:sz="4" w:space="0" w:color="000000"/>
            </w:tcBorders>
            <w:shd w:val="clear" w:color="auto" w:fill="auto"/>
            <w:vAlign w:val="center"/>
          </w:tcPr>
          <w:p w14:paraId="32DBC4C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23" w:type="dxa"/>
            <w:tcBorders>
              <w:top w:val="single" w:sz="4" w:space="0" w:color="000000"/>
              <w:left w:val="single" w:sz="4" w:space="0" w:color="000000"/>
              <w:bottom w:val="single" w:sz="4" w:space="0" w:color="000000"/>
            </w:tcBorders>
            <w:shd w:val="clear" w:color="auto" w:fill="auto"/>
            <w:vAlign w:val="center"/>
          </w:tcPr>
          <w:p w14:paraId="3419D12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773" w:type="dxa"/>
            <w:tcBorders>
              <w:top w:val="single" w:sz="4" w:space="0" w:color="000000"/>
              <w:left w:val="single" w:sz="4" w:space="0" w:color="000000"/>
              <w:bottom w:val="single" w:sz="4" w:space="0" w:color="000000"/>
            </w:tcBorders>
            <w:shd w:val="clear" w:color="auto" w:fill="auto"/>
            <w:vAlign w:val="center"/>
          </w:tcPr>
          <w:p w14:paraId="5D7A89F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552" w:type="dxa"/>
            <w:tcBorders>
              <w:top w:val="single" w:sz="4" w:space="0" w:color="000000"/>
              <w:left w:val="single" w:sz="4" w:space="0" w:color="000000"/>
              <w:bottom w:val="single" w:sz="4" w:space="0" w:color="000000"/>
            </w:tcBorders>
            <w:shd w:val="clear" w:color="auto" w:fill="auto"/>
            <w:vAlign w:val="center"/>
          </w:tcPr>
          <w:p w14:paraId="410C4BD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498" w:type="dxa"/>
            <w:tcBorders>
              <w:top w:val="single" w:sz="4" w:space="0" w:color="000000"/>
              <w:left w:val="single" w:sz="4" w:space="0" w:color="000000"/>
              <w:bottom w:val="single" w:sz="4" w:space="0" w:color="000000"/>
            </w:tcBorders>
            <w:shd w:val="clear" w:color="auto" w:fill="auto"/>
            <w:vAlign w:val="center"/>
          </w:tcPr>
          <w:p w14:paraId="0FC6089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3628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r>
      <w:tr w:rsidR="00CA7C54" w:rsidRPr="00CA7C54" w14:paraId="5DCA2DAD"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1C93C7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845" w:type="dxa"/>
            <w:tcBorders>
              <w:top w:val="single" w:sz="4" w:space="0" w:color="000000"/>
              <w:left w:val="single" w:sz="4" w:space="0" w:color="000000"/>
              <w:bottom w:val="single" w:sz="4" w:space="0" w:color="000000"/>
            </w:tcBorders>
            <w:shd w:val="clear" w:color="auto" w:fill="auto"/>
          </w:tcPr>
          <w:p w14:paraId="102113D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6,2</w:t>
            </w:r>
          </w:p>
        </w:tc>
        <w:tc>
          <w:tcPr>
            <w:tcW w:w="773" w:type="dxa"/>
            <w:tcBorders>
              <w:top w:val="single" w:sz="4" w:space="0" w:color="000000"/>
              <w:left w:val="single" w:sz="4" w:space="0" w:color="000000"/>
              <w:bottom w:val="single" w:sz="4" w:space="0" w:color="000000"/>
            </w:tcBorders>
            <w:shd w:val="clear" w:color="auto" w:fill="auto"/>
          </w:tcPr>
          <w:p w14:paraId="6002256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795" w:type="dxa"/>
            <w:tcBorders>
              <w:top w:val="single" w:sz="4" w:space="0" w:color="000000"/>
              <w:left w:val="single" w:sz="4" w:space="0" w:color="000000"/>
              <w:bottom w:val="single" w:sz="4" w:space="0" w:color="000000"/>
            </w:tcBorders>
            <w:shd w:val="clear" w:color="auto" w:fill="auto"/>
          </w:tcPr>
          <w:p w14:paraId="4D627A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3,7</w:t>
            </w:r>
          </w:p>
        </w:tc>
        <w:tc>
          <w:tcPr>
            <w:tcW w:w="641" w:type="dxa"/>
            <w:tcBorders>
              <w:top w:val="single" w:sz="4" w:space="0" w:color="000000"/>
              <w:left w:val="single" w:sz="4" w:space="0" w:color="000000"/>
              <w:bottom w:val="single" w:sz="4" w:space="0" w:color="000000"/>
            </w:tcBorders>
            <w:shd w:val="clear" w:color="auto" w:fill="auto"/>
          </w:tcPr>
          <w:p w14:paraId="5608FB8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845" w:type="dxa"/>
            <w:tcBorders>
              <w:top w:val="single" w:sz="4" w:space="0" w:color="000000"/>
              <w:left w:val="single" w:sz="4" w:space="0" w:color="000000"/>
              <w:bottom w:val="single" w:sz="4" w:space="0" w:color="000000"/>
            </w:tcBorders>
            <w:shd w:val="clear" w:color="auto" w:fill="auto"/>
          </w:tcPr>
          <w:p w14:paraId="31A6BBE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w:t>
            </w:r>
          </w:p>
        </w:tc>
        <w:tc>
          <w:tcPr>
            <w:tcW w:w="773" w:type="dxa"/>
            <w:tcBorders>
              <w:top w:val="single" w:sz="4" w:space="0" w:color="000000"/>
              <w:left w:val="single" w:sz="4" w:space="0" w:color="000000"/>
              <w:bottom w:val="single" w:sz="4" w:space="0" w:color="000000"/>
            </w:tcBorders>
            <w:shd w:val="clear" w:color="auto" w:fill="auto"/>
          </w:tcPr>
          <w:p w14:paraId="6483F79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845" w:type="dxa"/>
            <w:tcBorders>
              <w:top w:val="single" w:sz="4" w:space="0" w:color="000000"/>
              <w:left w:val="single" w:sz="4" w:space="0" w:color="000000"/>
              <w:bottom w:val="single" w:sz="4" w:space="0" w:color="000000"/>
            </w:tcBorders>
            <w:shd w:val="clear" w:color="auto" w:fill="auto"/>
          </w:tcPr>
          <w:p w14:paraId="35BE582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23" w:type="dxa"/>
            <w:tcBorders>
              <w:top w:val="single" w:sz="4" w:space="0" w:color="000000"/>
              <w:left w:val="single" w:sz="4" w:space="0" w:color="000000"/>
              <w:bottom w:val="single" w:sz="4" w:space="0" w:color="000000"/>
            </w:tcBorders>
            <w:shd w:val="clear" w:color="auto" w:fill="auto"/>
          </w:tcPr>
          <w:p w14:paraId="624903D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773" w:type="dxa"/>
            <w:tcBorders>
              <w:top w:val="single" w:sz="4" w:space="0" w:color="000000"/>
              <w:left w:val="single" w:sz="4" w:space="0" w:color="000000"/>
              <w:bottom w:val="single" w:sz="4" w:space="0" w:color="000000"/>
            </w:tcBorders>
            <w:shd w:val="clear" w:color="auto" w:fill="auto"/>
          </w:tcPr>
          <w:p w14:paraId="2625655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552" w:type="dxa"/>
            <w:tcBorders>
              <w:top w:val="single" w:sz="4" w:space="0" w:color="000000"/>
              <w:left w:val="single" w:sz="4" w:space="0" w:color="000000"/>
              <w:bottom w:val="single" w:sz="4" w:space="0" w:color="000000"/>
            </w:tcBorders>
            <w:shd w:val="clear" w:color="auto" w:fill="auto"/>
          </w:tcPr>
          <w:p w14:paraId="03AD755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498" w:type="dxa"/>
            <w:tcBorders>
              <w:top w:val="single" w:sz="4" w:space="0" w:color="000000"/>
              <w:left w:val="single" w:sz="4" w:space="0" w:color="000000"/>
              <w:bottom w:val="single" w:sz="4" w:space="0" w:color="000000"/>
            </w:tcBorders>
            <w:shd w:val="clear" w:color="auto" w:fill="auto"/>
          </w:tcPr>
          <w:p w14:paraId="307BC0C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4,7</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69E9BC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r>
      <w:tr w:rsidR="00CA7C54" w:rsidRPr="00CA7C54" w14:paraId="7D1363AB"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0473BA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845" w:type="dxa"/>
            <w:tcBorders>
              <w:top w:val="single" w:sz="4" w:space="0" w:color="000000"/>
              <w:left w:val="single" w:sz="4" w:space="0" w:color="000000"/>
              <w:bottom w:val="single" w:sz="4" w:space="0" w:color="000000"/>
            </w:tcBorders>
            <w:shd w:val="clear" w:color="auto" w:fill="auto"/>
          </w:tcPr>
          <w:p w14:paraId="37C7A45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73" w:type="dxa"/>
            <w:tcBorders>
              <w:top w:val="single" w:sz="4" w:space="0" w:color="000000"/>
              <w:left w:val="single" w:sz="4" w:space="0" w:color="000000"/>
              <w:bottom w:val="single" w:sz="4" w:space="0" w:color="000000"/>
            </w:tcBorders>
            <w:shd w:val="clear" w:color="auto" w:fill="auto"/>
          </w:tcPr>
          <w:p w14:paraId="00F9A74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795" w:type="dxa"/>
            <w:tcBorders>
              <w:top w:val="single" w:sz="4" w:space="0" w:color="000000"/>
              <w:left w:val="single" w:sz="4" w:space="0" w:color="000000"/>
              <w:bottom w:val="single" w:sz="4" w:space="0" w:color="000000"/>
            </w:tcBorders>
            <w:shd w:val="clear" w:color="auto" w:fill="auto"/>
          </w:tcPr>
          <w:p w14:paraId="049335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c>
          <w:tcPr>
            <w:tcW w:w="641" w:type="dxa"/>
            <w:tcBorders>
              <w:top w:val="single" w:sz="4" w:space="0" w:color="000000"/>
              <w:left w:val="single" w:sz="4" w:space="0" w:color="000000"/>
              <w:bottom w:val="single" w:sz="4" w:space="0" w:color="000000"/>
            </w:tcBorders>
            <w:shd w:val="clear" w:color="auto" w:fill="auto"/>
          </w:tcPr>
          <w:p w14:paraId="1E7ECA0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845" w:type="dxa"/>
            <w:tcBorders>
              <w:top w:val="single" w:sz="4" w:space="0" w:color="000000"/>
              <w:left w:val="single" w:sz="4" w:space="0" w:color="000000"/>
              <w:bottom w:val="single" w:sz="4" w:space="0" w:color="000000"/>
            </w:tcBorders>
            <w:shd w:val="clear" w:color="auto" w:fill="auto"/>
          </w:tcPr>
          <w:p w14:paraId="0119128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773" w:type="dxa"/>
            <w:tcBorders>
              <w:top w:val="single" w:sz="4" w:space="0" w:color="000000"/>
              <w:left w:val="single" w:sz="4" w:space="0" w:color="000000"/>
              <w:bottom w:val="single" w:sz="4" w:space="0" w:color="000000"/>
            </w:tcBorders>
            <w:shd w:val="clear" w:color="auto" w:fill="auto"/>
          </w:tcPr>
          <w:p w14:paraId="39E9283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845" w:type="dxa"/>
            <w:tcBorders>
              <w:top w:val="single" w:sz="4" w:space="0" w:color="000000"/>
              <w:left w:val="single" w:sz="4" w:space="0" w:color="000000"/>
              <w:bottom w:val="single" w:sz="4" w:space="0" w:color="000000"/>
            </w:tcBorders>
            <w:shd w:val="clear" w:color="auto" w:fill="auto"/>
          </w:tcPr>
          <w:p w14:paraId="40B798C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723" w:type="dxa"/>
            <w:tcBorders>
              <w:top w:val="single" w:sz="4" w:space="0" w:color="000000"/>
              <w:left w:val="single" w:sz="4" w:space="0" w:color="000000"/>
              <w:bottom w:val="single" w:sz="4" w:space="0" w:color="000000"/>
            </w:tcBorders>
            <w:shd w:val="clear" w:color="auto" w:fill="auto"/>
          </w:tcPr>
          <w:p w14:paraId="5E6D2E7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73" w:type="dxa"/>
            <w:tcBorders>
              <w:top w:val="single" w:sz="4" w:space="0" w:color="000000"/>
              <w:left w:val="single" w:sz="4" w:space="0" w:color="000000"/>
              <w:bottom w:val="single" w:sz="4" w:space="0" w:color="000000"/>
            </w:tcBorders>
            <w:shd w:val="clear" w:color="auto" w:fill="auto"/>
          </w:tcPr>
          <w:p w14:paraId="1D9C3DB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53</w:t>
            </w:r>
          </w:p>
        </w:tc>
        <w:tc>
          <w:tcPr>
            <w:tcW w:w="552" w:type="dxa"/>
            <w:tcBorders>
              <w:top w:val="single" w:sz="4" w:space="0" w:color="000000"/>
              <w:left w:val="single" w:sz="4" w:space="0" w:color="000000"/>
              <w:bottom w:val="single" w:sz="4" w:space="0" w:color="000000"/>
            </w:tcBorders>
            <w:shd w:val="clear" w:color="auto" w:fill="auto"/>
          </w:tcPr>
          <w:p w14:paraId="0DF9191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498" w:type="dxa"/>
            <w:tcBorders>
              <w:top w:val="single" w:sz="4" w:space="0" w:color="000000"/>
              <w:left w:val="single" w:sz="4" w:space="0" w:color="000000"/>
              <w:bottom w:val="single" w:sz="4" w:space="0" w:color="000000"/>
            </w:tcBorders>
            <w:shd w:val="clear" w:color="auto" w:fill="auto"/>
          </w:tcPr>
          <w:p w14:paraId="2845096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B86CA7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56</w:t>
            </w:r>
          </w:p>
        </w:tc>
      </w:tr>
      <w:tr w:rsidR="00CA7C54" w:rsidRPr="00CA7C54" w14:paraId="5B8C42DC"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6BE388E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845" w:type="dxa"/>
            <w:tcBorders>
              <w:top w:val="single" w:sz="4" w:space="0" w:color="000000"/>
              <w:left w:val="single" w:sz="4" w:space="0" w:color="000000"/>
              <w:bottom w:val="single" w:sz="4" w:space="0" w:color="000000"/>
            </w:tcBorders>
            <w:shd w:val="clear" w:color="auto" w:fill="auto"/>
          </w:tcPr>
          <w:p w14:paraId="130935B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w:t>
            </w:r>
          </w:p>
        </w:tc>
        <w:tc>
          <w:tcPr>
            <w:tcW w:w="773" w:type="dxa"/>
            <w:tcBorders>
              <w:top w:val="single" w:sz="4" w:space="0" w:color="000000"/>
              <w:left w:val="single" w:sz="4" w:space="0" w:color="000000"/>
              <w:bottom w:val="single" w:sz="4" w:space="0" w:color="000000"/>
            </w:tcBorders>
            <w:shd w:val="clear" w:color="auto" w:fill="auto"/>
          </w:tcPr>
          <w:p w14:paraId="635F18F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5,3</w:t>
            </w:r>
          </w:p>
        </w:tc>
        <w:tc>
          <w:tcPr>
            <w:tcW w:w="795" w:type="dxa"/>
            <w:tcBorders>
              <w:top w:val="single" w:sz="4" w:space="0" w:color="000000"/>
              <w:left w:val="single" w:sz="4" w:space="0" w:color="000000"/>
              <w:bottom w:val="single" w:sz="4" w:space="0" w:color="000000"/>
            </w:tcBorders>
            <w:shd w:val="clear" w:color="auto" w:fill="auto"/>
          </w:tcPr>
          <w:p w14:paraId="524E2B0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641" w:type="dxa"/>
            <w:tcBorders>
              <w:top w:val="single" w:sz="4" w:space="0" w:color="000000"/>
              <w:left w:val="single" w:sz="4" w:space="0" w:color="000000"/>
              <w:bottom w:val="single" w:sz="4" w:space="0" w:color="000000"/>
            </w:tcBorders>
            <w:shd w:val="clear" w:color="auto" w:fill="auto"/>
          </w:tcPr>
          <w:p w14:paraId="1BD671B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3,7</w:t>
            </w:r>
          </w:p>
        </w:tc>
        <w:tc>
          <w:tcPr>
            <w:tcW w:w="845" w:type="dxa"/>
            <w:tcBorders>
              <w:top w:val="single" w:sz="4" w:space="0" w:color="000000"/>
              <w:left w:val="single" w:sz="4" w:space="0" w:color="000000"/>
              <w:bottom w:val="single" w:sz="4" w:space="0" w:color="000000"/>
            </w:tcBorders>
            <w:shd w:val="clear" w:color="auto" w:fill="auto"/>
          </w:tcPr>
          <w:p w14:paraId="0CD4FA6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26</w:t>
            </w:r>
          </w:p>
        </w:tc>
        <w:tc>
          <w:tcPr>
            <w:tcW w:w="773" w:type="dxa"/>
            <w:tcBorders>
              <w:top w:val="single" w:sz="4" w:space="0" w:color="000000"/>
              <w:left w:val="single" w:sz="4" w:space="0" w:color="000000"/>
              <w:bottom w:val="single" w:sz="4" w:space="0" w:color="000000"/>
            </w:tcBorders>
            <w:shd w:val="clear" w:color="auto" w:fill="auto"/>
          </w:tcPr>
          <w:p w14:paraId="61963BF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845" w:type="dxa"/>
            <w:tcBorders>
              <w:top w:val="single" w:sz="4" w:space="0" w:color="000000"/>
              <w:left w:val="single" w:sz="4" w:space="0" w:color="000000"/>
              <w:bottom w:val="single" w:sz="4" w:space="0" w:color="000000"/>
            </w:tcBorders>
            <w:shd w:val="clear" w:color="auto" w:fill="auto"/>
          </w:tcPr>
          <w:p w14:paraId="5B87860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59</w:t>
            </w:r>
          </w:p>
        </w:tc>
        <w:tc>
          <w:tcPr>
            <w:tcW w:w="723" w:type="dxa"/>
            <w:tcBorders>
              <w:top w:val="single" w:sz="4" w:space="0" w:color="000000"/>
              <w:left w:val="single" w:sz="4" w:space="0" w:color="000000"/>
              <w:bottom w:val="single" w:sz="4" w:space="0" w:color="000000"/>
            </w:tcBorders>
            <w:shd w:val="clear" w:color="auto" w:fill="auto"/>
          </w:tcPr>
          <w:p w14:paraId="792E0B8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773" w:type="dxa"/>
            <w:tcBorders>
              <w:top w:val="single" w:sz="4" w:space="0" w:color="000000"/>
              <w:left w:val="single" w:sz="4" w:space="0" w:color="000000"/>
              <w:bottom w:val="single" w:sz="4" w:space="0" w:color="000000"/>
            </w:tcBorders>
            <w:shd w:val="clear" w:color="auto" w:fill="auto"/>
          </w:tcPr>
          <w:p w14:paraId="767CB7A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552" w:type="dxa"/>
            <w:tcBorders>
              <w:top w:val="single" w:sz="4" w:space="0" w:color="000000"/>
              <w:left w:val="single" w:sz="4" w:space="0" w:color="000000"/>
              <w:bottom w:val="single" w:sz="4" w:space="0" w:color="000000"/>
            </w:tcBorders>
            <w:shd w:val="clear" w:color="auto" w:fill="auto"/>
          </w:tcPr>
          <w:p w14:paraId="299E15F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498" w:type="dxa"/>
            <w:tcBorders>
              <w:top w:val="single" w:sz="4" w:space="0" w:color="000000"/>
              <w:left w:val="single" w:sz="4" w:space="0" w:color="000000"/>
              <w:bottom w:val="single" w:sz="4" w:space="0" w:color="000000"/>
            </w:tcBorders>
            <w:shd w:val="clear" w:color="auto" w:fill="auto"/>
          </w:tcPr>
          <w:p w14:paraId="30BDD3F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8,8</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D7A654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w:t>
            </w:r>
          </w:p>
        </w:tc>
      </w:tr>
      <w:tr w:rsidR="00CA7C54" w:rsidRPr="00CA7C54" w14:paraId="36041D77"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2EEDEBA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845" w:type="dxa"/>
            <w:tcBorders>
              <w:top w:val="single" w:sz="4" w:space="0" w:color="000000"/>
              <w:left w:val="single" w:sz="4" w:space="0" w:color="000000"/>
              <w:bottom w:val="single" w:sz="4" w:space="0" w:color="000000"/>
            </w:tcBorders>
            <w:shd w:val="clear" w:color="auto" w:fill="auto"/>
          </w:tcPr>
          <w:p w14:paraId="7877526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43</w:t>
            </w:r>
          </w:p>
        </w:tc>
        <w:tc>
          <w:tcPr>
            <w:tcW w:w="773" w:type="dxa"/>
            <w:tcBorders>
              <w:top w:val="single" w:sz="4" w:space="0" w:color="000000"/>
              <w:left w:val="single" w:sz="4" w:space="0" w:color="000000"/>
              <w:bottom w:val="single" w:sz="4" w:space="0" w:color="000000"/>
            </w:tcBorders>
            <w:shd w:val="clear" w:color="auto" w:fill="auto"/>
          </w:tcPr>
          <w:p w14:paraId="14A1B56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8,3</w:t>
            </w:r>
          </w:p>
        </w:tc>
        <w:tc>
          <w:tcPr>
            <w:tcW w:w="795" w:type="dxa"/>
            <w:tcBorders>
              <w:top w:val="single" w:sz="4" w:space="0" w:color="000000"/>
              <w:left w:val="single" w:sz="4" w:space="0" w:color="000000"/>
              <w:bottom w:val="single" w:sz="4" w:space="0" w:color="000000"/>
            </w:tcBorders>
            <w:shd w:val="clear" w:color="auto" w:fill="auto"/>
          </w:tcPr>
          <w:p w14:paraId="1AB904D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641" w:type="dxa"/>
            <w:tcBorders>
              <w:top w:val="single" w:sz="4" w:space="0" w:color="000000"/>
              <w:left w:val="single" w:sz="4" w:space="0" w:color="000000"/>
              <w:bottom w:val="single" w:sz="4" w:space="0" w:color="000000"/>
            </w:tcBorders>
            <w:shd w:val="clear" w:color="auto" w:fill="auto"/>
          </w:tcPr>
          <w:p w14:paraId="46FC60F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5,2</w:t>
            </w:r>
          </w:p>
        </w:tc>
        <w:tc>
          <w:tcPr>
            <w:tcW w:w="845" w:type="dxa"/>
            <w:tcBorders>
              <w:top w:val="single" w:sz="4" w:space="0" w:color="000000"/>
              <w:left w:val="single" w:sz="4" w:space="0" w:color="000000"/>
              <w:bottom w:val="single" w:sz="4" w:space="0" w:color="000000"/>
            </w:tcBorders>
            <w:shd w:val="clear" w:color="auto" w:fill="auto"/>
          </w:tcPr>
          <w:p w14:paraId="5B208C9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51</w:t>
            </w:r>
          </w:p>
        </w:tc>
        <w:tc>
          <w:tcPr>
            <w:tcW w:w="773" w:type="dxa"/>
            <w:tcBorders>
              <w:top w:val="single" w:sz="4" w:space="0" w:color="000000"/>
              <w:left w:val="single" w:sz="4" w:space="0" w:color="000000"/>
              <w:bottom w:val="single" w:sz="4" w:space="0" w:color="000000"/>
            </w:tcBorders>
            <w:shd w:val="clear" w:color="auto" w:fill="auto"/>
          </w:tcPr>
          <w:p w14:paraId="0ABD704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5,7</w:t>
            </w:r>
          </w:p>
        </w:tc>
        <w:tc>
          <w:tcPr>
            <w:tcW w:w="845" w:type="dxa"/>
            <w:tcBorders>
              <w:top w:val="single" w:sz="4" w:space="0" w:color="000000"/>
              <w:left w:val="single" w:sz="4" w:space="0" w:color="000000"/>
              <w:bottom w:val="single" w:sz="4" w:space="0" w:color="000000"/>
            </w:tcBorders>
            <w:shd w:val="clear" w:color="auto" w:fill="auto"/>
          </w:tcPr>
          <w:p w14:paraId="2089AA0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723" w:type="dxa"/>
            <w:tcBorders>
              <w:top w:val="single" w:sz="4" w:space="0" w:color="000000"/>
              <w:left w:val="single" w:sz="4" w:space="0" w:color="000000"/>
              <w:bottom w:val="single" w:sz="4" w:space="0" w:color="000000"/>
            </w:tcBorders>
            <w:shd w:val="clear" w:color="auto" w:fill="auto"/>
          </w:tcPr>
          <w:p w14:paraId="5C4C1AD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773" w:type="dxa"/>
            <w:tcBorders>
              <w:top w:val="single" w:sz="4" w:space="0" w:color="000000"/>
              <w:left w:val="single" w:sz="4" w:space="0" w:color="000000"/>
              <w:bottom w:val="single" w:sz="4" w:space="0" w:color="000000"/>
            </w:tcBorders>
            <w:shd w:val="clear" w:color="auto" w:fill="auto"/>
          </w:tcPr>
          <w:p w14:paraId="6EAE9D9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240</w:t>
            </w:r>
          </w:p>
        </w:tc>
        <w:tc>
          <w:tcPr>
            <w:tcW w:w="552" w:type="dxa"/>
            <w:tcBorders>
              <w:top w:val="single" w:sz="4" w:space="0" w:color="000000"/>
              <w:left w:val="single" w:sz="4" w:space="0" w:color="000000"/>
              <w:bottom w:val="single" w:sz="4" w:space="0" w:color="000000"/>
            </w:tcBorders>
            <w:shd w:val="clear" w:color="auto" w:fill="auto"/>
          </w:tcPr>
          <w:p w14:paraId="3BDFC05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498" w:type="dxa"/>
            <w:tcBorders>
              <w:top w:val="single" w:sz="4" w:space="0" w:color="000000"/>
              <w:left w:val="single" w:sz="4" w:space="0" w:color="000000"/>
              <w:bottom w:val="single" w:sz="4" w:space="0" w:color="000000"/>
            </w:tcBorders>
            <w:shd w:val="clear" w:color="auto" w:fill="auto"/>
          </w:tcPr>
          <w:p w14:paraId="11E3467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71404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280</w:t>
            </w:r>
          </w:p>
        </w:tc>
      </w:tr>
      <w:tr w:rsidR="00CA7C54" w:rsidRPr="00CA7C54" w14:paraId="0C284915"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6EB360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845" w:type="dxa"/>
            <w:tcBorders>
              <w:top w:val="single" w:sz="4" w:space="0" w:color="000000"/>
              <w:left w:val="single" w:sz="4" w:space="0" w:color="000000"/>
              <w:bottom w:val="single" w:sz="4" w:space="0" w:color="000000"/>
            </w:tcBorders>
            <w:shd w:val="clear" w:color="auto" w:fill="auto"/>
          </w:tcPr>
          <w:p w14:paraId="18853FB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74</w:t>
            </w:r>
          </w:p>
        </w:tc>
        <w:tc>
          <w:tcPr>
            <w:tcW w:w="773" w:type="dxa"/>
            <w:tcBorders>
              <w:top w:val="single" w:sz="4" w:space="0" w:color="000000"/>
              <w:left w:val="single" w:sz="4" w:space="0" w:color="000000"/>
              <w:bottom w:val="single" w:sz="4" w:space="0" w:color="000000"/>
            </w:tcBorders>
            <w:shd w:val="clear" w:color="auto" w:fill="auto"/>
          </w:tcPr>
          <w:p w14:paraId="4AE9B1F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795" w:type="dxa"/>
            <w:tcBorders>
              <w:top w:val="single" w:sz="4" w:space="0" w:color="000000"/>
              <w:left w:val="single" w:sz="4" w:space="0" w:color="000000"/>
              <w:bottom w:val="single" w:sz="4" w:space="0" w:color="000000"/>
            </w:tcBorders>
            <w:shd w:val="clear" w:color="auto" w:fill="auto"/>
          </w:tcPr>
          <w:p w14:paraId="025CEE7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641" w:type="dxa"/>
            <w:tcBorders>
              <w:top w:val="single" w:sz="4" w:space="0" w:color="000000"/>
              <w:left w:val="single" w:sz="4" w:space="0" w:color="000000"/>
              <w:bottom w:val="single" w:sz="4" w:space="0" w:color="000000"/>
            </w:tcBorders>
            <w:shd w:val="clear" w:color="auto" w:fill="auto"/>
          </w:tcPr>
          <w:p w14:paraId="42359C6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w:t>
            </w:r>
          </w:p>
        </w:tc>
        <w:tc>
          <w:tcPr>
            <w:tcW w:w="845" w:type="dxa"/>
            <w:tcBorders>
              <w:top w:val="single" w:sz="4" w:space="0" w:color="000000"/>
              <w:left w:val="single" w:sz="4" w:space="0" w:color="000000"/>
              <w:bottom w:val="single" w:sz="4" w:space="0" w:color="000000"/>
            </w:tcBorders>
            <w:shd w:val="clear" w:color="auto" w:fill="auto"/>
          </w:tcPr>
          <w:p w14:paraId="1DBF073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c>
          <w:tcPr>
            <w:tcW w:w="773" w:type="dxa"/>
            <w:tcBorders>
              <w:top w:val="single" w:sz="4" w:space="0" w:color="000000"/>
              <w:left w:val="single" w:sz="4" w:space="0" w:color="000000"/>
              <w:bottom w:val="single" w:sz="4" w:space="0" w:color="000000"/>
            </w:tcBorders>
            <w:shd w:val="clear" w:color="auto" w:fill="auto"/>
          </w:tcPr>
          <w:p w14:paraId="4483F4D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845" w:type="dxa"/>
            <w:tcBorders>
              <w:top w:val="single" w:sz="4" w:space="0" w:color="000000"/>
              <w:left w:val="single" w:sz="4" w:space="0" w:color="000000"/>
              <w:bottom w:val="single" w:sz="4" w:space="0" w:color="000000"/>
            </w:tcBorders>
            <w:shd w:val="clear" w:color="auto" w:fill="auto"/>
          </w:tcPr>
          <w:p w14:paraId="1554904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w:t>
            </w:r>
          </w:p>
        </w:tc>
        <w:tc>
          <w:tcPr>
            <w:tcW w:w="723" w:type="dxa"/>
            <w:tcBorders>
              <w:top w:val="single" w:sz="4" w:space="0" w:color="000000"/>
              <w:left w:val="single" w:sz="4" w:space="0" w:color="000000"/>
              <w:bottom w:val="single" w:sz="4" w:space="0" w:color="000000"/>
            </w:tcBorders>
            <w:shd w:val="clear" w:color="auto" w:fill="auto"/>
          </w:tcPr>
          <w:p w14:paraId="682EF7A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773" w:type="dxa"/>
            <w:tcBorders>
              <w:top w:val="single" w:sz="4" w:space="0" w:color="000000"/>
              <w:left w:val="single" w:sz="4" w:space="0" w:color="000000"/>
              <w:bottom w:val="single" w:sz="4" w:space="0" w:color="000000"/>
            </w:tcBorders>
            <w:shd w:val="clear" w:color="auto" w:fill="auto"/>
          </w:tcPr>
          <w:p w14:paraId="6CDF02E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460</w:t>
            </w:r>
          </w:p>
        </w:tc>
        <w:tc>
          <w:tcPr>
            <w:tcW w:w="552" w:type="dxa"/>
            <w:tcBorders>
              <w:top w:val="single" w:sz="4" w:space="0" w:color="000000"/>
              <w:left w:val="single" w:sz="4" w:space="0" w:color="000000"/>
              <w:bottom w:val="single" w:sz="4" w:space="0" w:color="000000"/>
            </w:tcBorders>
            <w:shd w:val="clear" w:color="auto" w:fill="auto"/>
          </w:tcPr>
          <w:p w14:paraId="427E435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498" w:type="dxa"/>
            <w:tcBorders>
              <w:top w:val="single" w:sz="4" w:space="0" w:color="000000"/>
              <w:left w:val="single" w:sz="4" w:space="0" w:color="000000"/>
              <w:bottom w:val="single" w:sz="4" w:space="0" w:color="000000"/>
            </w:tcBorders>
            <w:shd w:val="clear" w:color="auto" w:fill="auto"/>
          </w:tcPr>
          <w:p w14:paraId="00EA0CB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2DF787F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430</w:t>
            </w:r>
          </w:p>
        </w:tc>
      </w:tr>
      <w:tr w:rsidR="00CA7C54" w:rsidRPr="00CA7C54" w14:paraId="301B9480"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00885FA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845" w:type="dxa"/>
            <w:tcBorders>
              <w:top w:val="single" w:sz="4" w:space="0" w:color="000000"/>
              <w:left w:val="single" w:sz="4" w:space="0" w:color="000000"/>
              <w:bottom w:val="single" w:sz="4" w:space="0" w:color="000000"/>
            </w:tcBorders>
            <w:shd w:val="clear" w:color="auto" w:fill="auto"/>
          </w:tcPr>
          <w:p w14:paraId="0AC9F0D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773" w:type="dxa"/>
            <w:tcBorders>
              <w:top w:val="single" w:sz="4" w:space="0" w:color="000000"/>
              <w:left w:val="single" w:sz="4" w:space="0" w:color="000000"/>
              <w:bottom w:val="single" w:sz="4" w:space="0" w:color="000000"/>
            </w:tcBorders>
            <w:shd w:val="clear" w:color="auto" w:fill="auto"/>
          </w:tcPr>
          <w:p w14:paraId="0028D9D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795" w:type="dxa"/>
            <w:tcBorders>
              <w:top w:val="single" w:sz="4" w:space="0" w:color="000000"/>
              <w:left w:val="single" w:sz="4" w:space="0" w:color="000000"/>
              <w:bottom w:val="single" w:sz="4" w:space="0" w:color="000000"/>
            </w:tcBorders>
            <w:shd w:val="clear" w:color="auto" w:fill="auto"/>
          </w:tcPr>
          <w:p w14:paraId="3A39A1C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w:t>
            </w:r>
          </w:p>
        </w:tc>
        <w:tc>
          <w:tcPr>
            <w:tcW w:w="641" w:type="dxa"/>
            <w:tcBorders>
              <w:top w:val="single" w:sz="4" w:space="0" w:color="000000"/>
              <w:left w:val="single" w:sz="4" w:space="0" w:color="000000"/>
              <w:bottom w:val="single" w:sz="4" w:space="0" w:color="000000"/>
            </w:tcBorders>
            <w:shd w:val="clear" w:color="auto" w:fill="auto"/>
          </w:tcPr>
          <w:p w14:paraId="50007AF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845" w:type="dxa"/>
            <w:tcBorders>
              <w:top w:val="single" w:sz="4" w:space="0" w:color="000000"/>
              <w:left w:val="single" w:sz="4" w:space="0" w:color="000000"/>
              <w:bottom w:val="single" w:sz="4" w:space="0" w:color="000000"/>
            </w:tcBorders>
            <w:shd w:val="clear" w:color="auto" w:fill="auto"/>
          </w:tcPr>
          <w:p w14:paraId="3D79D03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w:t>
            </w:r>
          </w:p>
        </w:tc>
        <w:tc>
          <w:tcPr>
            <w:tcW w:w="773" w:type="dxa"/>
            <w:tcBorders>
              <w:top w:val="single" w:sz="4" w:space="0" w:color="000000"/>
              <w:left w:val="single" w:sz="4" w:space="0" w:color="000000"/>
              <w:bottom w:val="single" w:sz="4" w:space="0" w:color="000000"/>
            </w:tcBorders>
            <w:shd w:val="clear" w:color="auto" w:fill="auto"/>
          </w:tcPr>
          <w:p w14:paraId="05348A5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845" w:type="dxa"/>
            <w:tcBorders>
              <w:top w:val="single" w:sz="4" w:space="0" w:color="000000"/>
              <w:left w:val="single" w:sz="4" w:space="0" w:color="000000"/>
              <w:bottom w:val="single" w:sz="4" w:space="0" w:color="000000"/>
            </w:tcBorders>
            <w:shd w:val="clear" w:color="auto" w:fill="auto"/>
          </w:tcPr>
          <w:p w14:paraId="4BAC21B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340</w:t>
            </w:r>
          </w:p>
        </w:tc>
        <w:tc>
          <w:tcPr>
            <w:tcW w:w="723" w:type="dxa"/>
            <w:tcBorders>
              <w:top w:val="single" w:sz="4" w:space="0" w:color="000000"/>
              <w:left w:val="single" w:sz="4" w:space="0" w:color="000000"/>
              <w:bottom w:val="single" w:sz="4" w:space="0" w:color="000000"/>
            </w:tcBorders>
            <w:shd w:val="clear" w:color="auto" w:fill="auto"/>
          </w:tcPr>
          <w:p w14:paraId="2595675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773" w:type="dxa"/>
            <w:tcBorders>
              <w:top w:val="single" w:sz="4" w:space="0" w:color="000000"/>
              <w:left w:val="single" w:sz="4" w:space="0" w:color="000000"/>
              <w:bottom w:val="single" w:sz="4" w:space="0" w:color="000000"/>
            </w:tcBorders>
            <w:shd w:val="clear" w:color="auto" w:fill="auto"/>
          </w:tcPr>
          <w:p w14:paraId="6FA9EE2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860</w:t>
            </w:r>
          </w:p>
        </w:tc>
        <w:tc>
          <w:tcPr>
            <w:tcW w:w="552" w:type="dxa"/>
            <w:tcBorders>
              <w:top w:val="single" w:sz="4" w:space="0" w:color="000000"/>
              <w:left w:val="single" w:sz="4" w:space="0" w:color="000000"/>
              <w:bottom w:val="single" w:sz="4" w:space="0" w:color="000000"/>
            </w:tcBorders>
            <w:shd w:val="clear" w:color="auto" w:fill="auto"/>
          </w:tcPr>
          <w:p w14:paraId="6522834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498" w:type="dxa"/>
            <w:tcBorders>
              <w:top w:val="single" w:sz="4" w:space="0" w:color="000000"/>
              <w:left w:val="single" w:sz="4" w:space="0" w:color="000000"/>
              <w:bottom w:val="single" w:sz="4" w:space="0" w:color="000000"/>
            </w:tcBorders>
            <w:shd w:val="clear" w:color="auto" w:fill="auto"/>
          </w:tcPr>
          <w:p w14:paraId="7812C8F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3B41F2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640</w:t>
            </w:r>
          </w:p>
        </w:tc>
      </w:tr>
      <w:tr w:rsidR="00CA7C54" w:rsidRPr="00CA7C54" w14:paraId="4981BF3C"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2D1CC5F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w:t>
            </w:r>
          </w:p>
        </w:tc>
        <w:tc>
          <w:tcPr>
            <w:tcW w:w="845" w:type="dxa"/>
            <w:tcBorders>
              <w:top w:val="single" w:sz="4" w:space="0" w:color="000000"/>
              <w:left w:val="single" w:sz="4" w:space="0" w:color="000000"/>
              <w:bottom w:val="single" w:sz="4" w:space="0" w:color="000000"/>
            </w:tcBorders>
            <w:shd w:val="clear" w:color="auto" w:fill="auto"/>
          </w:tcPr>
          <w:p w14:paraId="43E3A24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230</w:t>
            </w:r>
          </w:p>
        </w:tc>
        <w:tc>
          <w:tcPr>
            <w:tcW w:w="773" w:type="dxa"/>
            <w:tcBorders>
              <w:top w:val="single" w:sz="4" w:space="0" w:color="000000"/>
              <w:left w:val="single" w:sz="4" w:space="0" w:color="000000"/>
              <w:bottom w:val="single" w:sz="4" w:space="0" w:color="000000"/>
            </w:tcBorders>
            <w:shd w:val="clear" w:color="auto" w:fill="auto"/>
          </w:tcPr>
          <w:p w14:paraId="0ED50F7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w:t>
            </w:r>
          </w:p>
        </w:tc>
        <w:tc>
          <w:tcPr>
            <w:tcW w:w="795" w:type="dxa"/>
            <w:tcBorders>
              <w:top w:val="single" w:sz="4" w:space="0" w:color="000000"/>
              <w:left w:val="single" w:sz="4" w:space="0" w:color="000000"/>
              <w:bottom w:val="single" w:sz="4" w:space="0" w:color="000000"/>
            </w:tcBorders>
            <w:shd w:val="clear" w:color="auto" w:fill="auto"/>
          </w:tcPr>
          <w:p w14:paraId="1EBF901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w:t>
            </w:r>
          </w:p>
        </w:tc>
        <w:tc>
          <w:tcPr>
            <w:tcW w:w="641" w:type="dxa"/>
            <w:tcBorders>
              <w:top w:val="single" w:sz="4" w:space="0" w:color="000000"/>
              <w:left w:val="single" w:sz="4" w:space="0" w:color="000000"/>
              <w:bottom w:val="single" w:sz="4" w:space="0" w:color="000000"/>
            </w:tcBorders>
            <w:shd w:val="clear" w:color="auto" w:fill="auto"/>
          </w:tcPr>
          <w:p w14:paraId="3606A05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c>
          <w:tcPr>
            <w:tcW w:w="845" w:type="dxa"/>
            <w:tcBorders>
              <w:top w:val="single" w:sz="4" w:space="0" w:color="000000"/>
              <w:left w:val="single" w:sz="4" w:space="0" w:color="000000"/>
              <w:bottom w:val="single" w:sz="4" w:space="0" w:color="000000"/>
            </w:tcBorders>
            <w:shd w:val="clear" w:color="auto" w:fill="auto"/>
          </w:tcPr>
          <w:p w14:paraId="3742CE8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280</w:t>
            </w:r>
          </w:p>
        </w:tc>
        <w:tc>
          <w:tcPr>
            <w:tcW w:w="773" w:type="dxa"/>
            <w:tcBorders>
              <w:top w:val="single" w:sz="4" w:space="0" w:color="000000"/>
              <w:left w:val="single" w:sz="4" w:space="0" w:color="000000"/>
              <w:bottom w:val="single" w:sz="4" w:space="0" w:color="000000"/>
            </w:tcBorders>
            <w:shd w:val="clear" w:color="auto" w:fill="auto"/>
          </w:tcPr>
          <w:p w14:paraId="18F8DF9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845" w:type="dxa"/>
            <w:tcBorders>
              <w:top w:val="single" w:sz="4" w:space="0" w:color="000000"/>
              <w:left w:val="single" w:sz="4" w:space="0" w:color="000000"/>
              <w:bottom w:val="single" w:sz="4" w:space="0" w:color="000000"/>
            </w:tcBorders>
            <w:shd w:val="clear" w:color="auto" w:fill="auto"/>
          </w:tcPr>
          <w:p w14:paraId="1EA75F1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550</w:t>
            </w:r>
          </w:p>
        </w:tc>
        <w:tc>
          <w:tcPr>
            <w:tcW w:w="723" w:type="dxa"/>
            <w:tcBorders>
              <w:top w:val="single" w:sz="4" w:space="0" w:color="000000"/>
              <w:left w:val="single" w:sz="4" w:space="0" w:color="000000"/>
              <w:bottom w:val="single" w:sz="4" w:space="0" w:color="000000"/>
            </w:tcBorders>
            <w:shd w:val="clear" w:color="auto" w:fill="auto"/>
          </w:tcPr>
          <w:p w14:paraId="15F7625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773" w:type="dxa"/>
            <w:tcBorders>
              <w:top w:val="single" w:sz="4" w:space="0" w:color="000000"/>
              <w:left w:val="single" w:sz="4" w:space="0" w:color="000000"/>
              <w:bottom w:val="single" w:sz="4" w:space="0" w:color="000000"/>
            </w:tcBorders>
            <w:shd w:val="clear" w:color="auto" w:fill="auto"/>
          </w:tcPr>
          <w:p w14:paraId="4E83DEB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1600</w:t>
            </w:r>
          </w:p>
        </w:tc>
        <w:tc>
          <w:tcPr>
            <w:tcW w:w="552" w:type="dxa"/>
            <w:tcBorders>
              <w:top w:val="single" w:sz="4" w:space="0" w:color="000000"/>
              <w:left w:val="single" w:sz="4" w:space="0" w:color="000000"/>
              <w:bottom w:val="single" w:sz="4" w:space="0" w:color="000000"/>
            </w:tcBorders>
            <w:shd w:val="clear" w:color="auto" w:fill="auto"/>
          </w:tcPr>
          <w:p w14:paraId="3405220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498" w:type="dxa"/>
            <w:tcBorders>
              <w:top w:val="single" w:sz="4" w:space="0" w:color="000000"/>
              <w:left w:val="single" w:sz="4" w:space="0" w:color="000000"/>
              <w:bottom w:val="single" w:sz="4" w:space="0" w:color="000000"/>
            </w:tcBorders>
            <w:shd w:val="clear" w:color="auto" w:fill="auto"/>
          </w:tcPr>
          <w:p w14:paraId="43F620F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45B315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900</w:t>
            </w:r>
          </w:p>
        </w:tc>
      </w:tr>
      <w:tr w:rsidR="00CA7C54" w:rsidRPr="00CA7C54" w14:paraId="5FF40C2C"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119243B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w:t>
            </w:r>
          </w:p>
        </w:tc>
        <w:tc>
          <w:tcPr>
            <w:tcW w:w="845" w:type="dxa"/>
            <w:tcBorders>
              <w:top w:val="single" w:sz="4" w:space="0" w:color="000000"/>
              <w:left w:val="single" w:sz="4" w:space="0" w:color="000000"/>
              <w:bottom w:val="single" w:sz="4" w:space="0" w:color="000000"/>
            </w:tcBorders>
            <w:shd w:val="clear" w:color="auto" w:fill="auto"/>
          </w:tcPr>
          <w:p w14:paraId="333C213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390</w:t>
            </w:r>
          </w:p>
        </w:tc>
        <w:tc>
          <w:tcPr>
            <w:tcW w:w="773" w:type="dxa"/>
            <w:tcBorders>
              <w:top w:val="single" w:sz="4" w:space="0" w:color="000000"/>
              <w:left w:val="single" w:sz="4" w:space="0" w:color="000000"/>
              <w:bottom w:val="single" w:sz="4" w:space="0" w:color="000000"/>
            </w:tcBorders>
            <w:shd w:val="clear" w:color="auto" w:fill="auto"/>
          </w:tcPr>
          <w:p w14:paraId="24D3FAA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44</w:t>
            </w:r>
          </w:p>
        </w:tc>
        <w:tc>
          <w:tcPr>
            <w:tcW w:w="795" w:type="dxa"/>
            <w:tcBorders>
              <w:top w:val="single" w:sz="4" w:space="0" w:color="000000"/>
              <w:left w:val="single" w:sz="4" w:space="0" w:color="000000"/>
              <w:bottom w:val="single" w:sz="4" w:space="0" w:color="000000"/>
            </w:tcBorders>
            <w:shd w:val="clear" w:color="auto" w:fill="auto"/>
          </w:tcPr>
          <w:p w14:paraId="7342A15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47</w:t>
            </w:r>
          </w:p>
        </w:tc>
        <w:tc>
          <w:tcPr>
            <w:tcW w:w="641" w:type="dxa"/>
            <w:tcBorders>
              <w:top w:val="single" w:sz="4" w:space="0" w:color="000000"/>
              <w:left w:val="single" w:sz="4" w:space="0" w:color="000000"/>
              <w:bottom w:val="single" w:sz="4" w:space="0" w:color="000000"/>
            </w:tcBorders>
            <w:shd w:val="clear" w:color="auto" w:fill="auto"/>
          </w:tcPr>
          <w:p w14:paraId="5E338E6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845" w:type="dxa"/>
            <w:tcBorders>
              <w:top w:val="single" w:sz="4" w:space="0" w:color="000000"/>
              <w:left w:val="single" w:sz="4" w:space="0" w:color="000000"/>
              <w:bottom w:val="single" w:sz="4" w:space="0" w:color="000000"/>
            </w:tcBorders>
            <w:shd w:val="clear" w:color="auto" w:fill="auto"/>
          </w:tcPr>
          <w:p w14:paraId="7AEB919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470</w:t>
            </w:r>
          </w:p>
        </w:tc>
        <w:tc>
          <w:tcPr>
            <w:tcW w:w="773" w:type="dxa"/>
            <w:tcBorders>
              <w:top w:val="single" w:sz="4" w:space="0" w:color="000000"/>
              <w:left w:val="single" w:sz="4" w:space="0" w:color="000000"/>
              <w:bottom w:val="single" w:sz="4" w:space="0" w:color="000000"/>
            </w:tcBorders>
            <w:shd w:val="clear" w:color="auto" w:fill="auto"/>
          </w:tcPr>
          <w:p w14:paraId="3A3D04D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845" w:type="dxa"/>
            <w:tcBorders>
              <w:top w:val="single" w:sz="4" w:space="0" w:color="000000"/>
              <w:left w:val="single" w:sz="4" w:space="0" w:color="000000"/>
              <w:bottom w:val="single" w:sz="4" w:space="0" w:color="000000"/>
            </w:tcBorders>
            <w:shd w:val="clear" w:color="auto" w:fill="auto"/>
          </w:tcPr>
          <w:p w14:paraId="51F0059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910</w:t>
            </w:r>
          </w:p>
        </w:tc>
        <w:tc>
          <w:tcPr>
            <w:tcW w:w="723" w:type="dxa"/>
            <w:tcBorders>
              <w:top w:val="single" w:sz="4" w:space="0" w:color="000000"/>
              <w:left w:val="single" w:sz="4" w:space="0" w:color="000000"/>
              <w:bottom w:val="single" w:sz="4" w:space="0" w:color="000000"/>
            </w:tcBorders>
            <w:shd w:val="clear" w:color="auto" w:fill="auto"/>
          </w:tcPr>
          <w:p w14:paraId="00148A3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773" w:type="dxa"/>
            <w:tcBorders>
              <w:top w:val="single" w:sz="4" w:space="0" w:color="000000"/>
              <w:left w:val="single" w:sz="4" w:space="0" w:color="000000"/>
              <w:bottom w:val="single" w:sz="4" w:space="0" w:color="000000"/>
            </w:tcBorders>
            <w:shd w:val="clear" w:color="auto" w:fill="auto"/>
          </w:tcPr>
          <w:p w14:paraId="2F07379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3100</w:t>
            </w:r>
          </w:p>
        </w:tc>
        <w:tc>
          <w:tcPr>
            <w:tcW w:w="552" w:type="dxa"/>
            <w:tcBorders>
              <w:top w:val="single" w:sz="4" w:space="0" w:color="000000"/>
              <w:left w:val="single" w:sz="4" w:space="0" w:color="000000"/>
              <w:bottom w:val="single" w:sz="4" w:space="0" w:color="000000"/>
            </w:tcBorders>
            <w:shd w:val="clear" w:color="auto" w:fill="auto"/>
          </w:tcPr>
          <w:p w14:paraId="42EBC2D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w:t>
            </w:r>
          </w:p>
        </w:tc>
        <w:tc>
          <w:tcPr>
            <w:tcW w:w="498" w:type="dxa"/>
            <w:tcBorders>
              <w:top w:val="single" w:sz="4" w:space="0" w:color="000000"/>
              <w:left w:val="single" w:sz="4" w:space="0" w:color="000000"/>
              <w:bottom w:val="single" w:sz="4" w:space="0" w:color="000000"/>
            </w:tcBorders>
            <w:shd w:val="clear" w:color="auto" w:fill="auto"/>
          </w:tcPr>
          <w:p w14:paraId="699EA1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5AD2F1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w:t>
            </w:r>
          </w:p>
        </w:tc>
      </w:tr>
      <w:tr w:rsidR="00CA7C54" w:rsidRPr="00CA7C54" w14:paraId="4F8DA4C7"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083E22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w:t>
            </w:r>
          </w:p>
        </w:tc>
        <w:tc>
          <w:tcPr>
            <w:tcW w:w="845" w:type="dxa"/>
            <w:tcBorders>
              <w:top w:val="single" w:sz="4" w:space="0" w:color="000000"/>
              <w:left w:val="single" w:sz="4" w:space="0" w:color="000000"/>
              <w:bottom w:val="single" w:sz="4" w:space="0" w:color="000000"/>
            </w:tcBorders>
            <w:shd w:val="clear" w:color="auto" w:fill="auto"/>
          </w:tcPr>
          <w:p w14:paraId="4E86E64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680</w:t>
            </w:r>
          </w:p>
        </w:tc>
        <w:tc>
          <w:tcPr>
            <w:tcW w:w="773" w:type="dxa"/>
            <w:tcBorders>
              <w:top w:val="single" w:sz="4" w:space="0" w:color="000000"/>
              <w:left w:val="single" w:sz="4" w:space="0" w:color="000000"/>
              <w:bottom w:val="single" w:sz="4" w:space="0" w:color="000000"/>
            </w:tcBorders>
            <w:shd w:val="clear" w:color="auto" w:fill="auto"/>
          </w:tcPr>
          <w:p w14:paraId="283D06E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66</w:t>
            </w:r>
          </w:p>
        </w:tc>
        <w:tc>
          <w:tcPr>
            <w:tcW w:w="795" w:type="dxa"/>
            <w:tcBorders>
              <w:top w:val="single" w:sz="4" w:space="0" w:color="000000"/>
              <w:left w:val="single" w:sz="4" w:space="0" w:color="000000"/>
              <w:bottom w:val="single" w:sz="4" w:space="0" w:color="000000"/>
            </w:tcBorders>
            <w:shd w:val="clear" w:color="auto" w:fill="auto"/>
          </w:tcPr>
          <w:p w14:paraId="483EFF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66</w:t>
            </w:r>
          </w:p>
        </w:tc>
        <w:tc>
          <w:tcPr>
            <w:tcW w:w="641" w:type="dxa"/>
            <w:tcBorders>
              <w:top w:val="single" w:sz="4" w:space="0" w:color="000000"/>
              <w:left w:val="single" w:sz="4" w:space="0" w:color="000000"/>
              <w:bottom w:val="single" w:sz="4" w:space="0" w:color="000000"/>
            </w:tcBorders>
            <w:shd w:val="clear" w:color="auto" w:fill="auto"/>
          </w:tcPr>
          <w:p w14:paraId="33E339F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w:t>
            </w:r>
          </w:p>
        </w:tc>
        <w:tc>
          <w:tcPr>
            <w:tcW w:w="845" w:type="dxa"/>
            <w:tcBorders>
              <w:top w:val="single" w:sz="4" w:space="0" w:color="000000"/>
              <w:left w:val="single" w:sz="4" w:space="0" w:color="000000"/>
              <w:bottom w:val="single" w:sz="4" w:space="0" w:color="000000"/>
            </w:tcBorders>
            <w:shd w:val="clear" w:color="auto" w:fill="auto"/>
          </w:tcPr>
          <w:p w14:paraId="2F3348F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780</w:t>
            </w:r>
          </w:p>
        </w:tc>
        <w:tc>
          <w:tcPr>
            <w:tcW w:w="773" w:type="dxa"/>
            <w:tcBorders>
              <w:top w:val="single" w:sz="4" w:space="0" w:color="000000"/>
              <w:left w:val="single" w:sz="4" w:space="0" w:color="000000"/>
              <w:bottom w:val="single" w:sz="4" w:space="0" w:color="000000"/>
            </w:tcBorders>
            <w:shd w:val="clear" w:color="auto" w:fill="auto"/>
          </w:tcPr>
          <w:p w14:paraId="5D83FBB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845" w:type="dxa"/>
            <w:tcBorders>
              <w:top w:val="single" w:sz="4" w:space="0" w:color="000000"/>
              <w:left w:val="single" w:sz="4" w:space="0" w:color="000000"/>
              <w:bottom w:val="single" w:sz="4" w:space="0" w:color="000000"/>
            </w:tcBorders>
            <w:shd w:val="clear" w:color="auto" w:fill="auto"/>
          </w:tcPr>
          <w:p w14:paraId="2B5C3AE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w:t>
            </w:r>
          </w:p>
        </w:tc>
        <w:tc>
          <w:tcPr>
            <w:tcW w:w="723" w:type="dxa"/>
            <w:tcBorders>
              <w:top w:val="single" w:sz="4" w:space="0" w:color="000000"/>
              <w:left w:val="single" w:sz="4" w:space="0" w:color="000000"/>
              <w:bottom w:val="single" w:sz="4" w:space="0" w:color="000000"/>
            </w:tcBorders>
            <w:shd w:val="clear" w:color="auto" w:fill="auto"/>
          </w:tcPr>
          <w:p w14:paraId="0C4B815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773" w:type="dxa"/>
            <w:tcBorders>
              <w:top w:val="single" w:sz="4" w:space="0" w:color="000000"/>
              <w:left w:val="single" w:sz="4" w:space="0" w:color="000000"/>
              <w:bottom w:val="single" w:sz="4" w:space="0" w:color="000000"/>
            </w:tcBorders>
            <w:shd w:val="clear" w:color="auto" w:fill="auto"/>
          </w:tcPr>
          <w:p w14:paraId="47AD918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5800</w:t>
            </w:r>
          </w:p>
        </w:tc>
        <w:tc>
          <w:tcPr>
            <w:tcW w:w="552" w:type="dxa"/>
            <w:tcBorders>
              <w:top w:val="single" w:sz="4" w:space="0" w:color="000000"/>
              <w:left w:val="single" w:sz="4" w:space="0" w:color="000000"/>
              <w:bottom w:val="single" w:sz="4" w:space="0" w:color="000000"/>
            </w:tcBorders>
            <w:shd w:val="clear" w:color="auto" w:fill="auto"/>
          </w:tcPr>
          <w:p w14:paraId="68B5380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c>
          <w:tcPr>
            <w:tcW w:w="498" w:type="dxa"/>
            <w:tcBorders>
              <w:top w:val="single" w:sz="4" w:space="0" w:color="000000"/>
              <w:left w:val="single" w:sz="4" w:space="0" w:color="000000"/>
              <w:bottom w:val="single" w:sz="4" w:space="0" w:color="000000"/>
            </w:tcBorders>
            <w:shd w:val="clear" w:color="auto" w:fill="auto"/>
          </w:tcPr>
          <w:p w14:paraId="0B33E0D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33</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6044EEE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1700</w:t>
            </w:r>
          </w:p>
        </w:tc>
      </w:tr>
      <w:tr w:rsidR="00CA7C54" w:rsidRPr="00CA7C54" w14:paraId="0F04C120"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07F73B1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c>
          <w:tcPr>
            <w:tcW w:w="845" w:type="dxa"/>
            <w:tcBorders>
              <w:top w:val="single" w:sz="4" w:space="0" w:color="000000"/>
              <w:left w:val="single" w:sz="4" w:space="0" w:color="000000"/>
              <w:bottom w:val="single" w:sz="4" w:space="0" w:color="000000"/>
            </w:tcBorders>
            <w:shd w:val="clear" w:color="auto" w:fill="auto"/>
          </w:tcPr>
          <w:p w14:paraId="32A392B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w:t>
            </w:r>
          </w:p>
        </w:tc>
        <w:tc>
          <w:tcPr>
            <w:tcW w:w="773" w:type="dxa"/>
            <w:tcBorders>
              <w:top w:val="single" w:sz="4" w:space="0" w:color="000000"/>
              <w:left w:val="single" w:sz="4" w:space="0" w:color="000000"/>
              <w:bottom w:val="single" w:sz="4" w:space="0" w:color="000000"/>
            </w:tcBorders>
            <w:shd w:val="clear" w:color="auto" w:fill="auto"/>
          </w:tcPr>
          <w:p w14:paraId="483F4AE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96</w:t>
            </w:r>
          </w:p>
        </w:tc>
        <w:tc>
          <w:tcPr>
            <w:tcW w:w="795" w:type="dxa"/>
            <w:tcBorders>
              <w:top w:val="single" w:sz="4" w:space="0" w:color="000000"/>
              <w:left w:val="single" w:sz="4" w:space="0" w:color="000000"/>
              <w:bottom w:val="single" w:sz="4" w:space="0" w:color="000000"/>
            </w:tcBorders>
            <w:shd w:val="clear" w:color="auto" w:fill="auto"/>
          </w:tcPr>
          <w:p w14:paraId="3F290EA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92</w:t>
            </w:r>
          </w:p>
        </w:tc>
        <w:tc>
          <w:tcPr>
            <w:tcW w:w="641" w:type="dxa"/>
            <w:tcBorders>
              <w:top w:val="single" w:sz="4" w:space="0" w:color="000000"/>
              <w:left w:val="single" w:sz="4" w:space="0" w:color="000000"/>
              <w:bottom w:val="single" w:sz="4" w:space="0" w:color="000000"/>
            </w:tcBorders>
            <w:shd w:val="clear" w:color="auto" w:fill="auto"/>
          </w:tcPr>
          <w:p w14:paraId="2524FAB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w:t>
            </w:r>
          </w:p>
        </w:tc>
        <w:tc>
          <w:tcPr>
            <w:tcW w:w="845" w:type="dxa"/>
            <w:tcBorders>
              <w:top w:val="single" w:sz="4" w:space="0" w:color="000000"/>
              <w:left w:val="single" w:sz="4" w:space="0" w:color="000000"/>
              <w:bottom w:val="single" w:sz="4" w:space="0" w:color="000000"/>
            </w:tcBorders>
            <w:shd w:val="clear" w:color="auto" w:fill="auto"/>
          </w:tcPr>
          <w:p w14:paraId="16B3C9C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1300</w:t>
            </w:r>
          </w:p>
        </w:tc>
        <w:tc>
          <w:tcPr>
            <w:tcW w:w="773" w:type="dxa"/>
            <w:tcBorders>
              <w:top w:val="single" w:sz="4" w:space="0" w:color="000000"/>
              <w:left w:val="single" w:sz="4" w:space="0" w:color="000000"/>
              <w:bottom w:val="single" w:sz="4" w:space="0" w:color="000000"/>
            </w:tcBorders>
            <w:shd w:val="clear" w:color="auto" w:fill="auto"/>
          </w:tcPr>
          <w:p w14:paraId="0A4FA13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48</w:t>
            </w:r>
          </w:p>
        </w:tc>
        <w:tc>
          <w:tcPr>
            <w:tcW w:w="845" w:type="dxa"/>
            <w:tcBorders>
              <w:top w:val="single" w:sz="4" w:space="0" w:color="000000"/>
              <w:left w:val="single" w:sz="4" w:space="0" w:color="000000"/>
              <w:bottom w:val="single" w:sz="4" w:space="0" w:color="000000"/>
            </w:tcBorders>
            <w:shd w:val="clear" w:color="auto" w:fill="auto"/>
          </w:tcPr>
          <w:p w14:paraId="2BE8AC5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2500</w:t>
            </w:r>
          </w:p>
        </w:tc>
        <w:tc>
          <w:tcPr>
            <w:tcW w:w="723" w:type="dxa"/>
            <w:tcBorders>
              <w:top w:val="single" w:sz="4" w:space="0" w:color="000000"/>
              <w:left w:val="single" w:sz="4" w:space="0" w:color="000000"/>
              <w:bottom w:val="single" w:sz="4" w:space="0" w:color="000000"/>
            </w:tcBorders>
            <w:shd w:val="clear" w:color="auto" w:fill="auto"/>
          </w:tcPr>
          <w:p w14:paraId="1828A55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4,2</w:t>
            </w:r>
          </w:p>
        </w:tc>
        <w:tc>
          <w:tcPr>
            <w:tcW w:w="773" w:type="dxa"/>
            <w:tcBorders>
              <w:top w:val="single" w:sz="4" w:space="0" w:color="000000"/>
              <w:left w:val="single" w:sz="4" w:space="0" w:color="000000"/>
              <w:bottom w:val="single" w:sz="4" w:space="0" w:color="000000"/>
            </w:tcBorders>
            <w:shd w:val="clear" w:color="auto" w:fill="auto"/>
          </w:tcPr>
          <w:p w14:paraId="6A5C516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w:t>
            </w:r>
          </w:p>
        </w:tc>
        <w:tc>
          <w:tcPr>
            <w:tcW w:w="552" w:type="dxa"/>
            <w:tcBorders>
              <w:top w:val="single" w:sz="4" w:space="0" w:color="000000"/>
              <w:left w:val="single" w:sz="4" w:space="0" w:color="000000"/>
              <w:bottom w:val="single" w:sz="4" w:space="0" w:color="000000"/>
            </w:tcBorders>
            <w:shd w:val="clear" w:color="auto" w:fill="auto"/>
          </w:tcPr>
          <w:p w14:paraId="72AC935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6,7</w:t>
            </w:r>
          </w:p>
        </w:tc>
        <w:tc>
          <w:tcPr>
            <w:tcW w:w="498" w:type="dxa"/>
            <w:tcBorders>
              <w:top w:val="single" w:sz="4" w:space="0" w:color="000000"/>
              <w:left w:val="single" w:sz="4" w:space="0" w:color="000000"/>
              <w:bottom w:val="single" w:sz="4" w:space="0" w:color="000000"/>
            </w:tcBorders>
            <w:shd w:val="clear" w:color="auto" w:fill="auto"/>
          </w:tcPr>
          <w:p w14:paraId="619E760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722041E"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4DAC0581"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4471B46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w:t>
            </w:r>
          </w:p>
        </w:tc>
        <w:tc>
          <w:tcPr>
            <w:tcW w:w="845" w:type="dxa"/>
            <w:tcBorders>
              <w:top w:val="single" w:sz="4" w:space="0" w:color="000000"/>
              <w:left w:val="single" w:sz="4" w:space="0" w:color="000000"/>
              <w:bottom w:val="single" w:sz="4" w:space="0" w:color="000000"/>
            </w:tcBorders>
            <w:shd w:val="clear" w:color="auto" w:fill="auto"/>
          </w:tcPr>
          <w:p w14:paraId="5921B93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2100</w:t>
            </w:r>
          </w:p>
        </w:tc>
        <w:tc>
          <w:tcPr>
            <w:tcW w:w="773" w:type="dxa"/>
            <w:tcBorders>
              <w:top w:val="single" w:sz="4" w:space="0" w:color="000000"/>
              <w:left w:val="single" w:sz="4" w:space="0" w:color="000000"/>
              <w:bottom w:val="single" w:sz="4" w:space="0" w:color="000000"/>
            </w:tcBorders>
            <w:shd w:val="clear" w:color="auto" w:fill="auto"/>
          </w:tcPr>
          <w:p w14:paraId="7DCB53D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140</w:t>
            </w:r>
          </w:p>
        </w:tc>
        <w:tc>
          <w:tcPr>
            <w:tcW w:w="795" w:type="dxa"/>
            <w:tcBorders>
              <w:top w:val="single" w:sz="4" w:space="0" w:color="000000"/>
              <w:left w:val="single" w:sz="4" w:space="0" w:color="000000"/>
              <w:bottom w:val="single" w:sz="4" w:space="0" w:color="000000"/>
            </w:tcBorders>
            <w:shd w:val="clear" w:color="auto" w:fill="auto"/>
          </w:tcPr>
          <w:p w14:paraId="7C5D19C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641" w:type="dxa"/>
            <w:tcBorders>
              <w:top w:val="single" w:sz="4" w:space="0" w:color="000000"/>
              <w:left w:val="single" w:sz="4" w:space="0" w:color="000000"/>
              <w:bottom w:val="single" w:sz="4" w:space="0" w:color="000000"/>
            </w:tcBorders>
            <w:shd w:val="clear" w:color="auto" w:fill="auto"/>
          </w:tcPr>
          <w:p w14:paraId="1AB3C97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41</w:t>
            </w:r>
          </w:p>
        </w:tc>
        <w:tc>
          <w:tcPr>
            <w:tcW w:w="845" w:type="dxa"/>
            <w:tcBorders>
              <w:top w:val="single" w:sz="4" w:space="0" w:color="000000"/>
              <w:left w:val="single" w:sz="4" w:space="0" w:color="000000"/>
              <w:bottom w:val="single" w:sz="4" w:space="0" w:color="000000"/>
            </w:tcBorders>
            <w:shd w:val="clear" w:color="auto" w:fill="auto"/>
          </w:tcPr>
          <w:p w14:paraId="7E453ED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2200</w:t>
            </w:r>
          </w:p>
        </w:tc>
        <w:tc>
          <w:tcPr>
            <w:tcW w:w="773" w:type="dxa"/>
            <w:tcBorders>
              <w:top w:val="single" w:sz="4" w:space="0" w:color="000000"/>
              <w:left w:val="single" w:sz="4" w:space="0" w:color="000000"/>
              <w:bottom w:val="single" w:sz="4" w:space="0" w:color="000000"/>
            </w:tcBorders>
            <w:shd w:val="clear" w:color="auto" w:fill="auto"/>
          </w:tcPr>
          <w:p w14:paraId="418878B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68</w:t>
            </w:r>
          </w:p>
        </w:tc>
        <w:tc>
          <w:tcPr>
            <w:tcW w:w="845" w:type="dxa"/>
            <w:tcBorders>
              <w:top w:val="single" w:sz="4" w:space="0" w:color="000000"/>
              <w:left w:val="single" w:sz="4" w:space="0" w:color="000000"/>
              <w:bottom w:val="single" w:sz="4" w:space="0" w:color="000000"/>
            </w:tcBorders>
            <w:shd w:val="clear" w:color="auto" w:fill="auto"/>
          </w:tcPr>
          <w:p w14:paraId="2B8B46A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4100</w:t>
            </w:r>
          </w:p>
        </w:tc>
        <w:tc>
          <w:tcPr>
            <w:tcW w:w="723" w:type="dxa"/>
            <w:tcBorders>
              <w:top w:val="single" w:sz="4" w:space="0" w:color="000000"/>
              <w:left w:val="single" w:sz="4" w:space="0" w:color="000000"/>
              <w:bottom w:val="single" w:sz="4" w:space="0" w:color="000000"/>
            </w:tcBorders>
            <w:shd w:val="clear" w:color="auto" w:fill="auto"/>
          </w:tcPr>
          <w:p w14:paraId="1922C73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4,8</w:t>
            </w:r>
          </w:p>
        </w:tc>
        <w:tc>
          <w:tcPr>
            <w:tcW w:w="773" w:type="dxa"/>
            <w:tcBorders>
              <w:top w:val="single" w:sz="4" w:space="0" w:color="000000"/>
              <w:left w:val="single" w:sz="4" w:space="0" w:color="000000"/>
              <w:bottom w:val="single" w:sz="4" w:space="0" w:color="000000"/>
            </w:tcBorders>
            <w:shd w:val="clear" w:color="auto" w:fill="auto"/>
          </w:tcPr>
          <w:p w14:paraId="6641728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20000</w:t>
            </w:r>
          </w:p>
        </w:tc>
        <w:tc>
          <w:tcPr>
            <w:tcW w:w="552" w:type="dxa"/>
            <w:tcBorders>
              <w:top w:val="single" w:sz="4" w:space="0" w:color="000000"/>
              <w:left w:val="single" w:sz="4" w:space="0" w:color="000000"/>
              <w:bottom w:val="single" w:sz="4" w:space="0" w:color="000000"/>
            </w:tcBorders>
            <w:shd w:val="clear" w:color="auto" w:fill="auto"/>
          </w:tcPr>
          <w:p w14:paraId="77D488C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498" w:type="dxa"/>
            <w:tcBorders>
              <w:top w:val="single" w:sz="4" w:space="0" w:color="000000"/>
              <w:left w:val="single" w:sz="4" w:space="0" w:color="000000"/>
              <w:bottom w:val="single" w:sz="4" w:space="0" w:color="000000"/>
            </w:tcBorders>
            <w:shd w:val="clear" w:color="auto" w:fill="auto"/>
          </w:tcPr>
          <w:p w14:paraId="2F910ACC"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6A58045B"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2DAF2B47"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B5BF5A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w:t>
            </w:r>
          </w:p>
        </w:tc>
        <w:tc>
          <w:tcPr>
            <w:tcW w:w="845" w:type="dxa"/>
            <w:tcBorders>
              <w:top w:val="single" w:sz="4" w:space="0" w:color="000000"/>
              <w:left w:val="single" w:sz="4" w:space="0" w:color="000000"/>
              <w:bottom w:val="single" w:sz="4" w:space="0" w:color="000000"/>
            </w:tcBorders>
            <w:shd w:val="clear" w:color="auto" w:fill="auto"/>
          </w:tcPr>
          <w:p w14:paraId="71EC3F6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3600</w:t>
            </w:r>
          </w:p>
        </w:tc>
        <w:tc>
          <w:tcPr>
            <w:tcW w:w="773" w:type="dxa"/>
            <w:tcBorders>
              <w:top w:val="single" w:sz="4" w:space="0" w:color="000000"/>
              <w:left w:val="single" w:sz="4" w:space="0" w:color="000000"/>
              <w:bottom w:val="single" w:sz="4" w:space="0" w:color="000000"/>
            </w:tcBorders>
            <w:shd w:val="clear" w:color="auto" w:fill="auto"/>
          </w:tcPr>
          <w:p w14:paraId="0F48C7D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w:t>
            </w:r>
          </w:p>
        </w:tc>
        <w:tc>
          <w:tcPr>
            <w:tcW w:w="795" w:type="dxa"/>
            <w:tcBorders>
              <w:top w:val="single" w:sz="4" w:space="0" w:color="000000"/>
              <w:left w:val="single" w:sz="4" w:space="0" w:color="000000"/>
              <w:bottom w:val="single" w:sz="4" w:space="0" w:color="000000"/>
            </w:tcBorders>
            <w:shd w:val="clear" w:color="auto" w:fill="auto"/>
          </w:tcPr>
          <w:p w14:paraId="7627DF0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w:t>
            </w:r>
          </w:p>
        </w:tc>
        <w:tc>
          <w:tcPr>
            <w:tcW w:w="641" w:type="dxa"/>
            <w:tcBorders>
              <w:top w:val="single" w:sz="4" w:space="0" w:color="000000"/>
              <w:left w:val="single" w:sz="4" w:space="0" w:color="000000"/>
              <w:bottom w:val="single" w:sz="4" w:space="0" w:color="000000"/>
            </w:tcBorders>
            <w:shd w:val="clear" w:color="auto" w:fill="auto"/>
          </w:tcPr>
          <w:p w14:paraId="72A3A11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52</w:t>
            </w:r>
          </w:p>
        </w:tc>
        <w:tc>
          <w:tcPr>
            <w:tcW w:w="845" w:type="dxa"/>
            <w:tcBorders>
              <w:top w:val="single" w:sz="4" w:space="0" w:color="000000"/>
              <w:left w:val="single" w:sz="4" w:space="0" w:color="000000"/>
              <w:bottom w:val="single" w:sz="4" w:space="0" w:color="000000"/>
            </w:tcBorders>
            <w:shd w:val="clear" w:color="auto" w:fill="auto"/>
          </w:tcPr>
          <w:p w14:paraId="0A67433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3600</w:t>
            </w:r>
          </w:p>
        </w:tc>
        <w:tc>
          <w:tcPr>
            <w:tcW w:w="773" w:type="dxa"/>
            <w:tcBorders>
              <w:top w:val="single" w:sz="4" w:space="0" w:color="000000"/>
              <w:left w:val="single" w:sz="4" w:space="0" w:color="000000"/>
              <w:bottom w:val="single" w:sz="4" w:space="0" w:color="000000"/>
            </w:tcBorders>
            <w:shd w:val="clear" w:color="auto" w:fill="auto"/>
          </w:tcPr>
          <w:p w14:paraId="368ABC2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95</w:t>
            </w:r>
          </w:p>
        </w:tc>
        <w:tc>
          <w:tcPr>
            <w:tcW w:w="845" w:type="dxa"/>
            <w:tcBorders>
              <w:top w:val="single" w:sz="4" w:space="0" w:color="000000"/>
              <w:left w:val="single" w:sz="4" w:space="0" w:color="000000"/>
              <w:bottom w:val="single" w:sz="4" w:space="0" w:color="000000"/>
            </w:tcBorders>
            <w:shd w:val="clear" w:color="auto" w:fill="auto"/>
          </w:tcPr>
          <w:p w14:paraId="0360BA8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6700</w:t>
            </w:r>
          </w:p>
        </w:tc>
        <w:tc>
          <w:tcPr>
            <w:tcW w:w="723" w:type="dxa"/>
            <w:tcBorders>
              <w:top w:val="single" w:sz="4" w:space="0" w:color="000000"/>
              <w:left w:val="single" w:sz="4" w:space="0" w:color="000000"/>
              <w:bottom w:val="single" w:sz="4" w:space="0" w:color="000000"/>
            </w:tcBorders>
            <w:shd w:val="clear" w:color="auto" w:fill="auto"/>
          </w:tcPr>
          <w:p w14:paraId="30DF78E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5,7</w:t>
            </w:r>
          </w:p>
        </w:tc>
        <w:tc>
          <w:tcPr>
            <w:tcW w:w="773" w:type="dxa"/>
            <w:tcBorders>
              <w:top w:val="single" w:sz="4" w:space="0" w:color="000000"/>
              <w:left w:val="single" w:sz="4" w:space="0" w:color="000000"/>
              <w:bottom w:val="single" w:sz="4" w:space="0" w:color="000000"/>
            </w:tcBorders>
            <w:shd w:val="clear" w:color="auto" w:fill="auto"/>
          </w:tcPr>
          <w:p w14:paraId="082EC6F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38000</w:t>
            </w:r>
          </w:p>
        </w:tc>
        <w:tc>
          <w:tcPr>
            <w:tcW w:w="552" w:type="dxa"/>
            <w:tcBorders>
              <w:top w:val="single" w:sz="4" w:space="0" w:color="000000"/>
              <w:left w:val="single" w:sz="4" w:space="0" w:color="000000"/>
              <w:bottom w:val="single" w:sz="4" w:space="0" w:color="000000"/>
            </w:tcBorders>
            <w:shd w:val="clear" w:color="auto" w:fill="auto"/>
          </w:tcPr>
          <w:p w14:paraId="05937AF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498" w:type="dxa"/>
            <w:tcBorders>
              <w:top w:val="single" w:sz="4" w:space="0" w:color="000000"/>
              <w:left w:val="single" w:sz="4" w:space="0" w:color="000000"/>
              <w:bottom w:val="single" w:sz="4" w:space="0" w:color="000000"/>
            </w:tcBorders>
            <w:shd w:val="clear" w:color="auto" w:fill="auto"/>
          </w:tcPr>
          <w:p w14:paraId="05E07CDF"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0231A28"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17FF1D20" w14:textId="77777777" w:rsidTr="002F5686">
        <w:trPr>
          <w:trHeight w:hRule="exact" w:val="340"/>
        </w:trPr>
        <w:tc>
          <w:tcPr>
            <w:tcW w:w="9990" w:type="dxa"/>
            <w:gridSpan w:val="13"/>
            <w:tcBorders>
              <w:top w:val="nil"/>
              <w:bottom w:val="single" w:sz="4" w:space="0" w:color="000000"/>
            </w:tcBorders>
            <w:shd w:val="clear" w:color="auto" w:fill="auto"/>
          </w:tcPr>
          <w:p w14:paraId="32196BD7" w14:textId="77777777" w:rsidR="00ED5E5C" w:rsidRPr="00CA7C54" w:rsidRDefault="00ED5E5C" w:rsidP="00ED5E5C">
            <w:pPr>
              <w:widowControl w:val="0"/>
              <w:pBdr>
                <w:top w:val="nil"/>
                <w:left w:val="nil"/>
                <w:bottom w:val="nil"/>
                <w:right w:val="nil"/>
                <w:between w:val="nil"/>
              </w:pBdr>
              <w:spacing w:before="0" w:line="288" w:lineRule="auto"/>
              <w:ind w:firstLine="0"/>
              <w:contextualSpacing/>
              <w:rPr>
                <w:rFonts w:ascii="Arial" w:hAnsi="Arial" w:cs="Arial"/>
                <w:bCs/>
                <w:color w:val="000000" w:themeColor="text1"/>
                <w:sz w:val="21"/>
                <w:szCs w:val="21"/>
              </w:rPr>
            </w:pPr>
            <w:r w:rsidRPr="00CA7C54">
              <w:rPr>
                <w:rFonts w:ascii="Arial" w:hAnsi="Arial" w:cs="Arial"/>
                <w:bCs/>
                <w:color w:val="000000" w:themeColor="text1"/>
                <w:sz w:val="21"/>
                <w:szCs w:val="21"/>
              </w:rPr>
              <w:lastRenderedPageBreak/>
              <w:t xml:space="preserve"> КінецьТаблиці Г.1</w:t>
            </w:r>
          </w:p>
          <w:p w14:paraId="144AE34F" w14:textId="77777777" w:rsidR="00ED5E5C" w:rsidRPr="00CA7C54" w:rsidRDefault="00ED5E5C" w:rsidP="00016B6D">
            <w:pPr>
              <w:spacing w:before="0" w:line="257" w:lineRule="auto"/>
              <w:ind w:firstLine="0"/>
              <w:contextualSpacing/>
              <w:jc w:val="center"/>
              <w:rPr>
                <w:rFonts w:ascii="Arial" w:hAnsi="Arial" w:cs="Arial"/>
                <w:color w:val="000000" w:themeColor="text1"/>
                <w:sz w:val="21"/>
                <w:szCs w:val="21"/>
              </w:rPr>
            </w:pPr>
          </w:p>
        </w:tc>
      </w:tr>
      <w:tr w:rsidR="00CA7C54" w:rsidRPr="00CA7C54" w14:paraId="695B451C" w14:textId="77777777" w:rsidTr="002F5686">
        <w:trPr>
          <w:trHeight w:hRule="exact" w:val="340"/>
        </w:trPr>
        <w:tc>
          <w:tcPr>
            <w:tcW w:w="1264" w:type="dxa"/>
            <w:vMerge w:val="restart"/>
            <w:tcBorders>
              <w:top w:val="single" w:sz="4" w:space="0" w:color="000000"/>
              <w:left w:val="single" w:sz="4" w:space="0" w:color="000000"/>
            </w:tcBorders>
            <w:shd w:val="clear" w:color="auto" w:fill="auto"/>
            <w:vAlign w:val="center"/>
          </w:tcPr>
          <w:p w14:paraId="310D1CC8"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Товщина шару матеріалу, см</w:t>
            </w:r>
          </w:p>
        </w:tc>
        <w:tc>
          <w:tcPr>
            <w:tcW w:w="872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F15FB6C" w14:textId="77777777" w:rsidR="009C0070" w:rsidRPr="00CA7C54" w:rsidRDefault="009C0070" w:rsidP="009C0070">
            <w:pP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Коефіцієнт послаблення дози гамма-випромінювання та нейтронів проникаючої радіації товщею матеріалів</w:t>
            </w:r>
          </w:p>
        </w:tc>
      </w:tr>
      <w:tr w:rsidR="00CA7C54" w:rsidRPr="00CA7C54" w14:paraId="523C8D69" w14:textId="77777777" w:rsidTr="002F5686">
        <w:trPr>
          <w:trHeight w:hRule="exact" w:val="340"/>
        </w:trPr>
        <w:tc>
          <w:tcPr>
            <w:tcW w:w="1264" w:type="dxa"/>
            <w:vMerge/>
            <w:tcBorders>
              <w:left w:val="single" w:sz="4" w:space="0" w:color="000000"/>
            </w:tcBorders>
            <w:shd w:val="clear" w:color="auto" w:fill="auto"/>
            <w:vAlign w:val="center"/>
          </w:tcPr>
          <w:p w14:paraId="6D772C12"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p>
        </w:tc>
        <w:tc>
          <w:tcPr>
            <w:tcW w:w="1618" w:type="dxa"/>
            <w:gridSpan w:val="2"/>
            <w:tcBorders>
              <w:top w:val="single" w:sz="4" w:space="0" w:color="000000"/>
              <w:left w:val="single" w:sz="4" w:space="0" w:color="000000"/>
              <w:bottom w:val="single" w:sz="4" w:space="0" w:color="000000"/>
            </w:tcBorders>
            <w:shd w:val="clear" w:color="auto" w:fill="auto"/>
          </w:tcPr>
          <w:p w14:paraId="0FE293C5"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Бетон</w:t>
            </w:r>
          </w:p>
          <w:p w14:paraId="024BAF55"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2,4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10%</w:t>
            </w:r>
          </w:p>
        </w:tc>
        <w:tc>
          <w:tcPr>
            <w:tcW w:w="1436" w:type="dxa"/>
            <w:gridSpan w:val="2"/>
            <w:tcBorders>
              <w:top w:val="single" w:sz="4" w:space="0" w:color="000000"/>
              <w:left w:val="single" w:sz="4" w:space="0" w:color="000000"/>
              <w:bottom w:val="single" w:sz="4" w:space="0" w:color="000000"/>
            </w:tcBorders>
            <w:shd w:val="clear" w:color="auto" w:fill="auto"/>
          </w:tcPr>
          <w:p w14:paraId="2C91FD49"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Цегла</w:t>
            </w:r>
          </w:p>
          <w:p w14:paraId="77AEB635"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1,84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5%</w:t>
            </w:r>
          </w:p>
        </w:tc>
        <w:tc>
          <w:tcPr>
            <w:tcW w:w="1618" w:type="dxa"/>
            <w:gridSpan w:val="2"/>
            <w:tcBorders>
              <w:top w:val="single" w:sz="4" w:space="0" w:color="000000"/>
              <w:left w:val="single" w:sz="4" w:space="0" w:color="000000"/>
              <w:bottom w:val="single" w:sz="4" w:space="0" w:color="000000"/>
            </w:tcBorders>
            <w:shd w:val="clear" w:color="auto" w:fill="auto"/>
          </w:tcPr>
          <w:p w14:paraId="0490F430"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Грунт</w:t>
            </w:r>
          </w:p>
          <w:p w14:paraId="47F47C53"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1,95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19%</w:t>
            </w:r>
          </w:p>
        </w:tc>
        <w:tc>
          <w:tcPr>
            <w:tcW w:w="1568" w:type="dxa"/>
            <w:gridSpan w:val="2"/>
            <w:tcBorders>
              <w:top w:val="single" w:sz="4" w:space="0" w:color="000000"/>
              <w:left w:val="single" w:sz="4" w:space="0" w:color="000000"/>
              <w:bottom w:val="single" w:sz="4" w:space="0" w:color="000000"/>
            </w:tcBorders>
            <w:shd w:val="clear" w:color="auto" w:fill="auto"/>
          </w:tcPr>
          <w:p w14:paraId="09526069"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Дерево</w:t>
            </w:r>
          </w:p>
          <w:p w14:paraId="384950F8"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ρ = 0,7 г/см</w:t>
            </w:r>
            <w:r w:rsidRPr="00CA7C54">
              <w:rPr>
                <w:rFonts w:ascii="Arial" w:eastAsia="Arial" w:hAnsi="Arial" w:cs="Arial"/>
                <w:b/>
                <w:color w:val="000000" w:themeColor="text1"/>
                <w:sz w:val="21"/>
                <w:szCs w:val="21"/>
                <w:vertAlign w:val="superscript"/>
              </w:rPr>
              <w:t>3</w:t>
            </w:r>
          </w:p>
          <w:p w14:paraId="6FB4161A"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вологість 30%</w:t>
            </w:r>
          </w:p>
        </w:tc>
        <w:tc>
          <w:tcPr>
            <w:tcW w:w="1325" w:type="dxa"/>
            <w:gridSpan w:val="2"/>
            <w:tcBorders>
              <w:top w:val="single" w:sz="4" w:space="0" w:color="000000"/>
              <w:left w:val="single" w:sz="4" w:space="0" w:color="000000"/>
              <w:bottom w:val="single" w:sz="4" w:space="0" w:color="000000"/>
            </w:tcBorders>
            <w:shd w:val="clear" w:color="auto" w:fill="auto"/>
          </w:tcPr>
          <w:p w14:paraId="6AC0E5BE"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Поліетилен ρ = 0,94 г/см</w:t>
            </w:r>
            <w:r w:rsidRPr="00CA7C54">
              <w:rPr>
                <w:rFonts w:ascii="Arial" w:eastAsia="Arial" w:hAnsi="Arial" w:cs="Arial"/>
                <w:b/>
                <w:color w:val="000000" w:themeColor="text1"/>
                <w:sz w:val="21"/>
                <w:szCs w:val="21"/>
                <w:vertAlign w:val="superscript"/>
              </w:rPr>
              <w:t>3</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tcPr>
          <w:p w14:paraId="053AA56F"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Сталь</w:t>
            </w:r>
          </w:p>
          <w:p w14:paraId="35E94D05" w14:textId="77777777" w:rsidR="009C0070" w:rsidRPr="00CA7C54" w:rsidRDefault="009C0070" w:rsidP="009C0070">
            <w:pP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ρ = 7,8 г/см</w:t>
            </w:r>
            <w:r w:rsidRPr="00CA7C54">
              <w:rPr>
                <w:rFonts w:ascii="Arial" w:eastAsia="Arial" w:hAnsi="Arial" w:cs="Arial"/>
                <w:b/>
                <w:color w:val="000000" w:themeColor="text1"/>
                <w:sz w:val="21"/>
                <w:szCs w:val="21"/>
                <w:vertAlign w:val="superscript"/>
              </w:rPr>
              <w:t>3</w:t>
            </w:r>
          </w:p>
        </w:tc>
      </w:tr>
      <w:tr w:rsidR="00CA7C54" w:rsidRPr="00CA7C54" w14:paraId="54B633F5" w14:textId="77777777" w:rsidTr="002F5686">
        <w:trPr>
          <w:trHeight w:hRule="exact" w:val="340"/>
        </w:trPr>
        <w:tc>
          <w:tcPr>
            <w:tcW w:w="1264" w:type="dxa"/>
            <w:vMerge/>
            <w:tcBorders>
              <w:left w:val="single" w:sz="4" w:space="0" w:color="000000"/>
              <w:bottom w:val="single" w:sz="4" w:space="0" w:color="000000"/>
            </w:tcBorders>
            <w:shd w:val="clear" w:color="auto" w:fill="auto"/>
            <w:vAlign w:val="center"/>
          </w:tcPr>
          <w:p w14:paraId="7809D1C1"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p>
        </w:tc>
        <w:tc>
          <w:tcPr>
            <w:tcW w:w="845" w:type="dxa"/>
            <w:tcBorders>
              <w:top w:val="single" w:sz="4" w:space="0" w:color="000000"/>
              <w:left w:val="single" w:sz="4" w:space="0" w:color="000000"/>
              <w:bottom w:val="single" w:sz="4" w:space="0" w:color="000000"/>
            </w:tcBorders>
            <w:shd w:val="clear" w:color="auto" w:fill="auto"/>
            <w:vAlign w:val="center"/>
          </w:tcPr>
          <w:p w14:paraId="2BC0C66F"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73" w:type="dxa"/>
            <w:tcBorders>
              <w:top w:val="single" w:sz="4" w:space="0" w:color="000000"/>
              <w:left w:val="single" w:sz="4" w:space="0" w:color="000000"/>
              <w:bottom w:val="single" w:sz="4" w:space="0" w:color="000000"/>
            </w:tcBorders>
            <w:shd w:val="clear" w:color="auto" w:fill="auto"/>
            <w:vAlign w:val="center"/>
          </w:tcPr>
          <w:p w14:paraId="1D896AC4"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795" w:type="dxa"/>
            <w:tcBorders>
              <w:top w:val="single" w:sz="4" w:space="0" w:color="000000"/>
              <w:left w:val="single" w:sz="4" w:space="0" w:color="000000"/>
              <w:bottom w:val="single" w:sz="4" w:space="0" w:color="000000"/>
            </w:tcBorders>
            <w:shd w:val="clear" w:color="auto" w:fill="auto"/>
            <w:vAlign w:val="center"/>
          </w:tcPr>
          <w:p w14:paraId="3BD19DE5"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641" w:type="dxa"/>
            <w:tcBorders>
              <w:top w:val="single" w:sz="4" w:space="0" w:color="000000"/>
              <w:left w:val="single" w:sz="4" w:space="0" w:color="000000"/>
              <w:bottom w:val="single" w:sz="4" w:space="0" w:color="000000"/>
            </w:tcBorders>
            <w:shd w:val="clear" w:color="auto" w:fill="auto"/>
            <w:vAlign w:val="center"/>
          </w:tcPr>
          <w:p w14:paraId="73A338F9"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845" w:type="dxa"/>
            <w:tcBorders>
              <w:top w:val="single" w:sz="4" w:space="0" w:color="000000"/>
              <w:left w:val="single" w:sz="4" w:space="0" w:color="000000"/>
              <w:bottom w:val="single" w:sz="4" w:space="0" w:color="000000"/>
            </w:tcBorders>
            <w:shd w:val="clear" w:color="auto" w:fill="auto"/>
            <w:vAlign w:val="center"/>
          </w:tcPr>
          <w:p w14:paraId="57CDA00B"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73" w:type="dxa"/>
            <w:tcBorders>
              <w:top w:val="single" w:sz="4" w:space="0" w:color="000000"/>
              <w:left w:val="single" w:sz="4" w:space="0" w:color="000000"/>
              <w:bottom w:val="single" w:sz="4" w:space="0" w:color="000000"/>
            </w:tcBorders>
            <w:shd w:val="clear" w:color="auto" w:fill="auto"/>
            <w:vAlign w:val="center"/>
          </w:tcPr>
          <w:p w14:paraId="06819BF1"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845" w:type="dxa"/>
            <w:tcBorders>
              <w:top w:val="single" w:sz="4" w:space="0" w:color="000000"/>
              <w:left w:val="single" w:sz="4" w:space="0" w:color="000000"/>
              <w:bottom w:val="single" w:sz="4" w:space="0" w:color="000000"/>
            </w:tcBorders>
            <w:shd w:val="clear" w:color="auto" w:fill="auto"/>
            <w:vAlign w:val="center"/>
          </w:tcPr>
          <w:p w14:paraId="35482D24"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23" w:type="dxa"/>
            <w:tcBorders>
              <w:top w:val="single" w:sz="4" w:space="0" w:color="000000"/>
              <w:left w:val="single" w:sz="4" w:space="0" w:color="000000"/>
              <w:bottom w:val="single" w:sz="4" w:space="0" w:color="000000"/>
            </w:tcBorders>
            <w:shd w:val="clear" w:color="auto" w:fill="auto"/>
            <w:vAlign w:val="center"/>
          </w:tcPr>
          <w:p w14:paraId="2CF88796"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773" w:type="dxa"/>
            <w:tcBorders>
              <w:top w:val="single" w:sz="4" w:space="0" w:color="000000"/>
              <w:left w:val="single" w:sz="4" w:space="0" w:color="000000"/>
              <w:bottom w:val="single" w:sz="4" w:space="0" w:color="000000"/>
            </w:tcBorders>
            <w:shd w:val="clear" w:color="auto" w:fill="auto"/>
            <w:vAlign w:val="center"/>
          </w:tcPr>
          <w:p w14:paraId="5576403C"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552" w:type="dxa"/>
            <w:tcBorders>
              <w:top w:val="single" w:sz="4" w:space="0" w:color="000000"/>
              <w:left w:val="single" w:sz="4" w:space="0" w:color="000000"/>
              <w:bottom w:val="single" w:sz="4" w:space="0" w:color="000000"/>
            </w:tcBorders>
            <w:shd w:val="clear" w:color="auto" w:fill="auto"/>
            <w:vAlign w:val="center"/>
          </w:tcPr>
          <w:p w14:paraId="348B2739"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498" w:type="dxa"/>
            <w:tcBorders>
              <w:top w:val="single" w:sz="4" w:space="0" w:color="000000"/>
              <w:left w:val="single" w:sz="4" w:space="0" w:color="000000"/>
              <w:bottom w:val="single" w:sz="4" w:space="0" w:color="000000"/>
            </w:tcBorders>
            <w:shd w:val="clear" w:color="auto" w:fill="auto"/>
            <w:vAlign w:val="center"/>
          </w:tcPr>
          <w:p w14:paraId="596C7EFC" w14:textId="77777777" w:rsidR="009C0070" w:rsidRPr="00CA7C54" w:rsidRDefault="009C0070" w:rsidP="009C0070">
            <w:pP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07C1D" w14:textId="77777777" w:rsidR="009C0070" w:rsidRPr="00CA7C54" w:rsidRDefault="009C0070" w:rsidP="009C0070">
            <w:pP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r>
      <w:tr w:rsidR="00CA7C54" w:rsidRPr="00CA7C54" w14:paraId="3BCDC1CA"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6CF42C8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w:t>
            </w:r>
          </w:p>
        </w:tc>
        <w:tc>
          <w:tcPr>
            <w:tcW w:w="845" w:type="dxa"/>
            <w:tcBorders>
              <w:top w:val="single" w:sz="4" w:space="0" w:color="000000"/>
              <w:left w:val="single" w:sz="4" w:space="0" w:color="000000"/>
              <w:bottom w:val="single" w:sz="4" w:space="0" w:color="000000"/>
            </w:tcBorders>
            <w:shd w:val="clear" w:color="auto" w:fill="auto"/>
          </w:tcPr>
          <w:p w14:paraId="6E5CE77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6300</w:t>
            </w:r>
          </w:p>
        </w:tc>
        <w:tc>
          <w:tcPr>
            <w:tcW w:w="773" w:type="dxa"/>
            <w:tcBorders>
              <w:top w:val="single" w:sz="4" w:space="0" w:color="000000"/>
              <w:left w:val="single" w:sz="4" w:space="0" w:color="000000"/>
              <w:bottom w:val="single" w:sz="4" w:space="0" w:color="000000"/>
            </w:tcBorders>
            <w:shd w:val="clear" w:color="auto" w:fill="auto"/>
          </w:tcPr>
          <w:p w14:paraId="7D27E77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290</w:t>
            </w:r>
          </w:p>
        </w:tc>
        <w:tc>
          <w:tcPr>
            <w:tcW w:w="795" w:type="dxa"/>
            <w:tcBorders>
              <w:top w:val="single" w:sz="4" w:space="0" w:color="000000"/>
              <w:left w:val="single" w:sz="4" w:space="0" w:color="000000"/>
              <w:bottom w:val="single" w:sz="4" w:space="0" w:color="000000"/>
            </w:tcBorders>
            <w:shd w:val="clear" w:color="auto" w:fill="auto"/>
          </w:tcPr>
          <w:p w14:paraId="7EE6AA98"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tc>
        <w:tc>
          <w:tcPr>
            <w:tcW w:w="641" w:type="dxa"/>
            <w:tcBorders>
              <w:top w:val="single" w:sz="4" w:space="0" w:color="000000"/>
              <w:left w:val="single" w:sz="4" w:space="0" w:color="000000"/>
              <w:bottom w:val="single" w:sz="4" w:space="0" w:color="000000"/>
            </w:tcBorders>
            <w:shd w:val="clear" w:color="auto" w:fill="auto"/>
          </w:tcPr>
          <w:p w14:paraId="722B939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66</w:t>
            </w:r>
          </w:p>
        </w:tc>
        <w:tc>
          <w:tcPr>
            <w:tcW w:w="845" w:type="dxa"/>
            <w:tcBorders>
              <w:top w:val="single" w:sz="4" w:space="0" w:color="000000"/>
              <w:left w:val="single" w:sz="4" w:space="0" w:color="000000"/>
              <w:bottom w:val="single" w:sz="4" w:space="0" w:color="000000"/>
            </w:tcBorders>
            <w:shd w:val="clear" w:color="auto" w:fill="auto"/>
          </w:tcPr>
          <w:p w14:paraId="0CCAB46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6000</w:t>
            </w:r>
          </w:p>
        </w:tc>
        <w:tc>
          <w:tcPr>
            <w:tcW w:w="773" w:type="dxa"/>
            <w:tcBorders>
              <w:top w:val="single" w:sz="4" w:space="0" w:color="000000"/>
              <w:left w:val="single" w:sz="4" w:space="0" w:color="000000"/>
              <w:bottom w:val="single" w:sz="4" w:space="0" w:color="000000"/>
            </w:tcBorders>
            <w:shd w:val="clear" w:color="auto" w:fill="auto"/>
          </w:tcPr>
          <w:p w14:paraId="57774FB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845" w:type="dxa"/>
            <w:tcBorders>
              <w:top w:val="single" w:sz="4" w:space="0" w:color="000000"/>
              <w:left w:val="single" w:sz="4" w:space="0" w:color="000000"/>
              <w:bottom w:val="single" w:sz="4" w:space="0" w:color="000000"/>
            </w:tcBorders>
            <w:shd w:val="clear" w:color="auto" w:fill="auto"/>
          </w:tcPr>
          <w:p w14:paraId="173B300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w:t>
            </w:r>
          </w:p>
        </w:tc>
        <w:tc>
          <w:tcPr>
            <w:tcW w:w="723" w:type="dxa"/>
            <w:tcBorders>
              <w:top w:val="single" w:sz="4" w:space="0" w:color="000000"/>
              <w:left w:val="single" w:sz="4" w:space="0" w:color="000000"/>
              <w:bottom w:val="single" w:sz="4" w:space="0" w:color="000000"/>
            </w:tcBorders>
            <w:shd w:val="clear" w:color="auto" w:fill="auto"/>
          </w:tcPr>
          <w:p w14:paraId="54AF182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6,7</w:t>
            </w:r>
          </w:p>
        </w:tc>
        <w:tc>
          <w:tcPr>
            <w:tcW w:w="773" w:type="dxa"/>
            <w:tcBorders>
              <w:top w:val="single" w:sz="4" w:space="0" w:color="000000"/>
              <w:left w:val="single" w:sz="4" w:space="0" w:color="000000"/>
              <w:bottom w:val="single" w:sz="4" w:space="0" w:color="000000"/>
            </w:tcBorders>
            <w:shd w:val="clear" w:color="auto" w:fill="auto"/>
          </w:tcPr>
          <w:p w14:paraId="5C3E30D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72000</w:t>
            </w:r>
          </w:p>
        </w:tc>
        <w:tc>
          <w:tcPr>
            <w:tcW w:w="552" w:type="dxa"/>
            <w:tcBorders>
              <w:top w:val="single" w:sz="4" w:space="0" w:color="000000"/>
              <w:left w:val="single" w:sz="4" w:space="0" w:color="000000"/>
              <w:bottom w:val="single" w:sz="4" w:space="0" w:color="000000"/>
            </w:tcBorders>
            <w:shd w:val="clear" w:color="auto" w:fill="auto"/>
          </w:tcPr>
          <w:p w14:paraId="58E4631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498" w:type="dxa"/>
            <w:tcBorders>
              <w:top w:val="single" w:sz="4" w:space="0" w:color="000000"/>
              <w:left w:val="single" w:sz="4" w:space="0" w:color="000000"/>
              <w:bottom w:val="single" w:sz="4" w:space="0" w:color="000000"/>
            </w:tcBorders>
            <w:shd w:val="clear" w:color="auto" w:fill="auto"/>
          </w:tcPr>
          <w:p w14:paraId="4CB9A7D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969D2EF"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3D358E39"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F90273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w:t>
            </w:r>
          </w:p>
        </w:tc>
        <w:tc>
          <w:tcPr>
            <w:tcW w:w="845" w:type="dxa"/>
            <w:tcBorders>
              <w:top w:val="single" w:sz="4" w:space="0" w:color="000000"/>
              <w:left w:val="single" w:sz="4" w:space="0" w:color="000000"/>
              <w:bottom w:val="single" w:sz="4" w:space="0" w:color="000000"/>
            </w:tcBorders>
            <w:shd w:val="clear" w:color="auto" w:fill="auto"/>
          </w:tcPr>
          <w:p w14:paraId="383E4C9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w:t>
            </w:r>
          </w:p>
        </w:tc>
        <w:tc>
          <w:tcPr>
            <w:tcW w:w="773" w:type="dxa"/>
            <w:tcBorders>
              <w:top w:val="single" w:sz="4" w:space="0" w:color="000000"/>
              <w:left w:val="single" w:sz="4" w:space="0" w:color="000000"/>
              <w:bottom w:val="single" w:sz="4" w:space="0" w:color="000000"/>
            </w:tcBorders>
            <w:shd w:val="clear" w:color="auto" w:fill="auto"/>
          </w:tcPr>
          <w:p w14:paraId="490D193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390</w:t>
            </w:r>
          </w:p>
        </w:tc>
        <w:tc>
          <w:tcPr>
            <w:tcW w:w="795" w:type="dxa"/>
            <w:tcBorders>
              <w:top w:val="single" w:sz="4" w:space="0" w:color="000000"/>
              <w:left w:val="single" w:sz="4" w:space="0" w:color="000000"/>
              <w:bottom w:val="single" w:sz="4" w:space="0" w:color="000000"/>
            </w:tcBorders>
            <w:shd w:val="clear" w:color="auto" w:fill="auto"/>
          </w:tcPr>
          <w:p w14:paraId="168E37F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350</w:t>
            </w:r>
          </w:p>
        </w:tc>
        <w:tc>
          <w:tcPr>
            <w:tcW w:w="641" w:type="dxa"/>
            <w:tcBorders>
              <w:top w:val="single" w:sz="4" w:space="0" w:color="000000"/>
              <w:left w:val="single" w:sz="4" w:space="0" w:color="000000"/>
              <w:bottom w:val="single" w:sz="4" w:space="0" w:color="000000"/>
            </w:tcBorders>
            <w:shd w:val="clear" w:color="auto" w:fill="auto"/>
          </w:tcPr>
          <w:p w14:paraId="6904D8E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83</w:t>
            </w:r>
          </w:p>
        </w:tc>
        <w:tc>
          <w:tcPr>
            <w:tcW w:w="845" w:type="dxa"/>
            <w:tcBorders>
              <w:top w:val="single" w:sz="4" w:space="0" w:color="000000"/>
              <w:left w:val="single" w:sz="4" w:space="0" w:color="000000"/>
              <w:bottom w:val="single" w:sz="4" w:space="0" w:color="000000"/>
            </w:tcBorders>
            <w:shd w:val="clear" w:color="auto" w:fill="auto"/>
          </w:tcPr>
          <w:p w14:paraId="7A0263F8"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10000</w:t>
            </w:r>
          </w:p>
        </w:tc>
        <w:tc>
          <w:tcPr>
            <w:tcW w:w="773" w:type="dxa"/>
            <w:tcBorders>
              <w:top w:val="single" w:sz="4" w:space="0" w:color="000000"/>
              <w:left w:val="single" w:sz="4" w:space="0" w:color="000000"/>
              <w:bottom w:val="single" w:sz="4" w:space="0" w:color="000000"/>
            </w:tcBorders>
            <w:shd w:val="clear" w:color="auto" w:fill="auto"/>
          </w:tcPr>
          <w:p w14:paraId="48C20E9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w:t>
            </w:r>
          </w:p>
        </w:tc>
        <w:tc>
          <w:tcPr>
            <w:tcW w:w="845" w:type="dxa"/>
            <w:tcBorders>
              <w:top w:val="single" w:sz="4" w:space="0" w:color="000000"/>
              <w:left w:val="single" w:sz="4" w:space="0" w:color="000000"/>
              <w:bottom w:val="single" w:sz="4" w:space="0" w:color="000000"/>
            </w:tcBorders>
            <w:shd w:val="clear" w:color="auto" w:fill="auto"/>
          </w:tcPr>
          <w:p w14:paraId="57B592B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18000</w:t>
            </w:r>
          </w:p>
        </w:tc>
        <w:tc>
          <w:tcPr>
            <w:tcW w:w="723" w:type="dxa"/>
            <w:tcBorders>
              <w:top w:val="single" w:sz="4" w:space="0" w:color="000000"/>
              <w:left w:val="single" w:sz="4" w:space="0" w:color="000000"/>
              <w:bottom w:val="single" w:sz="4" w:space="0" w:color="000000"/>
            </w:tcBorders>
            <w:shd w:val="clear" w:color="auto" w:fill="auto"/>
          </w:tcPr>
          <w:p w14:paraId="6BC944C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7,7</w:t>
            </w:r>
          </w:p>
        </w:tc>
        <w:tc>
          <w:tcPr>
            <w:tcW w:w="773" w:type="dxa"/>
            <w:tcBorders>
              <w:top w:val="single" w:sz="4" w:space="0" w:color="000000"/>
              <w:left w:val="single" w:sz="4" w:space="0" w:color="000000"/>
              <w:bottom w:val="single" w:sz="4" w:space="0" w:color="000000"/>
            </w:tcBorders>
            <w:shd w:val="clear" w:color="auto" w:fill="auto"/>
          </w:tcPr>
          <w:p w14:paraId="235F5949"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4"/>
                <w:id w:val="-1261673016"/>
              </w:sdtPr>
              <w:sdtEndPr/>
              <w:sdtContent>
                <w:r w:rsidR="009C0070" w:rsidRPr="00CA7C54">
                  <w:rPr>
                    <w:rFonts w:ascii="Arial" w:eastAsia="Arial Unicode MS" w:hAnsi="Arial" w:cs="Arial"/>
                    <w:color w:val="000000" w:themeColor="text1"/>
                    <w:sz w:val="21"/>
                    <w:szCs w:val="21"/>
                  </w:rPr>
                  <w:t>14∙10</w:t>
                </w:r>
              </w:sdtContent>
            </w:sdt>
            <w:r w:rsidR="009C0070" w:rsidRPr="00CA7C54">
              <w:rPr>
                <w:rFonts w:ascii="Arial" w:eastAsia="Arial" w:hAnsi="Arial" w:cs="Arial"/>
                <w:color w:val="000000" w:themeColor="text1"/>
                <w:sz w:val="21"/>
                <w:szCs w:val="21"/>
                <w:vertAlign w:val="superscript"/>
              </w:rPr>
              <w:t>4</w:t>
            </w:r>
          </w:p>
        </w:tc>
        <w:tc>
          <w:tcPr>
            <w:tcW w:w="552" w:type="dxa"/>
            <w:tcBorders>
              <w:top w:val="single" w:sz="4" w:space="0" w:color="000000"/>
              <w:left w:val="single" w:sz="4" w:space="0" w:color="000000"/>
              <w:bottom w:val="single" w:sz="4" w:space="0" w:color="000000"/>
            </w:tcBorders>
            <w:shd w:val="clear" w:color="auto" w:fill="auto"/>
          </w:tcPr>
          <w:p w14:paraId="1BF10FC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498" w:type="dxa"/>
            <w:tcBorders>
              <w:top w:val="single" w:sz="4" w:space="0" w:color="000000"/>
              <w:left w:val="single" w:sz="4" w:space="0" w:color="000000"/>
              <w:bottom w:val="single" w:sz="4" w:space="0" w:color="000000"/>
            </w:tcBorders>
            <w:shd w:val="clear" w:color="auto" w:fill="auto"/>
          </w:tcPr>
          <w:p w14:paraId="09F6F8FF"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62BB0ED9"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2EFE4A9D"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4A9DF00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w:t>
            </w:r>
          </w:p>
        </w:tc>
        <w:tc>
          <w:tcPr>
            <w:tcW w:w="845" w:type="dxa"/>
            <w:tcBorders>
              <w:top w:val="single" w:sz="4" w:space="0" w:color="000000"/>
              <w:left w:val="single" w:sz="4" w:space="0" w:color="000000"/>
              <w:bottom w:val="single" w:sz="4" w:space="0" w:color="000000"/>
            </w:tcBorders>
            <w:shd w:val="clear" w:color="auto" w:fill="auto"/>
          </w:tcPr>
          <w:p w14:paraId="280F30A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18000</w:t>
            </w:r>
          </w:p>
        </w:tc>
        <w:tc>
          <w:tcPr>
            <w:tcW w:w="773" w:type="dxa"/>
            <w:tcBorders>
              <w:top w:val="single" w:sz="4" w:space="0" w:color="000000"/>
              <w:left w:val="single" w:sz="4" w:space="0" w:color="000000"/>
              <w:bottom w:val="single" w:sz="4" w:space="0" w:color="000000"/>
            </w:tcBorders>
            <w:shd w:val="clear" w:color="auto" w:fill="auto"/>
          </w:tcPr>
          <w:p w14:paraId="69C9B81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590</w:t>
            </w:r>
          </w:p>
        </w:tc>
        <w:tc>
          <w:tcPr>
            <w:tcW w:w="795" w:type="dxa"/>
            <w:tcBorders>
              <w:top w:val="single" w:sz="4" w:space="0" w:color="000000"/>
              <w:left w:val="single" w:sz="4" w:space="0" w:color="000000"/>
              <w:bottom w:val="single" w:sz="4" w:space="0" w:color="000000"/>
            </w:tcBorders>
            <w:shd w:val="clear" w:color="auto" w:fill="auto"/>
          </w:tcPr>
          <w:p w14:paraId="7AA8A3F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490</w:t>
            </w:r>
          </w:p>
        </w:tc>
        <w:tc>
          <w:tcPr>
            <w:tcW w:w="641" w:type="dxa"/>
            <w:tcBorders>
              <w:top w:val="single" w:sz="4" w:space="0" w:color="000000"/>
              <w:left w:val="single" w:sz="4" w:space="0" w:color="000000"/>
              <w:bottom w:val="single" w:sz="4" w:space="0" w:color="000000"/>
            </w:tcBorders>
            <w:shd w:val="clear" w:color="auto" w:fill="auto"/>
          </w:tcPr>
          <w:p w14:paraId="32A6675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c>
          <w:tcPr>
            <w:tcW w:w="845" w:type="dxa"/>
            <w:tcBorders>
              <w:top w:val="single" w:sz="4" w:space="0" w:color="000000"/>
              <w:left w:val="single" w:sz="4" w:space="0" w:color="000000"/>
              <w:bottom w:val="single" w:sz="4" w:space="0" w:color="000000"/>
            </w:tcBorders>
            <w:shd w:val="clear" w:color="auto" w:fill="auto"/>
          </w:tcPr>
          <w:p w14:paraId="34D721C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17000</w:t>
            </w:r>
          </w:p>
        </w:tc>
        <w:tc>
          <w:tcPr>
            <w:tcW w:w="773" w:type="dxa"/>
            <w:tcBorders>
              <w:top w:val="single" w:sz="4" w:space="0" w:color="000000"/>
              <w:left w:val="single" w:sz="4" w:space="0" w:color="000000"/>
              <w:bottom w:val="single" w:sz="4" w:space="0" w:color="000000"/>
            </w:tcBorders>
            <w:shd w:val="clear" w:color="auto" w:fill="auto"/>
          </w:tcPr>
          <w:p w14:paraId="3C380A2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240</w:t>
            </w:r>
          </w:p>
        </w:tc>
        <w:tc>
          <w:tcPr>
            <w:tcW w:w="845" w:type="dxa"/>
            <w:tcBorders>
              <w:top w:val="single" w:sz="4" w:space="0" w:color="000000"/>
              <w:left w:val="single" w:sz="4" w:space="0" w:color="000000"/>
              <w:bottom w:val="single" w:sz="4" w:space="0" w:color="000000"/>
            </w:tcBorders>
            <w:shd w:val="clear" w:color="auto" w:fill="auto"/>
          </w:tcPr>
          <w:p w14:paraId="4CEAC78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30000</w:t>
            </w:r>
          </w:p>
        </w:tc>
        <w:tc>
          <w:tcPr>
            <w:tcW w:w="723" w:type="dxa"/>
            <w:tcBorders>
              <w:top w:val="single" w:sz="4" w:space="0" w:color="000000"/>
              <w:left w:val="single" w:sz="4" w:space="0" w:color="000000"/>
              <w:bottom w:val="single" w:sz="4" w:space="0" w:color="000000"/>
            </w:tcBorders>
            <w:shd w:val="clear" w:color="auto" w:fill="auto"/>
          </w:tcPr>
          <w:p w14:paraId="65F61AF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w:t>
            </w:r>
          </w:p>
        </w:tc>
        <w:tc>
          <w:tcPr>
            <w:tcW w:w="773" w:type="dxa"/>
            <w:tcBorders>
              <w:top w:val="single" w:sz="4" w:space="0" w:color="000000"/>
              <w:left w:val="single" w:sz="4" w:space="0" w:color="000000"/>
              <w:bottom w:val="single" w:sz="4" w:space="0" w:color="000000"/>
            </w:tcBorders>
            <w:shd w:val="clear" w:color="auto" w:fill="auto"/>
          </w:tcPr>
          <w:p w14:paraId="2D75CFD9"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5"/>
                <w:id w:val="140862568"/>
              </w:sdtPr>
              <w:sdtEndPr/>
              <w:sdtContent>
                <w:r w:rsidR="009C0070" w:rsidRPr="00CA7C54">
                  <w:rPr>
                    <w:rFonts w:ascii="Arial" w:eastAsia="Arial Unicode MS" w:hAnsi="Arial" w:cs="Arial"/>
                    <w:color w:val="000000" w:themeColor="text1"/>
                    <w:sz w:val="21"/>
                    <w:szCs w:val="21"/>
                  </w:rPr>
                  <w:t>26∙10</w:t>
                </w:r>
              </w:sdtContent>
            </w:sdt>
            <w:r w:rsidR="009C0070" w:rsidRPr="00CA7C54">
              <w:rPr>
                <w:rFonts w:ascii="Arial" w:eastAsia="Arial" w:hAnsi="Arial" w:cs="Arial"/>
                <w:color w:val="000000" w:themeColor="text1"/>
                <w:sz w:val="21"/>
                <w:szCs w:val="21"/>
                <w:vertAlign w:val="superscript"/>
              </w:rPr>
              <w:t>4</w:t>
            </w:r>
          </w:p>
        </w:tc>
        <w:tc>
          <w:tcPr>
            <w:tcW w:w="552" w:type="dxa"/>
            <w:tcBorders>
              <w:top w:val="single" w:sz="4" w:space="0" w:color="000000"/>
              <w:left w:val="single" w:sz="4" w:space="0" w:color="000000"/>
              <w:bottom w:val="single" w:sz="4" w:space="0" w:color="000000"/>
            </w:tcBorders>
            <w:shd w:val="clear" w:color="auto" w:fill="auto"/>
          </w:tcPr>
          <w:p w14:paraId="1BB3884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498" w:type="dxa"/>
            <w:tcBorders>
              <w:top w:val="single" w:sz="4" w:space="0" w:color="000000"/>
              <w:left w:val="single" w:sz="4" w:space="0" w:color="000000"/>
              <w:bottom w:val="single" w:sz="4" w:space="0" w:color="000000"/>
            </w:tcBorders>
            <w:shd w:val="clear" w:color="auto" w:fill="auto"/>
          </w:tcPr>
          <w:p w14:paraId="5180F55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B503496"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3AAF8FA6"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6C8146F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85</w:t>
            </w:r>
          </w:p>
        </w:tc>
        <w:tc>
          <w:tcPr>
            <w:tcW w:w="845" w:type="dxa"/>
            <w:tcBorders>
              <w:top w:val="single" w:sz="4" w:space="0" w:color="000000"/>
              <w:left w:val="single" w:sz="4" w:space="0" w:color="000000"/>
              <w:bottom w:val="single" w:sz="4" w:space="0" w:color="000000"/>
            </w:tcBorders>
            <w:shd w:val="clear" w:color="auto" w:fill="auto"/>
          </w:tcPr>
          <w:p w14:paraId="368D75E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31000</w:t>
            </w:r>
          </w:p>
        </w:tc>
        <w:tc>
          <w:tcPr>
            <w:tcW w:w="773" w:type="dxa"/>
            <w:tcBorders>
              <w:top w:val="single" w:sz="4" w:space="0" w:color="000000"/>
              <w:left w:val="single" w:sz="4" w:space="0" w:color="000000"/>
              <w:bottom w:val="single" w:sz="4" w:space="0" w:color="000000"/>
            </w:tcBorders>
            <w:shd w:val="clear" w:color="auto" w:fill="auto"/>
          </w:tcPr>
          <w:p w14:paraId="6BF22EC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790</w:t>
            </w:r>
          </w:p>
        </w:tc>
        <w:tc>
          <w:tcPr>
            <w:tcW w:w="795" w:type="dxa"/>
            <w:tcBorders>
              <w:top w:val="single" w:sz="4" w:space="0" w:color="000000"/>
              <w:left w:val="single" w:sz="4" w:space="0" w:color="000000"/>
              <w:bottom w:val="single" w:sz="4" w:space="0" w:color="000000"/>
            </w:tcBorders>
            <w:shd w:val="clear" w:color="auto" w:fill="auto"/>
          </w:tcPr>
          <w:p w14:paraId="44FAA4F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680</w:t>
            </w:r>
          </w:p>
        </w:tc>
        <w:tc>
          <w:tcPr>
            <w:tcW w:w="641" w:type="dxa"/>
            <w:tcBorders>
              <w:top w:val="single" w:sz="4" w:space="0" w:color="000000"/>
              <w:left w:val="single" w:sz="4" w:space="0" w:color="000000"/>
              <w:bottom w:val="single" w:sz="4" w:space="0" w:color="000000"/>
            </w:tcBorders>
            <w:shd w:val="clear" w:color="auto" w:fill="auto"/>
          </w:tcPr>
          <w:p w14:paraId="5E98B6C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845" w:type="dxa"/>
            <w:tcBorders>
              <w:top w:val="single" w:sz="4" w:space="0" w:color="000000"/>
              <w:left w:val="single" w:sz="4" w:space="0" w:color="000000"/>
              <w:bottom w:val="single" w:sz="4" w:space="0" w:color="000000"/>
            </w:tcBorders>
            <w:shd w:val="clear" w:color="auto" w:fill="auto"/>
          </w:tcPr>
          <w:p w14:paraId="23A80E7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28000</w:t>
            </w:r>
          </w:p>
        </w:tc>
        <w:tc>
          <w:tcPr>
            <w:tcW w:w="773" w:type="dxa"/>
            <w:tcBorders>
              <w:top w:val="single" w:sz="4" w:space="0" w:color="000000"/>
              <w:left w:val="single" w:sz="4" w:space="0" w:color="000000"/>
              <w:bottom w:val="single" w:sz="4" w:space="0" w:color="000000"/>
            </w:tcBorders>
            <w:shd w:val="clear" w:color="auto" w:fill="auto"/>
          </w:tcPr>
          <w:p w14:paraId="013EAFF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320</w:t>
            </w:r>
          </w:p>
        </w:tc>
        <w:tc>
          <w:tcPr>
            <w:tcW w:w="845" w:type="dxa"/>
            <w:tcBorders>
              <w:top w:val="single" w:sz="4" w:space="0" w:color="000000"/>
              <w:left w:val="single" w:sz="4" w:space="0" w:color="000000"/>
              <w:bottom w:val="single" w:sz="4" w:space="0" w:color="000000"/>
            </w:tcBorders>
            <w:shd w:val="clear" w:color="auto" w:fill="auto"/>
          </w:tcPr>
          <w:p w14:paraId="5CF2337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50000</w:t>
            </w:r>
          </w:p>
        </w:tc>
        <w:tc>
          <w:tcPr>
            <w:tcW w:w="723" w:type="dxa"/>
            <w:tcBorders>
              <w:top w:val="single" w:sz="4" w:space="0" w:color="000000"/>
              <w:left w:val="single" w:sz="4" w:space="0" w:color="000000"/>
              <w:bottom w:val="single" w:sz="4" w:space="0" w:color="000000"/>
            </w:tcBorders>
            <w:shd w:val="clear" w:color="auto" w:fill="auto"/>
          </w:tcPr>
          <w:p w14:paraId="52ACF25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c>
          <w:tcPr>
            <w:tcW w:w="773" w:type="dxa"/>
            <w:tcBorders>
              <w:top w:val="single" w:sz="4" w:space="0" w:color="000000"/>
              <w:left w:val="single" w:sz="4" w:space="0" w:color="000000"/>
              <w:bottom w:val="single" w:sz="4" w:space="0" w:color="000000"/>
            </w:tcBorders>
            <w:shd w:val="clear" w:color="auto" w:fill="auto"/>
          </w:tcPr>
          <w:p w14:paraId="4FD9A296"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6"/>
                <w:id w:val="917291751"/>
              </w:sdtPr>
              <w:sdtEndPr/>
              <w:sdtContent>
                <w:r w:rsidR="009C0070" w:rsidRPr="00CA7C54">
                  <w:rPr>
                    <w:rFonts w:ascii="Arial" w:eastAsia="Arial Unicode MS" w:hAnsi="Arial" w:cs="Arial"/>
                    <w:color w:val="000000" w:themeColor="text1"/>
                    <w:sz w:val="21"/>
                    <w:szCs w:val="21"/>
                  </w:rPr>
                  <w:t>48∙10</w:t>
                </w:r>
              </w:sdtContent>
            </w:sdt>
            <w:r w:rsidR="009C0070" w:rsidRPr="00CA7C54">
              <w:rPr>
                <w:rFonts w:ascii="Arial" w:eastAsia="Arial" w:hAnsi="Arial" w:cs="Arial"/>
                <w:color w:val="000000" w:themeColor="text1"/>
                <w:sz w:val="21"/>
                <w:szCs w:val="21"/>
                <w:vertAlign w:val="superscript"/>
              </w:rPr>
              <w:t>4</w:t>
            </w:r>
          </w:p>
        </w:tc>
        <w:tc>
          <w:tcPr>
            <w:tcW w:w="552" w:type="dxa"/>
            <w:tcBorders>
              <w:top w:val="single" w:sz="4" w:space="0" w:color="000000"/>
              <w:left w:val="single" w:sz="4" w:space="0" w:color="000000"/>
              <w:bottom w:val="single" w:sz="4" w:space="0" w:color="000000"/>
            </w:tcBorders>
            <w:shd w:val="clear" w:color="auto" w:fill="auto"/>
          </w:tcPr>
          <w:p w14:paraId="6B3F2A0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w:t>
            </w:r>
          </w:p>
        </w:tc>
        <w:tc>
          <w:tcPr>
            <w:tcW w:w="498" w:type="dxa"/>
            <w:tcBorders>
              <w:top w:val="single" w:sz="4" w:space="0" w:color="000000"/>
              <w:left w:val="single" w:sz="4" w:space="0" w:color="000000"/>
              <w:bottom w:val="single" w:sz="4" w:space="0" w:color="000000"/>
            </w:tcBorders>
            <w:shd w:val="clear" w:color="auto" w:fill="auto"/>
          </w:tcPr>
          <w:p w14:paraId="713D6BEB"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C621AEB"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6BE8CB8E"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7C26AAD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w:t>
            </w:r>
          </w:p>
        </w:tc>
        <w:tc>
          <w:tcPr>
            <w:tcW w:w="845" w:type="dxa"/>
            <w:tcBorders>
              <w:top w:val="single" w:sz="4" w:space="0" w:color="000000"/>
              <w:left w:val="single" w:sz="4" w:space="0" w:color="000000"/>
              <w:bottom w:val="single" w:sz="4" w:space="0" w:color="000000"/>
            </w:tcBorders>
            <w:shd w:val="clear" w:color="auto" w:fill="auto"/>
          </w:tcPr>
          <w:p w14:paraId="72741A1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53000</w:t>
            </w:r>
          </w:p>
        </w:tc>
        <w:tc>
          <w:tcPr>
            <w:tcW w:w="773" w:type="dxa"/>
            <w:tcBorders>
              <w:top w:val="single" w:sz="4" w:space="0" w:color="000000"/>
              <w:left w:val="single" w:sz="4" w:space="0" w:color="000000"/>
              <w:bottom w:val="single" w:sz="4" w:space="0" w:color="000000"/>
            </w:tcBorders>
            <w:shd w:val="clear" w:color="auto" w:fill="auto"/>
          </w:tcPr>
          <w:p w14:paraId="6B1AFD6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w:t>
            </w:r>
          </w:p>
        </w:tc>
        <w:tc>
          <w:tcPr>
            <w:tcW w:w="795" w:type="dxa"/>
            <w:tcBorders>
              <w:top w:val="single" w:sz="4" w:space="0" w:color="000000"/>
              <w:left w:val="single" w:sz="4" w:space="0" w:color="000000"/>
              <w:bottom w:val="single" w:sz="4" w:space="0" w:color="000000"/>
            </w:tcBorders>
            <w:shd w:val="clear" w:color="auto" w:fill="auto"/>
          </w:tcPr>
          <w:p w14:paraId="0577AEF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960</w:t>
            </w:r>
          </w:p>
        </w:tc>
        <w:tc>
          <w:tcPr>
            <w:tcW w:w="641" w:type="dxa"/>
            <w:tcBorders>
              <w:top w:val="single" w:sz="4" w:space="0" w:color="000000"/>
              <w:left w:val="single" w:sz="4" w:space="0" w:color="000000"/>
              <w:bottom w:val="single" w:sz="4" w:space="0" w:color="000000"/>
            </w:tcBorders>
            <w:shd w:val="clear" w:color="auto" w:fill="auto"/>
          </w:tcPr>
          <w:p w14:paraId="5B80C24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160</w:t>
            </w:r>
          </w:p>
        </w:tc>
        <w:tc>
          <w:tcPr>
            <w:tcW w:w="845" w:type="dxa"/>
            <w:tcBorders>
              <w:top w:val="single" w:sz="4" w:space="0" w:color="000000"/>
              <w:left w:val="single" w:sz="4" w:space="0" w:color="000000"/>
              <w:bottom w:val="single" w:sz="4" w:space="0" w:color="000000"/>
            </w:tcBorders>
            <w:shd w:val="clear" w:color="auto" w:fill="auto"/>
          </w:tcPr>
          <w:p w14:paraId="75AAEC1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46000</w:t>
            </w:r>
          </w:p>
        </w:tc>
        <w:tc>
          <w:tcPr>
            <w:tcW w:w="773" w:type="dxa"/>
            <w:tcBorders>
              <w:top w:val="single" w:sz="4" w:space="0" w:color="000000"/>
              <w:left w:val="single" w:sz="4" w:space="0" w:color="000000"/>
              <w:bottom w:val="single" w:sz="4" w:space="0" w:color="000000"/>
            </w:tcBorders>
            <w:shd w:val="clear" w:color="auto" w:fill="auto"/>
          </w:tcPr>
          <w:p w14:paraId="39314D8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430</w:t>
            </w:r>
          </w:p>
        </w:tc>
        <w:tc>
          <w:tcPr>
            <w:tcW w:w="845" w:type="dxa"/>
            <w:tcBorders>
              <w:top w:val="single" w:sz="4" w:space="0" w:color="000000"/>
              <w:left w:val="single" w:sz="4" w:space="0" w:color="000000"/>
              <w:bottom w:val="single" w:sz="4" w:space="0" w:color="000000"/>
            </w:tcBorders>
            <w:shd w:val="clear" w:color="auto" w:fill="auto"/>
          </w:tcPr>
          <w:p w14:paraId="3378466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82000</w:t>
            </w:r>
          </w:p>
        </w:tc>
        <w:tc>
          <w:tcPr>
            <w:tcW w:w="723" w:type="dxa"/>
            <w:tcBorders>
              <w:top w:val="single" w:sz="4" w:space="0" w:color="000000"/>
              <w:left w:val="single" w:sz="4" w:space="0" w:color="000000"/>
              <w:bottom w:val="single" w:sz="4" w:space="0" w:color="000000"/>
            </w:tcBorders>
            <w:shd w:val="clear" w:color="auto" w:fill="auto"/>
          </w:tcPr>
          <w:p w14:paraId="2830C74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73" w:type="dxa"/>
            <w:tcBorders>
              <w:top w:val="single" w:sz="4" w:space="0" w:color="000000"/>
              <w:left w:val="single" w:sz="4" w:space="0" w:color="000000"/>
              <w:bottom w:val="single" w:sz="4" w:space="0" w:color="000000"/>
            </w:tcBorders>
            <w:shd w:val="clear" w:color="auto" w:fill="auto"/>
          </w:tcPr>
          <w:p w14:paraId="72592EE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7"/>
                <w:id w:val="1923673333"/>
              </w:sdtPr>
              <w:sdtEndPr/>
              <w:sdtContent>
                <w:r w:rsidR="009C0070" w:rsidRPr="00CA7C54">
                  <w:rPr>
                    <w:rFonts w:ascii="Arial" w:eastAsia="Arial Unicode MS" w:hAnsi="Arial" w:cs="Arial"/>
                    <w:color w:val="000000" w:themeColor="text1"/>
                    <w:sz w:val="21"/>
                    <w:szCs w:val="21"/>
                  </w:rPr>
                  <w:t>91∙10</w:t>
                </w:r>
              </w:sdtContent>
            </w:sdt>
            <w:r w:rsidR="009C0070" w:rsidRPr="00CA7C54">
              <w:rPr>
                <w:rFonts w:ascii="Arial" w:eastAsia="Arial" w:hAnsi="Arial" w:cs="Arial"/>
                <w:color w:val="000000" w:themeColor="text1"/>
                <w:sz w:val="21"/>
                <w:szCs w:val="21"/>
                <w:vertAlign w:val="superscript"/>
              </w:rPr>
              <w:t>4</w:t>
            </w:r>
          </w:p>
        </w:tc>
        <w:tc>
          <w:tcPr>
            <w:tcW w:w="552" w:type="dxa"/>
            <w:tcBorders>
              <w:top w:val="single" w:sz="4" w:space="0" w:color="000000"/>
              <w:left w:val="single" w:sz="4" w:space="0" w:color="000000"/>
              <w:bottom w:val="single" w:sz="4" w:space="0" w:color="000000"/>
            </w:tcBorders>
            <w:shd w:val="clear" w:color="auto" w:fill="auto"/>
          </w:tcPr>
          <w:p w14:paraId="626849E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498" w:type="dxa"/>
            <w:tcBorders>
              <w:top w:val="single" w:sz="4" w:space="0" w:color="000000"/>
              <w:left w:val="single" w:sz="4" w:space="0" w:color="000000"/>
              <w:bottom w:val="single" w:sz="4" w:space="0" w:color="000000"/>
            </w:tcBorders>
            <w:shd w:val="clear" w:color="auto" w:fill="auto"/>
          </w:tcPr>
          <w:p w14:paraId="55E7E694"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3C85966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7BFD004C"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CD5FF5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95</w:t>
            </w:r>
          </w:p>
        </w:tc>
        <w:tc>
          <w:tcPr>
            <w:tcW w:w="845" w:type="dxa"/>
            <w:tcBorders>
              <w:top w:val="single" w:sz="4" w:space="0" w:color="000000"/>
              <w:left w:val="single" w:sz="4" w:space="0" w:color="000000"/>
              <w:bottom w:val="single" w:sz="4" w:space="0" w:color="000000"/>
            </w:tcBorders>
            <w:shd w:val="clear" w:color="auto" w:fill="auto"/>
          </w:tcPr>
          <w:p w14:paraId="18B2B1D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91000</w:t>
            </w:r>
          </w:p>
        </w:tc>
        <w:tc>
          <w:tcPr>
            <w:tcW w:w="773" w:type="dxa"/>
            <w:tcBorders>
              <w:top w:val="single" w:sz="4" w:space="0" w:color="000000"/>
              <w:left w:val="single" w:sz="4" w:space="0" w:color="000000"/>
              <w:bottom w:val="single" w:sz="4" w:space="0" w:color="000000"/>
            </w:tcBorders>
            <w:shd w:val="clear" w:color="auto" w:fill="auto"/>
          </w:tcPr>
          <w:p w14:paraId="1A5E104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w:t>
            </w:r>
          </w:p>
        </w:tc>
        <w:tc>
          <w:tcPr>
            <w:tcW w:w="795" w:type="dxa"/>
            <w:tcBorders>
              <w:top w:val="single" w:sz="4" w:space="0" w:color="000000"/>
              <w:left w:val="single" w:sz="4" w:space="0" w:color="000000"/>
              <w:bottom w:val="single" w:sz="4" w:space="0" w:color="000000"/>
            </w:tcBorders>
            <w:shd w:val="clear" w:color="auto" w:fill="auto"/>
          </w:tcPr>
          <w:p w14:paraId="25A4297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1400</w:t>
            </w:r>
          </w:p>
        </w:tc>
        <w:tc>
          <w:tcPr>
            <w:tcW w:w="641" w:type="dxa"/>
            <w:tcBorders>
              <w:top w:val="single" w:sz="4" w:space="0" w:color="000000"/>
              <w:left w:val="single" w:sz="4" w:space="0" w:color="000000"/>
              <w:bottom w:val="single" w:sz="4" w:space="0" w:color="000000"/>
            </w:tcBorders>
            <w:shd w:val="clear" w:color="auto" w:fill="auto"/>
          </w:tcPr>
          <w:p w14:paraId="25D7D61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w:t>
            </w:r>
          </w:p>
        </w:tc>
        <w:tc>
          <w:tcPr>
            <w:tcW w:w="845" w:type="dxa"/>
            <w:tcBorders>
              <w:top w:val="single" w:sz="4" w:space="0" w:color="000000"/>
              <w:left w:val="single" w:sz="4" w:space="0" w:color="000000"/>
              <w:bottom w:val="single" w:sz="4" w:space="0" w:color="000000"/>
            </w:tcBorders>
            <w:shd w:val="clear" w:color="auto" w:fill="auto"/>
          </w:tcPr>
          <w:p w14:paraId="643CB64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77000</w:t>
            </w:r>
          </w:p>
        </w:tc>
        <w:tc>
          <w:tcPr>
            <w:tcW w:w="773" w:type="dxa"/>
            <w:tcBorders>
              <w:top w:val="single" w:sz="4" w:space="0" w:color="000000"/>
              <w:left w:val="single" w:sz="4" w:space="0" w:color="000000"/>
              <w:bottom w:val="single" w:sz="4" w:space="0" w:color="000000"/>
            </w:tcBorders>
            <w:shd w:val="clear" w:color="auto" w:fill="auto"/>
          </w:tcPr>
          <w:p w14:paraId="082982A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580</w:t>
            </w:r>
          </w:p>
        </w:tc>
        <w:tc>
          <w:tcPr>
            <w:tcW w:w="845" w:type="dxa"/>
            <w:tcBorders>
              <w:top w:val="single" w:sz="4" w:space="0" w:color="000000"/>
              <w:left w:val="single" w:sz="4" w:space="0" w:color="000000"/>
              <w:bottom w:val="single" w:sz="4" w:space="0" w:color="000000"/>
            </w:tcBorders>
            <w:shd w:val="clear" w:color="auto" w:fill="auto"/>
          </w:tcPr>
          <w:p w14:paraId="3B873297"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8"/>
                <w:id w:val="-696007271"/>
              </w:sdtPr>
              <w:sdtEndPr/>
              <w:sdtContent>
                <w:r w:rsidR="009C0070" w:rsidRPr="00CA7C54">
                  <w:rPr>
                    <w:rFonts w:ascii="Arial" w:eastAsia="Arial Unicode MS" w:hAnsi="Arial" w:cs="Arial"/>
                    <w:color w:val="000000" w:themeColor="text1"/>
                    <w:sz w:val="21"/>
                    <w:szCs w:val="21"/>
                  </w:rPr>
                  <w:t>14∙10</w:t>
                </w:r>
              </w:sdtContent>
            </w:sdt>
            <w:r w:rsidR="009C0070" w:rsidRPr="00CA7C54">
              <w:rPr>
                <w:rFonts w:ascii="Arial" w:eastAsia="Arial" w:hAnsi="Arial" w:cs="Arial"/>
                <w:color w:val="000000" w:themeColor="text1"/>
                <w:sz w:val="21"/>
                <w:szCs w:val="21"/>
                <w:vertAlign w:val="superscript"/>
              </w:rPr>
              <w:t>4</w:t>
            </w:r>
          </w:p>
        </w:tc>
        <w:tc>
          <w:tcPr>
            <w:tcW w:w="723" w:type="dxa"/>
            <w:tcBorders>
              <w:top w:val="single" w:sz="4" w:space="0" w:color="000000"/>
              <w:left w:val="single" w:sz="4" w:space="0" w:color="000000"/>
              <w:bottom w:val="single" w:sz="4" w:space="0" w:color="000000"/>
            </w:tcBorders>
            <w:shd w:val="clear" w:color="auto" w:fill="auto"/>
          </w:tcPr>
          <w:p w14:paraId="4CAC9B7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c>
          <w:tcPr>
            <w:tcW w:w="773" w:type="dxa"/>
            <w:tcBorders>
              <w:top w:val="single" w:sz="4" w:space="0" w:color="000000"/>
              <w:left w:val="single" w:sz="4" w:space="0" w:color="000000"/>
              <w:bottom w:val="single" w:sz="4" w:space="0" w:color="000000"/>
            </w:tcBorders>
            <w:shd w:val="clear" w:color="auto" w:fill="auto"/>
          </w:tcPr>
          <w:p w14:paraId="14D5823F"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9"/>
                <w:id w:val="-554851804"/>
              </w:sdtPr>
              <w:sdtEndPr/>
              <w:sdtContent>
                <w:r w:rsidR="009C0070" w:rsidRPr="00CA7C54">
                  <w:rPr>
                    <w:rFonts w:ascii="Arial" w:eastAsia="Arial Unicode MS" w:hAnsi="Arial" w:cs="Arial"/>
                    <w:color w:val="000000" w:themeColor="text1"/>
                    <w:sz w:val="21"/>
                    <w:szCs w:val="21"/>
                  </w:rPr>
                  <w:t>1,7∙10</w:t>
                </w:r>
              </w:sdtContent>
            </w:sdt>
            <w:r w:rsidR="009C0070" w:rsidRPr="00CA7C54">
              <w:rPr>
                <w:rFonts w:ascii="Arial" w:eastAsia="Arial" w:hAnsi="Arial" w:cs="Arial"/>
                <w:color w:val="000000" w:themeColor="text1"/>
                <w:sz w:val="21"/>
                <w:szCs w:val="21"/>
                <w:vertAlign w:val="superscript"/>
              </w:rPr>
              <w:t>6</w:t>
            </w:r>
          </w:p>
        </w:tc>
        <w:tc>
          <w:tcPr>
            <w:tcW w:w="552" w:type="dxa"/>
            <w:tcBorders>
              <w:top w:val="single" w:sz="4" w:space="0" w:color="000000"/>
              <w:left w:val="single" w:sz="4" w:space="0" w:color="000000"/>
              <w:bottom w:val="single" w:sz="4" w:space="0" w:color="000000"/>
            </w:tcBorders>
            <w:shd w:val="clear" w:color="auto" w:fill="auto"/>
          </w:tcPr>
          <w:p w14:paraId="5DF2661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498" w:type="dxa"/>
            <w:tcBorders>
              <w:top w:val="single" w:sz="4" w:space="0" w:color="000000"/>
              <w:left w:val="single" w:sz="4" w:space="0" w:color="000000"/>
              <w:bottom w:val="single" w:sz="4" w:space="0" w:color="000000"/>
            </w:tcBorders>
            <w:shd w:val="clear" w:color="auto" w:fill="auto"/>
          </w:tcPr>
          <w:p w14:paraId="3742FA23"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F82E7A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76E6F2CB"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4016AA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c>
          <w:tcPr>
            <w:tcW w:w="845" w:type="dxa"/>
            <w:tcBorders>
              <w:top w:val="single" w:sz="4" w:space="0" w:color="000000"/>
              <w:left w:val="single" w:sz="4" w:space="0" w:color="000000"/>
              <w:bottom w:val="single" w:sz="4" w:space="0" w:color="000000"/>
            </w:tcBorders>
            <w:shd w:val="clear" w:color="auto" w:fill="auto"/>
          </w:tcPr>
          <w:p w14:paraId="3564889E"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0"/>
                <w:id w:val="-1463107091"/>
              </w:sdtPr>
              <w:sdtEndPr/>
              <w:sdtContent>
                <w:r w:rsidR="009C0070" w:rsidRPr="00CA7C54">
                  <w:rPr>
                    <w:rFonts w:ascii="Arial" w:eastAsia="Arial Unicode MS" w:hAnsi="Arial" w:cs="Arial"/>
                    <w:color w:val="000000" w:themeColor="text1"/>
                    <w:sz w:val="21"/>
                    <w:szCs w:val="21"/>
                  </w:rPr>
                  <w:t>15∙10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6CD9DEF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2200</w:t>
            </w:r>
          </w:p>
        </w:tc>
        <w:tc>
          <w:tcPr>
            <w:tcW w:w="795" w:type="dxa"/>
            <w:tcBorders>
              <w:top w:val="single" w:sz="4" w:space="0" w:color="000000"/>
              <w:left w:val="single" w:sz="4" w:space="0" w:color="000000"/>
              <w:bottom w:val="single" w:sz="4" w:space="0" w:color="000000"/>
            </w:tcBorders>
            <w:shd w:val="clear" w:color="auto" w:fill="auto"/>
          </w:tcPr>
          <w:p w14:paraId="7D4C04E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1900</w:t>
            </w:r>
          </w:p>
        </w:tc>
        <w:tc>
          <w:tcPr>
            <w:tcW w:w="641" w:type="dxa"/>
            <w:tcBorders>
              <w:top w:val="single" w:sz="4" w:space="0" w:color="000000"/>
              <w:left w:val="single" w:sz="4" w:space="0" w:color="000000"/>
              <w:bottom w:val="single" w:sz="4" w:space="0" w:color="000000"/>
            </w:tcBorders>
            <w:shd w:val="clear" w:color="auto" w:fill="auto"/>
          </w:tcPr>
          <w:p w14:paraId="6864AA9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260</w:t>
            </w:r>
          </w:p>
        </w:tc>
        <w:tc>
          <w:tcPr>
            <w:tcW w:w="845" w:type="dxa"/>
            <w:tcBorders>
              <w:top w:val="single" w:sz="4" w:space="0" w:color="000000"/>
              <w:left w:val="single" w:sz="4" w:space="0" w:color="000000"/>
              <w:bottom w:val="single" w:sz="4" w:space="0" w:color="000000"/>
            </w:tcBorders>
            <w:shd w:val="clear" w:color="auto" w:fill="auto"/>
          </w:tcPr>
          <w:p w14:paraId="78F073BC"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1"/>
                <w:id w:val="323476783"/>
              </w:sdtPr>
              <w:sdtEndPr/>
              <w:sdtContent>
                <w:r w:rsidR="009C0070" w:rsidRPr="00CA7C54">
                  <w:rPr>
                    <w:rFonts w:ascii="Arial" w:eastAsia="Arial Unicode MS" w:hAnsi="Arial" w:cs="Arial"/>
                    <w:color w:val="000000" w:themeColor="text1"/>
                    <w:sz w:val="21"/>
                    <w:szCs w:val="21"/>
                  </w:rPr>
                  <w:t>12∙10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3B94E53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770</w:t>
            </w:r>
          </w:p>
        </w:tc>
        <w:tc>
          <w:tcPr>
            <w:tcW w:w="845" w:type="dxa"/>
            <w:tcBorders>
              <w:top w:val="single" w:sz="4" w:space="0" w:color="000000"/>
              <w:left w:val="single" w:sz="4" w:space="0" w:color="000000"/>
              <w:bottom w:val="single" w:sz="4" w:space="0" w:color="000000"/>
            </w:tcBorders>
            <w:shd w:val="clear" w:color="auto" w:fill="auto"/>
          </w:tcPr>
          <w:p w14:paraId="5A293FDF"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2"/>
                <w:id w:val="-918172955"/>
              </w:sdtPr>
              <w:sdtEndPr/>
              <w:sdtContent>
                <w:r w:rsidR="009C0070" w:rsidRPr="00CA7C54">
                  <w:rPr>
                    <w:rFonts w:ascii="Arial" w:eastAsia="Arial Unicode MS" w:hAnsi="Arial" w:cs="Arial"/>
                    <w:color w:val="000000" w:themeColor="text1"/>
                    <w:sz w:val="21"/>
                    <w:szCs w:val="21"/>
                  </w:rPr>
                  <w:t>22∙10</w:t>
                </w:r>
              </w:sdtContent>
            </w:sdt>
            <w:r w:rsidR="009C0070" w:rsidRPr="00CA7C54">
              <w:rPr>
                <w:rFonts w:ascii="Arial" w:eastAsia="Arial" w:hAnsi="Arial" w:cs="Arial"/>
                <w:color w:val="000000" w:themeColor="text1"/>
                <w:sz w:val="21"/>
                <w:szCs w:val="21"/>
                <w:vertAlign w:val="superscript"/>
              </w:rPr>
              <w:t>4</w:t>
            </w:r>
          </w:p>
        </w:tc>
        <w:tc>
          <w:tcPr>
            <w:tcW w:w="723" w:type="dxa"/>
            <w:tcBorders>
              <w:top w:val="single" w:sz="4" w:space="0" w:color="000000"/>
              <w:left w:val="single" w:sz="4" w:space="0" w:color="000000"/>
              <w:bottom w:val="single" w:sz="4" w:space="0" w:color="000000"/>
            </w:tcBorders>
            <w:shd w:val="clear" w:color="auto" w:fill="auto"/>
          </w:tcPr>
          <w:p w14:paraId="7B843B4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w:t>
            </w:r>
          </w:p>
        </w:tc>
        <w:tc>
          <w:tcPr>
            <w:tcW w:w="773" w:type="dxa"/>
            <w:tcBorders>
              <w:top w:val="single" w:sz="4" w:space="0" w:color="000000"/>
              <w:left w:val="single" w:sz="4" w:space="0" w:color="000000"/>
              <w:bottom w:val="single" w:sz="4" w:space="0" w:color="000000"/>
            </w:tcBorders>
            <w:shd w:val="clear" w:color="auto" w:fill="auto"/>
          </w:tcPr>
          <w:p w14:paraId="1AE2266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3"/>
                <w:id w:val="518521670"/>
              </w:sdtPr>
              <w:sdtEndPr/>
              <w:sdtContent>
                <w:r w:rsidR="009C0070" w:rsidRPr="00CA7C54">
                  <w:rPr>
                    <w:rFonts w:ascii="Arial" w:eastAsia="Arial Unicode MS" w:hAnsi="Arial" w:cs="Arial"/>
                    <w:color w:val="000000" w:themeColor="text1"/>
                    <w:sz w:val="21"/>
                    <w:szCs w:val="21"/>
                  </w:rPr>
                  <w:t>3,2∙10</w:t>
                </w:r>
              </w:sdtContent>
            </w:sdt>
            <w:r w:rsidR="009C0070" w:rsidRPr="00CA7C54">
              <w:rPr>
                <w:rFonts w:ascii="Arial" w:eastAsia="Arial" w:hAnsi="Arial" w:cs="Arial"/>
                <w:color w:val="000000" w:themeColor="text1"/>
                <w:sz w:val="21"/>
                <w:szCs w:val="21"/>
                <w:vertAlign w:val="superscript"/>
              </w:rPr>
              <w:t>6</w:t>
            </w:r>
          </w:p>
        </w:tc>
        <w:tc>
          <w:tcPr>
            <w:tcW w:w="552" w:type="dxa"/>
            <w:tcBorders>
              <w:top w:val="single" w:sz="4" w:space="0" w:color="000000"/>
              <w:left w:val="single" w:sz="4" w:space="0" w:color="000000"/>
              <w:bottom w:val="single" w:sz="4" w:space="0" w:color="000000"/>
            </w:tcBorders>
            <w:shd w:val="clear" w:color="auto" w:fill="auto"/>
          </w:tcPr>
          <w:p w14:paraId="70E6EAC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498" w:type="dxa"/>
            <w:tcBorders>
              <w:top w:val="single" w:sz="4" w:space="0" w:color="000000"/>
              <w:left w:val="single" w:sz="4" w:space="0" w:color="000000"/>
              <w:bottom w:val="single" w:sz="4" w:space="0" w:color="000000"/>
            </w:tcBorders>
            <w:shd w:val="clear" w:color="auto" w:fill="auto"/>
          </w:tcPr>
          <w:p w14:paraId="65CA573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E81DC23"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2B15D765"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14FD4BE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105</w:t>
            </w:r>
          </w:p>
        </w:tc>
        <w:tc>
          <w:tcPr>
            <w:tcW w:w="845" w:type="dxa"/>
            <w:tcBorders>
              <w:top w:val="single" w:sz="4" w:space="0" w:color="000000"/>
              <w:left w:val="single" w:sz="4" w:space="0" w:color="000000"/>
              <w:bottom w:val="single" w:sz="4" w:space="0" w:color="000000"/>
            </w:tcBorders>
            <w:shd w:val="clear" w:color="auto" w:fill="auto"/>
          </w:tcPr>
          <w:p w14:paraId="5455EE5A"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4"/>
                <w:id w:val="-497892672"/>
              </w:sdtPr>
              <w:sdtEndPr/>
              <w:sdtContent>
                <w:r w:rsidR="009C0070" w:rsidRPr="00CA7C54">
                  <w:rPr>
                    <w:rFonts w:ascii="Arial" w:eastAsia="Arial Unicode MS" w:hAnsi="Arial" w:cs="Arial"/>
                    <w:color w:val="000000" w:themeColor="text1"/>
                    <w:sz w:val="21"/>
                    <w:szCs w:val="21"/>
                  </w:rPr>
                  <w:t>26∙10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7FA5E22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3000</w:t>
            </w:r>
          </w:p>
        </w:tc>
        <w:tc>
          <w:tcPr>
            <w:tcW w:w="795" w:type="dxa"/>
            <w:tcBorders>
              <w:top w:val="single" w:sz="4" w:space="0" w:color="000000"/>
              <w:left w:val="single" w:sz="4" w:space="0" w:color="000000"/>
              <w:bottom w:val="single" w:sz="4" w:space="0" w:color="000000"/>
            </w:tcBorders>
            <w:shd w:val="clear" w:color="auto" w:fill="auto"/>
          </w:tcPr>
          <w:p w14:paraId="19E3301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2700</w:t>
            </w:r>
          </w:p>
        </w:tc>
        <w:tc>
          <w:tcPr>
            <w:tcW w:w="641" w:type="dxa"/>
            <w:tcBorders>
              <w:top w:val="single" w:sz="4" w:space="0" w:color="000000"/>
              <w:left w:val="single" w:sz="4" w:space="0" w:color="000000"/>
              <w:bottom w:val="single" w:sz="4" w:space="0" w:color="000000"/>
            </w:tcBorders>
            <w:shd w:val="clear" w:color="auto" w:fill="auto"/>
          </w:tcPr>
          <w:p w14:paraId="3BB7D3E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330</w:t>
            </w:r>
          </w:p>
        </w:tc>
        <w:tc>
          <w:tcPr>
            <w:tcW w:w="845" w:type="dxa"/>
            <w:tcBorders>
              <w:top w:val="single" w:sz="4" w:space="0" w:color="000000"/>
              <w:left w:val="single" w:sz="4" w:space="0" w:color="000000"/>
              <w:bottom w:val="single" w:sz="4" w:space="0" w:color="000000"/>
            </w:tcBorders>
            <w:shd w:val="clear" w:color="auto" w:fill="auto"/>
          </w:tcPr>
          <w:p w14:paraId="1649ACC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5"/>
                <w:id w:val="-1786192358"/>
              </w:sdtPr>
              <w:sdtEndPr/>
              <w:sdtContent>
                <w:r w:rsidR="009C0070" w:rsidRPr="00CA7C54">
                  <w:rPr>
                    <w:rFonts w:ascii="Arial" w:eastAsia="Arial Unicode MS" w:hAnsi="Arial" w:cs="Arial"/>
                    <w:color w:val="000000" w:themeColor="text1"/>
                    <w:sz w:val="21"/>
                    <w:szCs w:val="21"/>
                  </w:rPr>
                  <w:t>20∙10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2374F51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w:t>
            </w:r>
          </w:p>
        </w:tc>
        <w:tc>
          <w:tcPr>
            <w:tcW w:w="845" w:type="dxa"/>
            <w:tcBorders>
              <w:top w:val="single" w:sz="4" w:space="0" w:color="000000"/>
              <w:left w:val="single" w:sz="4" w:space="0" w:color="000000"/>
              <w:bottom w:val="single" w:sz="4" w:space="0" w:color="000000"/>
            </w:tcBorders>
            <w:shd w:val="clear" w:color="auto" w:fill="auto"/>
          </w:tcPr>
          <w:p w14:paraId="58EAC400"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6"/>
                <w:id w:val="-267692758"/>
              </w:sdtPr>
              <w:sdtEndPr/>
              <w:sdtContent>
                <w:r w:rsidR="009C0070" w:rsidRPr="00CA7C54">
                  <w:rPr>
                    <w:rFonts w:ascii="Arial" w:eastAsia="Arial Unicode MS" w:hAnsi="Arial" w:cs="Arial"/>
                    <w:color w:val="000000" w:themeColor="text1"/>
                    <w:sz w:val="21"/>
                    <w:szCs w:val="21"/>
                  </w:rPr>
                  <w:t>37∙10</w:t>
                </w:r>
              </w:sdtContent>
            </w:sdt>
            <w:r w:rsidR="009C0070" w:rsidRPr="00CA7C54">
              <w:rPr>
                <w:rFonts w:ascii="Arial" w:eastAsia="Arial" w:hAnsi="Arial" w:cs="Arial"/>
                <w:color w:val="000000" w:themeColor="text1"/>
                <w:sz w:val="21"/>
                <w:szCs w:val="21"/>
                <w:vertAlign w:val="superscript"/>
              </w:rPr>
              <w:t>4</w:t>
            </w:r>
          </w:p>
        </w:tc>
        <w:tc>
          <w:tcPr>
            <w:tcW w:w="723" w:type="dxa"/>
            <w:tcBorders>
              <w:top w:val="single" w:sz="4" w:space="0" w:color="000000"/>
              <w:left w:val="single" w:sz="4" w:space="0" w:color="000000"/>
              <w:bottom w:val="single" w:sz="4" w:space="0" w:color="000000"/>
            </w:tcBorders>
            <w:shd w:val="clear" w:color="auto" w:fill="auto"/>
          </w:tcPr>
          <w:p w14:paraId="416E15A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w:t>
            </w:r>
          </w:p>
        </w:tc>
        <w:tc>
          <w:tcPr>
            <w:tcW w:w="773" w:type="dxa"/>
            <w:tcBorders>
              <w:top w:val="single" w:sz="4" w:space="0" w:color="000000"/>
              <w:left w:val="single" w:sz="4" w:space="0" w:color="000000"/>
              <w:bottom w:val="single" w:sz="4" w:space="0" w:color="000000"/>
            </w:tcBorders>
            <w:shd w:val="clear" w:color="auto" w:fill="auto"/>
          </w:tcPr>
          <w:p w14:paraId="3740B554"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7"/>
                <w:id w:val="1918430567"/>
              </w:sdtPr>
              <w:sdtEndPr/>
              <w:sdtContent>
                <w:r w:rsidR="009C0070" w:rsidRPr="00CA7C54">
                  <w:rPr>
                    <w:rFonts w:ascii="Arial" w:eastAsia="Arial Unicode MS" w:hAnsi="Arial" w:cs="Arial"/>
                    <w:color w:val="000000" w:themeColor="text1"/>
                    <w:sz w:val="21"/>
                    <w:szCs w:val="21"/>
                  </w:rPr>
                  <w:t>6,1∙10</w:t>
                </w:r>
              </w:sdtContent>
            </w:sdt>
            <w:r w:rsidR="009C0070" w:rsidRPr="00CA7C54">
              <w:rPr>
                <w:rFonts w:ascii="Arial" w:eastAsia="Arial" w:hAnsi="Arial" w:cs="Arial"/>
                <w:color w:val="000000" w:themeColor="text1"/>
                <w:sz w:val="21"/>
                <w:szCs w:val="21"/>
                <w:vertAlign w:val="superscript"/>
              </w:rPr>
              <w:t>6</w:t>
            </w:r>
          </w:p>
        </w:tc>
        <w:tc>
          <w:tcPr>
            <w:tcW w:w="552" w:type="dxa"/>
            <w:tcBorders>
              <w:top w:val="single" w:sz="4" w:space="0" w:color="000000"/>
              <w:left w:val="single" w:sz="4" w:space="0" w:color="000000"/>
              <w:bottom w:val="single" w:sz="4" w:space="0" w:color="000000"/>
            </w:tcBorders>
            <w:shd w:val="clear" w:color="auto" w:fill="auto"/>
          </w:tcPr>
          <w:p w14:paraId="48792A5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42</w:t>
            </w:r>
          </w:p>
        </w:tc>
        <w:tc>
          <w:tcPr>
            <w:tcW w:w="498" w:type="dxa"/>
            <w:tcBorders>
              <w:top w:val="single" w:sz="4" w:space="0" w:color="000000"/>
              <w:left w:val="single" w:sz="4" w:space="0" w:color="000000"/>
              <w:bottom w:val="single" w:sz="4" w:space="0" w:color="000000"/>
            </w:tcBorders>
            <w:shd w:val="clear" w:color="auto" w:fill="auto"/>
          </w:tcPr>
          <w:p w14:paraId="6B590DE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2769A9A"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01BEAC15"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7FF5022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w:t>
            </w:r>
          </w:p>
        </w:tc>
        <w:tc>
          <w:tcPr>
            <w:tcW w:w="845" w:type="dxa"/>
            <w:tcBorders>
              <w:top w:val="single" w:sz="4" w:space="0" w:color="000000"/>
              <w:left w:val="single" w:sz="4" w:space="0" w:color="000000"/>
              <w:bottom w:val="single" w:sz="4" w:space="0" w:color="000000"/>
            </w:tcBorders>
            <w:shd w:val="clear" w:color="auto" w:fill="auto"/>
          </w:tcPr>
          <w:p w14:paraId="756152EF"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8"/>
                <w:id w:val="-369310253"/>
              </w:sdtPr>
              <w:sdtEndPr/>
              <w:sdtContent>
                <w:r w:rsidR="009C0070" w:rsidRPr="00CA7C54">
                  <w:rPr>
                    <w:rFonts w:ascii="Arial" w:eastAsia="Arial Unicode MS" w:hAnsi="Arial" w:cs="Arial"/>
                    <w:color w:val="000000" w:themeColor="text1"/>
                    <w:sz w:val="21"/>
                    <w:szCs w:val="21"/>
                  </w:rPr>
                  <w:t>45∙10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31B78BE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4300</w:t>
            </w:r>
          </w:p>
        </w:tc>
        <w:tc>
          <w:tcPr>
            <w:tcW w:w="795" w:type="dxa"/>
            <w:tcBorders>
              <w:top w:val="single" w:sz="4" w:space="0" w:color="000000"/>
              <w:left w:val="single" w:sz="4" w:space="0" w:color="000000"/>
              <w:bottom w:val="single" w:sz="4" w:space="0" w:color="000000"/>
            </w:tcBorders>
            <w:shd w:val="clear" w:color="auto" w:fill="auto"/>
          </w:tcPr>
          <w:p w14:paraId="697E876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3800</w:t>
            </w:r>
          </w:p>
        </w:tc>
        <w:tc>
          <w:tcPr>
            <w:tcW w:w="641" w:type="dxa"/>
            <w:tcBorders>
              <w:top w:val="single" w:sz="4" w:space="0" w:color="000000"/>
              <w:left w:val="single" w:sz="4" w:space="0" w:color="000000"/>
              <w:bottom w:val="single" w:sz="4" w:space="0" w:color="000000"/>
            </w:tcBorders>
            <w:shd w:val="clear" w:color="auto" w:fill="auto"/>
          </w:tcPr>
          <w:p w14:paraId="361DC25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420</w:t>
            </w:r>
          </w:p>
        </w:tc>
        <w:tc>
          <w:tcPr>
            <w:tcW w:w="845" w:type="dxa"/>
            <w:tcBorders>
              <w:top w:val="single" w:sz="4" w:space="0" w:color="000000"/>
              <w:left w:val="single" w:sz="4" w:space="0" w:color="000000"/>
              <w:bottom w:val="single" w:sz="4" w:space="0" w:color="000000"/>
            </w:tcBorders>
            <w:shd w:val="clear" w:color="auto" w:fill="auto"/>
          </w:tcPr>
          <w:p w14:paraId="2EB4DBAC"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9"/>
                <w:id w:val="-2064087391"/>
              </w:sdtPr>
              <w:sdtEndPr/>
              <w:sdtContent>
                <w:r w:rsidR="009C0070" w:rsidRPr="00CA7C54">
                  <w:rPr>
                    <w:rFonts w:ascii="Arial" w:eastAsia="Arial Unicode MS" w:hAnsi="Arial" w:cs="Arial"/>
                    <w:color w:val="000000" w:themeColor="text1"/>
                    <w:sz w:val="21"/>
                    <w:szCs w:val="21"/>
                  </w:rPr>
                  <w:t>32∙10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6B5C101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1300</w:t>
            </w:r>
          </w:p>
        </w:tc>
        <w:tc>
          <w:tcPr>
            <w:tcW w:w="845" w:type="dxa"/>
            <w:tcBorders>
              <w:top w:val="single" w:sz="4" w:space="0" w:color="000000"/>
              <w:left w:val="single" w:sz="4" w:space="0" w:color="000000"/>
              <w:bottom w:val="single" w:sz="4" w:space="0" w:color="000000"/>
            </w:tcBorders>
            <w:shd w:val="clear" w:color="auto" w:fill="auto"/>
          </w:tcPr>
          <w:p w14:paraId="45E1AAC1"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0"/>
                <w:id w:val="738605538"/>
              </w:sdtPr>
              <w:sdtEndPr/>
              <w:sdtContent>
                <w:r w:rsidR="009C0070" w:rsidRPr="00CA7C54">
                  <w:rPr>
                    <w:rFonts w:ascii="Arial" w:eastAsia="Arial Unicode MS" w:hAnsi="Arial" w:cs="Arial"/>
                    <w:color w:val="000000" w:themeColor="text1"/>
                    <w:sz w:val="21"/>
                    <w:szCs w:val="21"/>
                  </w:rPr>
                  <w:t>61∙10</w:t>
                </w:r>
              </w:sdtContent>
            </w:sdt>
            <w:r w:rsidR="009C0070" w:rsidRPr="00CA7C54">
              <w:rPr>
                <w:rFonts w:ascii="Arial" w:eastAsia="Arial" w:hAnsi="Arial" w:cs="Arial"/>
                <w:color w:val="000000" w:themeColor="text1"/>
                <w:sz w:val="21"/>
                <w:szCs w:val="21"/>
                <w:vertAlign w:val="superscript"/>
              </w:rPr>
              <w:t>4</w:t>
            </w:r>
          </w:p>
        </w:tc>
        <w:tc>
          <w:tcPr>
            <w:tcW w:w="723" w:type="dxa"/>
            <w:tcBorders>
              <w:top w:val="single" w:sz="4" w:space="0" w:color="000000"/>
              <w:left w:val="single" w:sz="4" w:space="0" w:color="000000"/>
              <w:bottom w:val="single" w:sz="4" w:space="0" w:color="000000"/>
            </w:tcBorders>
            <w:shd w:val="clear" w:color="auto" w:fill="auto"/>
          </w:tcPr>
          <w:p w14:paraId="7D607FB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w:t>
            </w:r>
          </w:p>
        </w:tc>
        <w:tc>
          <w:tcPr>
            <w:tcW w:w="773" w:type="dxa"/>
            <w:tcBorders>
              <w:top w:val="single" w:sz="4" w:space="0" w:color="000000"/>
              <w:left w:val="single" w:sz="4" w:space="0" w:color="000000"/>
              <w:bottom w:val="single" w:sz="4" w:space="0" w:color="000000"/>
            </w:tcBorders>
            <w:shd w:val="clear" w:color="auto" w:fill="auto"/>
          </w:tcPr>
          <w:p w14:paraId="7A103B89"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1"/>
                <w:id w:val="-410162057"/>
              </w:sdtPr>
              <w:sdtEndPr/>
              <w:sdtContent>
                <w:r w:rsidR="009C0070" w:rsidRPr="00CA7C54">
                  <w:rPr>
                    <w:rFonts w:ascii="Arial" w:eastAsia="Arial Unicode MS" w:hAnsi="Arial" w:cs="Arial"/>
                    <w:color w:val="000000" w:themeColor="text1"/>
                    <w:sz w:val="21"/>
                    <w:szCs w:val="21"/>
                  </w:rPr>
                  <w:t>1,1∙10</w:t>
                </w:r>
              </w:sdtContent>
            </w:sdt>
            <w:r w:rsidR="009C0070" w:rsidRPr="00CA7C54">
              <w:rPr>
                <w:rFonts w:ascii="Arial" w:eastAsia="Arial" w:hAnsi="Arial" w:cs="Arial"/>
                <w:color w:val="000000" w:themeColor="text1"/>
                <w:sz w:val="21"/>
                <w:szCs w:val="21"/>
                <w:vertAlign w:val="superscript"/>
              </w:rPr>
              <w:t>7</w:t>
            </w:r>
          </w:p>
        </w:tc>
        <w:tc>
          <w:tcPr>
            <w:tcW w:w="552" w:type="dxa"/>
            <w:tcBorders>
              <w:top w:val="single" w:sz="4" w:space="0" w:color="000000"/>
              <w:left w:val="single" w:sz="4" w:space="0" w:color="000000"/>
              <w:bottom w:val="single" w:sz="4" w:space="0" w:color="000000"/>
            </w:tcBorders>
            <w:shd w:val="clear" w:color="auto" w:fill="auto"/>
          </w:tcPr>
          <w:p w14:paraId="5BC8EF7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w:t>
            </w:r>
          </w:p>
        </w:tc>
        <w:tc>
          <w:tcPr>
            <w:tcW w:w="498" w:type="dxa"/>
            <w:tcBorders>
              <w:top w:val="single" w:sz="4" w:space="0" w:color="000000"/>
              <w:left w:val="single" w:sz="4" w:space="0" w:color="000000"/>
              <w:bottom w:val="single" w:sz="4" w:space="0" w:color="000000"/>
            </w:tcBorders>
            <w:shd w:val="clear" w:color="auto" w:fill="auto"/>
          </w:tcPr>
          <w:p w14:paraId="46980D23"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23CCE2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262E81F2"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0ADC4E4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115</w:t>
            </w:r>
          </w:p>
        </w:tc>
        <w:tc>
          <w:tcPr>
            <w:tcW w:w="845" w:type="dxa"/>
            <w:tcBorders>
              <w:top w:val="single" w:sz="4" w:space="0" w:color="000000"/>
              <w:left w:val="single" w:sz="4" w:space="0" w:color="000000"/>
              <w:bottom w:val="single" w:sz="4" w:space="0" w:color="000000"/>
            </w:tcBorders>
            <w:shd w:val="clear" w:color="auto" w:fill="auto"/>
          </w:tcPr>
          <w:p w14:paraId="40B42A4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2"/>
                <w:id w:val="1564985182"/>
              </w:sdtPr>
              <w:sdtEndPr/>
              <w:sdtContent>
                <w:r w:rsidR="009C0070" w:rsidRPr="00CA7C54">
                  <w:rPr>
                    <w:rFonts w:ascii="Arial" w:eastAsia="Arial Unicode MS" w:hAnsi="Arial" w:cs="Arial"/>
                    <w:color w:val="000000" w:themeColor="text1"/>
                    <w:sz w:val="21"/>
                    <w:szCs w:val="21"/>
                  </w:rPr>
                  <w:t>76∙10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5AC5C10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5000</w:t>
            </w:r>
          </w:p>
        </w:tc>
        <w:tc>
          <w:tcPr>
            <w:tcW w:w="795" w:type="dxa"/>
            <w:tcBorders>
              <w:top w:val="single" w:sz="4" w:space="0" w:color="000000"/>
              <w:left w:val="single" w:sz="4" w:space="0" w:color="000000"/>
              <w:bottom w:val="single" w:sz="4" w:space="0" w:color="000000"/>
            </w:tcBorders>
            <w:shd w:val="clear" w:color="auto" w:fill="auto"/>
          </w:tcPr>
          <w:p w14:paraId="6F8A96F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5400</w:t>
            </w:r>
          </w:p>
        </w:tc>
        <w:tc>
          <w:tcPr>
            <w:tcW w:w="641" w:type="dxa"/>
            <w:tcBorders>
              <w:top w:val="single" w:sz="4" w:space="0" w:color="000000"/>
              <w:left w:val="single" w:sz="4" w:space="0" w:color="000000"/>
              <w:bottom w:val="single" w:sz="4" w:space="0" w:color="000000"/>
            </w:tcBorders>
            <w:shd w:val="clear" w:color="auto" w:fill="auto"/>
          </w:tcPr>
          <w:p w14:paraId="32CE336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540</w:t>
            </w:r>
          </w:p>
        </w:tc>
        <w:tc>
          <w:tcPr>
            <w:tcW w:w="845" w:type="dxa"/>
            <w:tcBorders>
              <w:top w:val="single" w:sz="4" w:space="0" w:color="000000"/>
              <w:left w:val="single" w:sz="4" w:space="0" w:color="000000"/>
              <w:bottom w:val="single" w:sz="4" w:space="0" w:color="000000"/>
            </w:tcBorders>
            <w:shd w:val="clear" w:color="auto" w:fill="auto"/>
          </w:tcPr>
          <w:p w14:paraId="2B97071B"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3"/>
                <w:id w:val="-1150516348"/>
              </w:sdtPr>
              <w:sdtEndPr/>
              <w:sdtContent>
                <w:r w:rsidR="009C0070" w:rsidRPr="00CA7C54">
                  <w:rPr>
                    <w:rFonts w:ascii="Arial" w:eastAsia="Arial Unicode MS" w:hAnsi="Arial" w:cs="Arial"/>
                    <w:color w:val="000000" w:themeColor="text1"/>
                    <w:sz w:val="21"/>
                    <w:szCs w:val="21"/>
                  </w:rPr>
                  <w:t>51∙10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5BF866F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1800</w:t>
            </w:r>
          </w:p>
        </w:tc>
        <w:tc>
          <w:tcPr>
            <w:tcW w:w="845" w:type="dxa"/>
            <w:tcBorders>
              <w:top w:val="single" w:sz="4" w:space="0" w:color="000000"/>
              <w:left w:val="single" w:sz="4" w:space="0" w:color="000000"/>
              <w:bottom w:val="single" w:sz="4" w:space="0" w:color="000000"/>
            </w:tcBorders>
            <w:shd w:val="clear" w:color="auto" w:fill="auto"/>
          </w:tcPr>
          <w:p w14:paraId="639392A8"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4"/>
                <w:id w:val="-1223758917"/>
              </w:sdtPr>
              <w:sdtEndPr/>
              <w:sdtContent>
                <w:r w:rsidR="009C0070" w:rsidRPr="00CA7C54">
                  <w:rPr>
                    <w:rFonts w:ascii="Arial" w:eastAsia="Arial Unicode MS" w:hAnsi="Arial" w:cs="Arial"/>
                    <w:color w:val="000000" w:themeColor="text1"/>
                    <w:sz w:val="21"/>
                    <w:szCs w:val="21"/>
                  </w:rPr>
                  <w:t>1∙10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2F6E315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773" w:type="dxa"/>
            <w:tcBorders>
              <w:top w:val="single" w:sz="4" w:space="0" w:color="000000"/>
              <w:left w:val="single" w:sz="4" w:space="0" w:color="000000"/>
              <w:bottom w:val="single" w:sz="4" w:space="0" w:color="000000"/>
            </w:tcBorders>
            <w:shd w:val="clear" w:color="auto" w:fill="auto"/>
          </w:tcPr>
          <w:p w14:paraId="3166B4B0"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5"/>
                <w:id w:val="-629940878"/>
              </w:sdtPr>
              <w:sdtEndPr/>
              <w:sdtContent>
                <w:r w:rsidR="009C0070" w:rsidRPr="00CA7C54">
                  <w:rPr>
                    <w:rFonts w:ascii="Arial" w:eastAsia="Arial Unicode MS" w:hAnsi="Arial" w:cs="Arial"/>
                    <w:color w:val="000000" w:themeColor="text1"/>
                    <w:sz w:val="21"/>
                    <w:szCs w:val="21"/>
                  </w:rPr>
                  <w:t>2,2∙10</w:t>
                </w:r>
              </w:sdtContent>
            </w:sdt>
            <w:r w:rsidR="009C0070" w:rsidRPr="00CA7C54">
              <w:rPr>
                <w:rFonts w:ascii="Arial" w:eastAsia="Arial" w:hAnsi="Arial" w:cs="Arial"/>
                <w:color w:val="000000" w:themeColor="text1"/>
                <w:sz w:val="21"/>
                <w:szCs w:val="21"/>
                <w:vertAlign w:val="superscript"/>
              </w:rPr>
              <w:t>7</w:t>
            </w:r>
          </w:p>
        </w:tc>
        <w:tc>
          <w:tcPr>
            <w:tcW w:w="552" w:type="dxa"/>
            <w:tcBorders>
              <w:top w:val="single" w:sz="4" w:space="0" w:color="000000"/>
              <w:left w:val="single" w:sz="4" w:space="0" w:color="000000"/>
              <w:bottom w:val="single" w:sz="4" w:space="0" w:color="000000"/>
            </w:tcBorders>
            <w:shd w:val="clear" w:color="auto" w:fill="auto"/>
          </w:tcPr>
          <w:p w14:paraId="4C2E899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59</w:t>
            </w:r>
          </w:p>
        </w:tc>
        <w:tc>
          <w:tcPr>
            <w:tcW w:w="498" w:type="dxa"/>
            <w:tcBorders>
              <w:top w:val="single" w:sz="4" w:space="0" w:color="000000"/>
              <w:left w:val="single" w:sz="4" w:space="0" w:color="000000"/>
              <w:bottom w:val="single" w:sz="4" w:space="0" w:color="000000"/>
            </w:tcBorders>
            <w:shd w:val="clear" w:color="auto" w:fill="auto"/>
          </w:tcPr>
          <w:p w14:paraId="30626FC1"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B661488"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718E2B8F"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613BE0E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845" w:type="dxa"/>
            <w:tcBorders>
              <w:top w:val="single" w:sz="4" w:space="0" w:color="000000"/>
              <w:left w:val="single" w:sz="4" w:space="0" w:color="000000"/>
              <w:bottom w:val="single" w:sz="4" w:space="0" w:color="000000"/>
            </w:tcBorders>
            <w:shd w:val="clear" w:color="auto" w:fill="auto"/>
          </w:tcPr>
          <w:p w14:paraId="512FDC67"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6"/>
                <w:id w:val="-948466277"/>
              </w:sdtPr>
              <w:sdtEndPr/>
              <w:sdtContent>
                <w:r w:rsidR="009C0070" w:rsidRPr="00CA7C54">
                  <w:rPr>
                    <w:rFonts w:ascii="Arial" w:eastAsia="Arial Unicode MS" w:hAnsi="Arial" w:cs="Arial"/>
                    <w:color w:val="000000" w:themeColor="text1"/>
                    <w:sz w:val="21"/>
                    <w:szCs w:val="21"/>
                  </w:rPr>
                  <w:t>1,3∙10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3427372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8400</w:t>
            </w:r>
          </w:p>
        </w:tc>
        <w:tc>
          <w:tcPr>
            <w:tcW w:w="795" w:type="dxa"/>
            <w:tcBorders>
              <w:top w:val="single" w:sz="4" w:space="0" w:color="000000"/>
              <w:left w:val="single" w:sz="4" w:space="0" w:color="000000"/>
              <w:bottom w:val="single" w:sz="4" w:space="0" w:color="000000"/>
            </w:tcBorders>
            <w:shd w:val="clear" w:color="auto" w:fill="auto"/>
          </w:tcPr>
          <w:p w14:paraId="5F7AD36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7700</w:t>
            </w:r>
          </w:p>
        </w:tc>
        <w:tc>
          <w:tcPr>
            <w:tcW w:w="641" w:type="dxa"/>
            <w:tcBorders>
              <w:top w:val="single" w:sz="4" w:space="0" w:color="000000"/>
              <w:left w:val="single" w:sz="4" w:space="0" w:color="000000"/>
              <w:bottom w:val="single" w:sz="4" w:space="0" w:color="000000"/>
            </w:tcBorders>
            <w:shd w:val="clear" w:color="auto" w:fill="auto"/>
          </w:tcPr>
          <w:p w14:paraId="060D6EF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690</w:t>
            </w:r>
          </w:p>
        </w:tc>
        <w:tc>
          <w:tcPr>
            <w:tcW w:w="845" w:type="dxa"/>
            <w:tcBorders>
              <w:top w:val="single" w:sz="4" w:space="0" w:color="000000"/>
              <w:left w:val="single" w:sz="4" w:space="0" w:color="000000"/>
              <w:bottom w:val="single" w:sz="4" w:space="0" w:color="000000"/>
            </w:tcBorders>
            <w:shd w:val="clear" w:color="auto" w:fill="auto"/>
          </w:tcPr>
          <w:p w14:paraId="4C66AAF5"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7"/>
                <w:id w:val="-756058062"/>
              </w:sdtPr>
              <w:sdtEndPr/>
              <w:sdtContent>
                <w:r w:rsidR="009C0070" w:rsidRPr="00CA7C54">
                  <w:rPr>
                    <w:rFonts w:ascii="Arial" w:eastAsia="Arial Unicode MS" w:hAnsi="Arial" w:cs="Arial"/>
                    <w:color w:val="000000" w:themeColor="text1"/>
                    <w:sz w:val="21"/>
                    <w:szCs w:val="21"/>
                  </w:rPr>
                  <w:t>82∙10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19B95FC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2300</w:t>
            </w:r>
          </w:p>
        </w:tc>
        <w:tc>
          <w:tcPr>
            <w:tcW w:w="845" w:type="dxa"/>
            <w:tcBorders>
              <w:top w:val="single" w:sz="4" w:space="0" w:color="000000"/>
              <w:left w:val="single" w:sz="4" w:space="0" w:color="000000"/>
              <w:bottom w:val="single" w:sz="4" w:space="0" w:color="000000"/>
            </w:tcBorders>
            <w:shd w:val="clear" w:color="auto" w:fill="auto"/>
          </w:tcPr>
          <w:p w14:paraId="779D43C4"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8"/>
                <w:id w:val="1844980284"/>
              </w:sdtPr>
              <w:sdtEndPr/>
              <w:sdtContent>
                <w:r w:rsidR="009C0070" w:rsidRPr="00CA7C54">
                  <w:rPr>
                    <w:rFonts w:ascii="Arial" w:eastAsia="Arial Unicode MS" w:hAnsi="Arial" w:cs="Arial"/>
                    <w:color w:val="000000" w:themeColor="text1"/>
                    <w:sz w:val="21"/>
                    <w:szCs w:val="21"/>
                  </w:rPr>
                  <w:t>1,7∙10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673D9F8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w:t>
            </w:r>
          </w:p>
        </w:tc>
        <w:tc>
          <w:tcPr>
            <w:tcW w:w="773" w:type="dxa"/>
            <w:tcBorders>
              <w:top w:val="single" w:sz="4" w:space="0" w:color="000000"/>
              <w:left w:val="single" w:sz="4" w:space="0" w:color="000000"/>
              <w:bottom w:val="single" w:sz="4" w:space="0" w:color="000000"/>
            </w:tcBorders>
            <w:shd w:val="clear" w:color="auto" w:fill="auto"/>
          </w:tcPr>
          <w:p w14:paraId="421ECD0C"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9"/>
                <w:id w:val="-2071256589"/>
              </w:sdtPr>
              <w:sdtEndPr/>
              <w:sdtContent>
                <w:r w:rsidR="009C0070" w:rsidRPr="00CA7C54">
                  <w:rPr>
                    <w:rFonts w:ascii="Arial" w:eastAsia="Arial Unicode MS" w:hAnsi="Arial" w:cs="Arial"/>
                    <w:color w:val="000000" w:themeColor="text1"/>
                    <w:sz w:val="21"/>
                    <w:szCs w:val="21"/>
                  </w:rPr>
                  <w:t>4,1∙10</w:t>
                </w:r>
              </w:sdtContent>
            </w:sdt>
            <w:r w:rsidR="009C0070" w:rsidRPr="00CA7C54">
              <w:rPr>
                <w:rFonts w:ascii="Arial" w:eastAsia="Arial" w:hAnsi="Arial" w:cs="Arial"/>
                <w:color w:val="000000" w:themeColor="text1"/>
                <w:sz w:val="21"/>
                <w:szCs w:val="21"/>
                <w:vertAlign w:val="superscript"/>
              </w:rPr>
              <w:t>7</w:t>
            </w:r>
          </w:p>
        </w:tc>
        <w:tc>
          <w:tcPr>
            <w:tcW w:w="552" w:type="dxa"/>
            <w:tcBorders>
              <w:top w:val="single" w:sz="4" w:space="0" w:color="000000"/>
              <w:left w:val="single" w:sz="4" w:space="0" w:color="000000"/>
              <w:bottom w:val="single" w:sz="4" w:space="0" w:color="000000"/>
            </w:tcBorders>
            <w:shd w:val="clear" w:color="auto" w:fill="auto"/>
          </w:tcPr>
          <w:p w14:paraId="32AD239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69</w:t>
            </w:r>
          </w:p>
        </w:tc>
        <w:tc>
          <w:tcPr>
            <w:tcW w:w="498" w:type="dxa"/>
            <w:tcBorders>
              <w:top w:val="single" w:sz="4" w:space="0" w:color="000000"/>
              <w:left w:val="single" w:sz="4" w:space="0" w:color="000000"/>
              <w:bottom w:val="single" w:sz="4" w:space="0" w:color="000000"/>
            </w:tcBorders>
            <w:shd w:val="clear" w:color="auto" w:fill="auto"/>
          </w:tcPr>
          <w:p w14:paraId="373C519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20121A78"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01AC36A0"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7629EF1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125</w:t>
            </w:r>
          </w:p>
        </w:tc>
        <w:tc>
          <w:tcPr>
            <w:tcW w:w="845" w:type="dxa"/>
            <w:tcBorders>
              <w:top w:val="single" w:sz="4" w:space="0" w:color="000000"/>
              <w:left w:val="single" w:sz="4" w:space="0" w:color="000000"/>
              <w:bottom w:val="single" w:sz="4" w:space="0" w:color="000000"/>
            </w:tcBorders>
            <w:shd w:val="clear" w:color="auto" w:fill="auto"/>
          </w:tcPr>
          <w:p w14:paraId="41C6B6D9"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0"/>
                <w:id w:val="-1249959652"/>
              </w:sdtPr>
              <w:sdtEndPr/>
              <w:sdtContent>
                <w:r w:rsidR="009C0070" w:rsidRPr="00CA7C54">
                  <w:rPr>
                    <w:rFonts w:ascii="Arial" w:eastAsia="Arial Unicode MS" w:hAnsi="Arial" w:cs="Arial"/>
                    <w:color w:val="000000" w:themeColor="text1"/>
                    <w:sz w:val="21"/>
                    <w:szCs w:val="21"/>
                  </w:rPr>
                  <w:t>2,2∙10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7F618D2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12000</w:t>
            </w:r>
          </w:p>
        </w:tc>
        <w:tc>
          <w:tcPr>
            <w:tcW w:w="795" w:type="dxa"/>
            <w:tcBorders>
              <w:top w:val="single" w:sz="4" w:space="0" w:color="000000"/>
              <w:left w:val="single" w:sz="4" w:space="0" w:color="000000"/>
              <w:bottom w:val="single" w:sz="4" w:space="0" w:color="000000"/>
            </w:tcBorders>
            <w:shd w:val="clear" w:color="auto" w:fill="auto"/>
          </w:tcPr>
          <w:p w14:paraId="5C7107B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w:t>
            </w:r>
          </w:p>
        </w:tc>
        <w:tc>
          <w:tcPr>
            <w:tcW w:w="641" w:type="dxa"/>
            <w:tcBorders>
              <w:top w:val="single" w:sz="4" w:space="0" w:color="000000"/>
              <w:left w:val="single" w:sz="4" w:space="0" w:color="000000"/>
              <w:bottom w:val="single" w:sz="4" w:space="0" w:color="000000"/>
            </w:tcBorders>
            <w:shd w:val="clear" w:color="auto" w:fill="auto"/>
          </w:tcPr>
          <w:p w14:paraId="77416C0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890</w:t>
            </w:r>
          </w:p>
        </w:tc>
        <w:tc>
          <w:tcPr>
            <w:tcW w:w="845" w:type="dxa"/>
            <w:tcBorders>
              <w:top w:val="single" w:sz="4" w:space="0" w:color="000000"/>
              <w:left w:val="single" w:sz="4" w:space="0" w:color="000000"/>
              <w:bottom w:val="single" w:sz="4" w:space="0" w:color="000000"/>
            </w:tcBorders>
            <w:shd w:val="clear" w:color="auto" w:fill="auto"/>
          </w:tcPr>
          <w:p w14:paraId="23D9B75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1"/>
                <w:id w:val="2121720834"/>
              </w:sdtPr>
              <w:sdtEndPr/>
              <w:sdtContent>
                <w:r w:rsidR="009C0070" w:rsidRPr="00CA7C54">
                  <w:rPr>
                    <w:rFonts w:ascii="Arial" w:eastAsia="Arial Unicode MS" w:hAnsi="Arial" w:cs="Arial"/>
                    <w:color w:val="000000" w:themeColor="text1"/>
                    <w:sz w:val="21"/>
                    <w:szCs w:val="21"/>
                  </w:rPr>
                  <w:t>1,3∙10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725A343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3100</w:t>
            </w:r>
          </w:p>
        </w:tc>
        <w:tc>
          <w:tcPr>
            <w:tcW w:w="845" w:type="dxa"/>
            <w:tcBorders>
              <w:top w:val="single" w:sz="4" w:space="0" w:color="000000"/>
              <w:left w:val="single" w:sz="4" w:space="0" w:color="000000"/>
              <w:bottom w:val="single" w:sz="4" w:space="0" w:color="000000"/>
            </w:tcBorders>
            <w:shd w:val="clear" w:color="auto" w:fill="auto"/>
          </w:tcPr>
          <w:p w14:paraId="09928FCE"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2"/>
                <w:id w:val="-2071339175"/>
              </w:sdtPr>
              <w:sdtEndPr/>
              <w:sdtContent>
                <w:r w:rsidR="009C0070" w:rsidRPr="00CA7C54">
                  <w:rPr>
                    <w:rFonts w:ascii="Arial" w:eastAsia="Arial Unicode MS" w:hAnsi="Arial" w:cs="Arial"/>
                    <w:color w:val="000000" w:themeColor="text1"/>
                    <w:sz w:val="21"/>
                    <w:szCs w:val="21"/>
                  </w:rPr>
                  <w:t>2,7∙10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56A399B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w:t>
            </w:r>
          </w:p>
        </w:tc>
        <w:tc>
          <w:tcPr>
            <w:tcW w:w="773" w:type="dxa"/>
            <w:tcBorders>
              <w:top w:val="single" w:sz="4" w:space="0" w:color="000000"/>
              <w:left w:val="single" w:sz="4" w:space="0" w:color="000000"/>
              <w:bottom w:val="single" w:sz="4" w:space="0" w:color="000000"/>
            </w:tcBorders>
            <w:shd w:val="clear" w:color="auto" w:fill="auto"/>
          </w:tcPr>
          <w:p w14:paraId="5D4BFC8E"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3"/>
                <w:id w:val="-884872159"/>
              </w:sdtPr>
              <w:sdtEndPr/>
              <w:sdtContent>
                <w:r w:rsidR="009C0070" w:rsidRPr="00CA7C54">
                  <w:rPr>
                    <w:rFonts w:ascii="Arial" w:eastAsia="Arial Unicode MS" w:hAnsi="Arial" w:cs="Arial"/>
                    <w:color w:val="000000" w:themeColor="text1"/>
                    <w:sz w:val="21"/>
                    <w:szCs w:val="21"/>
                  </w:rPr>
                  <w:t>7,6∙10</w:t>
                </w:r>
              </w:sdtContent>
            </w:sdt>
            <w:r w:rsidR="009C0070" w:rsidRPr="00CA7C54">
              <w:rPr>
                <w:rFonts w:ascii="Arial" w:eastAsia="Arial" w:hAnsi="Arial" w:cs="Arial"/>
                <w:color w:val="000000" w:themeColor="text1"/>
                <w:sz w:val="21"/>
                <w:szCs w:val="21"/>
                <w:vertAlign w:val="superscript"/>
              </w:rPr>
              <w:t>7</w:t>
            </w:r>
          </w:p>
        </w:tc>
        <w:tc>
          <w:tcPr>
            <w:tcW w:w="552" w:type="dxa"/>
            <w:tcBorders>
              <w:top w:val="single" w:sz="4" w:space="0" w:color="000000"/>
              <w:left w:val="single" w:sz="4" w:space="0" w:color="000000"/>
              <w:bottom w:val="single" w:sz="4" w:space="0" w:color="000000"/>
            </w:tcBorders>
            <w:shd w:val="clear" w:color="auto" w:fill="auto"/>
          </w:tcPr>
          <w:p w14:paraId="4724CAF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498" w:type="dxa"/>
            <w:tcBorders>
              <w:top w:val="single" w:sz="4" w:space="0" w:color="000000"/>
              <w:left w:val="single" w:sz="4" w:space="0" w:color="000000"/>
              <w:bottom w:val="single" w:sz="4" w:space="0" w:color="000000"/>
            </w:tcBorders>
            <w:shd w:val="clear" w:color="auto" w:fill="auto"/>
          </w:tcPr>
          <w:p w14:paraId="698A8D50"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35C296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31DF1961"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46B8371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845" w:type="dxa"/>
            <w:tcBorders>
              <w:top w:val="single" w:sz="4" w:space="0" w:color="000000"/>
              <w:left w:val="single" w:sz="4" w:space="0" w:color="000000"/>
              <w:bottom w:val="single" w:sz="4" w:space="0" w:color="000000"/>
            </w:tcBorders>
            <w:shd w:val="clear" w:color="auto" w:fill="auto"/>
          </w:tcPr>
          <w:p w14:paraId="2425880F"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4"/>
                <w:id w:val="176245850"/>
              </w:sdtPr>
              <w:sdtEndPr/>
              <w:sdtContent>
                <w:r w:rsidR="009C0070" w:rsidRPr="00CA7C54">
                  <w:rPr>
                    <w:rFonts w:ascii="Arial" w:eastAsia="Arial Unicode MS" w:hAnsi="Arial" w:cs="Arial"/>
                    <w:color w:val="000000" w:themeColor="text1"/>
                    <w:sz w:val="21"/>
                    <w:szCs w:val="21"/>
                  </w:rPr>
                  <w:t>3,8∙10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4EE15BC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17000</w:t>
            </w:r>
          </w:p>
        </w:tc>
        <w:tc>
          <w:tcPr>
            <w:tcW w:w="795" w:type="dxa"/>
            <w:tcBorders>
              <w:top w:val="single" w:sz="4" w:space="0" w:color="000000"/>
              <w:left w:val="single" w:sz="4" w:space="0" w:color="000000"/>
              <w:bottom w:val="single" w:sz="4" w:space="0" w:color="000000"/>
            </w:tcBorders>
            <w:shd w:val="clear" w:color="auto" w:fill="auto"/>
          </w:tcPr>
          <w:p w14:paraId="3689A65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15000</w:t>
            </w:r>
          </w:p>
        </w:tc>
        <w:tc>
          <w:tcPr>
            <w:tcW w:w="641" w:type="dxa"/>
            <w:tcBorders>
              <w:top w:val="single" w:sz="4" w:space="0" w:color="000000"/>
              <w:left w:val="single" w:sz="4" w:space="0" w:color="000000"/>
              <w:bottom w:val="single" w:sz="4" w:space="0" w:color="000000"/>
            </w:tcBorders>
            <w:shd w:val="clear" w:color="auto" w:fill="auto"/>
          </w:tcPr>
          <w:p w14:paraId="59BF76C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w:t>
            </w:r>
          </w:p>
        </w:tc>
        <w:tc>
          <w:tcPr>
            <w:tcW w:w="845" w:type="dxa"/>
            <w:tcBorders>
              <w:top w:val="single" w:sz="4" w:space="0" w:color="000000"/>
              <w:left w:val="single" w:sz="4" w:space="0" w:color="000000"/>
              <w:bottom w:val="single" w:sz="4" w:space="0" w:color="000000"/>
            </w:tcBorders>
            <w:shd w:val="clear" w:color="auto" w:fill="auto"/>
          </w:tcPr>
          <w:p w14:paraId="213B9C76"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5"/>
                <w:id w:val="1725405646"/>
              </w:sdtPr>
              <w:sdtEndPr/>
              <w:sdtContent>
                <w:r w:rsidR="009C0070" w:rsidRPr="00CA7C54">
                  <w:rPr>
                    <w:rFonts w:ascii="Arial" w:eastAsia="Arial Unicode MS" w:hAnsi="Arial" w:cs="Arial"/>
                    <w:color w:val="000000" w:themeColor="text1"/>
                    <w:sz w:val="21"/>
                    <w:szCs w:val="21"/>
                  </w:rPr>
                  <w:t>2,1∙10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06EE264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4100</w:t>
            </w:r>
          </w:p>
        </w:tc>
        <w:tc>
          <w:tcPr>
            <w:tcW w:w="845" w:type="dxa"/>
            <w:tcBorders>
              <w:top w:val="single" w:sz="4" w:space="0" w:color="000000"/>
              <w:left w:val="single" w:sz="4" w:space="0" w:color="000000"/>
              <w:bottom w:val="single" w:sz="4" w:space="0" w:color="000000"/>
            </w:tcBorders>
            <w:shd w:val="clear" w:color="auto" w:fill="auto"/>
          </w:tcPr>
          <w:p w14:paraId="793E0E62"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6"/>
                <w:id w:val="-1030178192"/>
              </w:sdtPr>
              <w:sdtEndPr/>
              <w:sdtContent>
                <w:r w:rsidR="009C0070" w:rsidRPr="00CA7C54">
                  <w:rPr>
                    <w:rFonts w:ascii="Arial" w:eastAsia="Arial Unicode MS" w:hAnsi="Arial" w:cs="Arial"/>
                    <w:color w:val="000000" w:themeColor="text1"/>
                    <w:sz w:val="21"/>
                    <w:szCs w:val="21"/>
                  </w:rPr>
                  <w:t>4,5∙10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5CBABB1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37</w:t>
            </w:r>
          </w:p>
        </w:tc>
        <w:tc>
          <w:tcPr>
            <w:tcW w:w="773" w:type="dxa"/>
            <w:tcBorders>
              <w:top w:val="single" w:sz="4" w:space="0" w:color="000000"/>
              <w:left w:val="single" w:sz="4" w:space="0" w:color="000000"/>
              <w:bottom w:val="single" w:sz="4" w:space="0" w:color="000000"/>
            </w:tcBorders>
            <w:shd w:val="clear" w:color="auto" w:fill="auto"/>
          </w:tcPr>
          <w:p w14:paraId="02A83401"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7"/>
                <w:id w:val="-917548961"/>
              </w:sdtPr>
              <w:sdtEndPr/>
              <w:sdtContent>
                <w:r w:rsidR="009C0070" w:rsidRPr="00CA7C54">
                  <w:rPr>
                    <w:rFonts w:ascii="Arial" w:eastAsia="Arial Unicode MS" w:hAnsi="Arial" w:cs="Arial"/>
                    <w:color w:val="000000" w:themeColor="text1"/>
                    <w:sz w:val="21"/>
                    <w:szCs w:val="21"/>
                  </w:rPr>
                  <w:t>1,4∙10</w:t>
                </w:r>
              </w:sdtContent>
            </w:sdt>
            <w:r w:rsidR="009C0070" w:rsidRPr="00CA7C54">
              <w:rPr>
                <w:rFonts w:ascii="Arial" w:eastAsia="Arial" w:hAnsi="Arial" w:cs="Arial"/>
                <w:color w:val="000000" w:themeColor="text1"/>
                <w:sz w:val="21"/>
                <w:szCs w:val="21"/>
                <w:vertAlign w:val="superscript"/>
              </w:rPr>
              <w:t>8</w:t>
            </w:r>
          </w:p>
        </w:tc>
        <w:tc>
          <w:tcPr>
            <w:tcW w:w="552" w:type="dxa"/>
            <w:tcBorders>
              <w:top w:val="single" w:sz="4" w:space="0" w:color="000000"/>
              <w:left w:val="single" w:sz="4" w:space="0" w:color="000000"/>
              <w:bottom w:val="single" w:sz="4" w:space="0" w:color="000000"/>
            </w:tcBorders>
            <w:shd w:val="clear" w:color="auto" w:fill="auto"/>
          </w:tcPr>
          <w:p w14:paraId="09DFCB4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97</w:t>
            </w:r>
          </w:p>
        </w:tc>
        <w:tc>
          <w:tcPr>
            <w:tcW w:w="498" w:type="dxa"/>
            <w:tcBorders>
              <w:top w:val="single" w:sz="4" w:space="0" w:color="000000"/>
              <w:left w:val="single" w:sz="4" w:space="0" w:color="000000"/>
              <w:bottom w:val="single" w:sz="4" w:space="0" w:color="000000"/>
            </w:tcBorders>
            <w:shd w:val="clear" w:color="auto" w:fill="auto"/>
          </w:tcPr>
          <w:p w14:paraId="69853BA1"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374D771B"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42B1B718"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6DD7E8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135</w:t>
            </w:r>
          </w:p>
        </w:tc>
        <w:tc>
          <w:tcPr>
            <w:tcW w:w="845" w:type="dxa"/>
            <w:tcBorders>
              <w:top w:val="single" w:sz="4" w:space="0" w:color="000000"/>
              <w:left w:val="single" w:sz="4" w:space="0" w:color="000000"/>
              <w:bottom w:val="single" w:sz="4" w:space="0" w:color="000000"/>
            </w:tcBorders>
            <w:shd w:val="clear" w:color="auto" w:fill="auto"/>
          </w:tcPr>
          <w:p w14:paraId="0A4B9DD2"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8"/>
                <w:id w:val="-1309313132"/>
              </w:sdtPr>
              <w:sdtEndPr/>
              <w:sdtContent>
                <w:r w:rsidR="009C0070" w:rsidRPr="00CA7C54">
                  <w:rPr>
                    <w:rFonts w:ascii="Arial" w:eastAsia="Arial Unicode MS" w:hAnsi="Arial" w:cs="Arial"/>
                    <w:color w:val="000000" w:themeColor="text1"/>
                    <w:sz w:val="21"/>
                    <w:szCs w:val="21"/>
                  </w:rPr>
                  <w:t>6,4∙10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11F22B2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23000</w:t>
            </w:r>
          </w:p>
        </w:tc>
        <w:tc>
          <w:tcPr>
            <w:tcW w:w="795" w:type="dxa"/>
            <w:tcBorders>
              <w:top w:val="single" w:sz="4" w:space="0" w:color="000000"/>
              <w:left w:val="single" w:sz="4" w:space="0" w:color="000000"/>
              <w:bottom w:val="single" w:sz="4" w:space="0" w:color="000000"/>
            </w:tcBorders>
            <w:shd w:val="clear" w:color="auto" w:fill="auto"/>
          </w:tcPr>
          <w:p w14:paraId="126F256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22000</w:t>
            </w:r>
          </w:p>
        </w:tc>
        <w:tc>
          <w:tcPr>
            <w:tcW w:w="641" w:type="dxa"/>
            <w:tcBorders>
              <w:top w:val="single" w:sz="4" w:space="0" w:color="000000"/>
              <w:left w:val="single" w:sz="4" w:space="0" w:color="000000"/>
              <w:bottom w:val="single" w:sz="4" w:space="0" w:color="000000"/>
            </w:tcBorders>
            <w:shd w:val="clear" w:color="auto" w:fill="auto"/>
          </w:tcPr>
          <w:p w14:paraId="4CFBBCC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1400</w:t>
            </w:r>
          </w:p>
        </w:tc>
        <w:tc>
          <w:tcPr>
            <w:tcW w:w="845" w:type="dxa"/>
            <w:tcBorders>
              <w:top w:val="single" w:sz="4" w:space="0" w:color="000000"/>
              <w:left w:val="single" w:sz="4" w:space="0" w:color="000000"/>
              <w:bottom w:val="single" w:sz="4" w:space="0" w:color="000000"/>
            </w:tcBorders>
            <w:shd w:val="clear" w:color="auto" w:fill="auto"/>
          </w:tcPr>
          <w:p w14:paraId="70854979"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9"/>
                <w:id w:val="-891653230"/>
              </w:sdtPr>
              <w:sdtEndPr/>
              <w:sdtContent>
                <w:r w:rsidR="009C0070" w:rsidRPr="00CA7C54">
                  <w:rPr>
                    <w:rFonts w:ascii="Arial" w:eastAsia="Arial Unicode MS" w:hAnsi="Arial" w:cs="Arial"/>
                    <w:color w:val="000000" w:themeColor="text1"/>
                    <w:sz w:val="21"/>
                    <w:szCs w:val="21"/>
                  </w:rPr>
                  <w:t>3,4∙10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44608F7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5400</w:t>
            </w:r>
          </w:p>
        </w:tc>
        <w:tc>
          <w:tcPr>
            <w:tcW w:w="845" w:type="dxa"/>
            <w:tcBorders>
              <w:top w:val="single" w:sz="4" w:space="0" w:color="000000"/>
              <w:left w:val="single" w:sz="4" w:space="0" w:color="000000"/>
              <w:bottom w:val="single" w:sz="4" w:space="0" w:color="000000"/>
            </w:tcBorders>
            <w:shd w:val="clear" w:color="auto" w:fill="auto"/>
          </w:tcPr>
          <w:p w14:paraId="476D4A82"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0"/>
                <w:id w:val="-2041513856"/>
              </w:sdtPr>
              <w:sdtEndPr/>
              <w:sdtContent>
                <w:r w:rsidR="009C0070" w:rsidRPr="00CA7C54">
                  <w:rPr>
                    <w:rFonts w:ascii="Arial" w:eastAsia="Arial Unicode MS" w:hAnsi="Arial" w:cs="Arial"/>
                    <w:color w:val="000000" w:themeColor="text1"/>
                    <w:sz w:val="21"/>
                    <w:szCs w:val="21"/>
                  </w:rPr>
                  <w:t>7,4∙10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46D03B7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42</w:t>
            </w:r>
          </w:p>
        </w:tc>
        <w:tc>
          <w:tcPr>
            <w:tcW w:w="773" w:type="dxa"/>
            <w:tcBorders>
              <w:top w:val="single" w:sz="4" w:space="0" w:color="000000"/>
              <w:left w:val="single" w:sz="4" w:space="0" w:color="000000"/>
              <w:bottom w:val="single" w:sz="4" w:space="0" w:color="000000"/>
            </w:tcBorders>
            <w:shd w:val="clear" w:color="auto" w:fill="auto"/>
          </w:tcPr>
          <w:p w14:paraId="3D86F138"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1"/>
                <w:id w:val="-1065029416"/>
              </w:sdtPr>
              <w:sdtEndPr/>
              <w:sdtContent>
                <w:r w:rsidR="009C0070" w:rsidRPr="00CA7C54">
                  <w:rPr>
                    <w:rFonts w:ascii="Arial" w:eastAsia="Arial Unicode MS" w:hAnsi="Arial" w:cs="Arial"/>
                    <w:color w:val="000000" w:themeColor="text1"/>
                    <w:sz w:val="21"/>
                    <w:szCs w:val="21"/>
                  </w:rPr>
                  <w:t>2,7∙10</w:t>
                </w:r>
              </w:sdtContent>
            </w:sdt>
            <w:r w:rsidR="009C0070" w:rsidRPr="00CA7C54">
              <w:rPr>
                <w:rFonts w:ascii="Arial" w:eastAsia="Arial" w:hAnsi="Arial" w:cs="Arial"/>
                <w:color w:val="000000" w:themeColor="text1"/>
                <w:sz w:val="21"/>
                <w:szCs w:val="21"/>
                <w:vertAlign w:val="superscript"/>
              </w:rPr>
              <w:t>8</w:t>
            </w:r>
          </w:p>
        </w:tc>
        <w:tc>
          <w:tcPr>
            <w:tcW w:w="552" w:type="dxa"/>
            <w:tcBorders>
              <w:top w:val="single" w:sz="4" w:space="0" w:color="000000"/>
              <w:left w:val="single" w:sz="4" w:space="0" w:color="000000"/>
              <w:bottom w:val="single" w:sz="4" w:space="0" w:color="000000"/>
            </w:tcBorders>
            <w:shd w:val="clear" w:color="auto" w:fill="auto"/>
          </w:tcPr>
          <w:p w14:paraId="7CE0BDC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w:t>
            </w:r>
          </w:p>
        </w:tc>
        <w:tc>
          <w:tcPr>
            <w:tcW w:w="498" w:type="dxa"/>
            <w:tcBorders>
              <w:top w:val="single" w:sz="4" w:space="0" w:color="000000"/>
              <w:left w:val="single" w:sz="4" w:space="0" w:color="000000"/>
              <w:bottom w:val="single" w:sz="4" w:space="0" w:color="000000"/>
            </w:tcBorders>
            <w:shd w:val="clear" w:color="auto" w:fill="auto"/>
          </w:tcPr>
          <w:p w14:paraId="54DD12E5"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02ABD6C"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44C36BE9"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6C9EBE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140</w:t>
            </w:r>
          </w:p>
        </w:tc>
        <w:tc>
          <w:tcPr>
            <w:tcW w:w="845" w:type="dxa"/>
            <w:tcBorders>
              <w:top w:val="single" w:sz="4" w:space="0" w:color="000000"/>
              <w:left w:val="single" w:sz="4" w:space="0" w:color="000000"/>
              <w:bottom w:val="single" w:sz="4" w:space="0" w:color="000000"/>
            </w:tcBorders>
            <w:shd w:val="clear" w:color="auto" w:fill="auto"/>
          </w:tcPr>
          <w:p w14:paraId="7B6C1B77"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2"/>
                <w:id w:val="-169033837"/>
              </w:sdtPr>
              <w:sdtEndPr/>
              <w:sdtContent>
                <w:r w:rsidR="009C0070" w:rsidRPr="00CA7C54">
                  <w:rPr>
                    <w:rFonts w:ascii="Arial" w:eastAsia="Arial Unicode MS" w:hAnsi="Arial" w:cs="Arial"/>
                    <w:color w:val="000000" w:themeColor="text1"/>
                    <w:sz w:val="21"/>
                    <w:szCs w:val="21"/>
                  </w:rPr>
                  <w:t>11∙10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7D668B8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32000</w:t>
            </w:r>
          </w:p>
        </w:tc>
        <w:tc>
          <w:tcPr>
            <w:tcW w:w="795" w:type="dxa"/>
            <w:tcBorders>
              <w:top w:val="single" w:sz="4" w:space="0" w:color="000000"/>
              <w:left w:val="single" w:sz="4" w:space="0" w:color="000000"/>
              <w:bottom w:val="single" w:sz="4" w:space="0" w:color="000000"/>
            </w:tcBorders>
            <w:shd w:val="clear" w:color="auto" w:fill="auto"/>
          </w:tcPr>
          <w:p w14:paraId="6204B30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31000</w:t>
            </w:r>
          </w:p>
        </w:tc>
        <w:tc>
          <w:tcPr>
            <w:tcW w:w="641" w:type="dxa"/>
            <w:tcBorders>
              <w:top w:val="single" w:sz="4" w:space="0" w:color="000000"/>
              <w:left w:val="single" w:sz="4" w:space="0" w:color="000000"/>
              <w:bottom w:val="single" w:sz="4" w:space="0" w:color="000000"/>
            </w:tcBorders>
            <w:shd w:val="clear" w:color="auto" w:fill="auto"/>
          </w:tcPr>
          <w:p w14:paraId="6954274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1800</w:t>
            </w:r>
          </w:p>
        </w:tc>
        <w:tc>
          <w:tcPr>
            <w:tcW w:w="845" w:type="dxa"/>
            <w:tcBorders>
              <w:top w:val="single" w:sz="4" w:space="0" w:color="000000"/>
              <w:left w:val="single" w:sz="4" w:space="0" w:color="000000"/>
              <w:bottom w:val="single" w:sz="4" w:space="0" w:color="000000"/>
            </w:tcBorders>
            <w:shd w:val="clear" w:color="auto" w:fill="auto"/>
          </w:tcPr>
          <w:p w14:paraId="5C737036"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3"/>
                <w:id w:val="-1069334276"/>
              </w:sdtPr>
              <w:sdtEndPr/>
              <w:sdtContent>
                <w:r w:rsidR="009C0070" w:rsidRPr="00CA7C54">
                  <w:rPr>
                    <w:rFonts w:ascii="Arial" w:eastAsia="Arial Unicode MS" w:hAnsi="Arial" w:cs="Arial"/>
                    <w:color w:val="000000" w:themeColor="text1"/>
                    <w:sz w:val="21"/>
                    <w:szCs w:val="21"/>
                  </w:rPr>
                  <w:t>5,4∙10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53A4A1E8"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7100</w:t>
            </w:r>
          </w:p>
        </w:tc>
        <w:tc>
          <w:tcPr>
            <w:tcW w:w="845" w:type="dxa"/>
            <w:tcBorders>
              <w:top w:val="single" w:sz="4" w:space="0" w:color="000000"/>
              <w:left w:val="single" w:sz="4" w:space="0" w:color="000000"/>
              <w:bottom w:val="single" w:sz="4" w:space="0" w:color="000000"/>
            </w:tcBorders>
            <w:shd w:val="clear" w:color="auto" w:fill="auto"/>
          </w:tcPr>
          <w:p w14:paraId="6DE41666"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4"/>
                <w:id w:val="1597825932"/>
              </w:sdtPr>
              <w:sdtEndPr/>
              <w:sdtContent>
                <w:r w:rsidR="009C0070" w:rsidRPr="00CA7C54">
                  <w:rPr>
                    <w:rFonts w:ascii="Arial" w:eastAsia="Arial Unicode MS" w:hAnsi="Arial" w:cs="Arial"/>
                    <w:color w:val="000000" w:themeColor="text1"/>
                    <w:sz w:val="21"/>
                    <w:szCs w:val="21"/>
                  </w:rPr>
                  <w:t>1,2∙10</w:t>
                </w:r>
              </w:sdtContent>
            </w:sdt>
            <w:r w:rsidR="009C0070" w:rsidRPr="00CA7C54">
              <w:rPr>
                <w:rFonts w:ascii="Arial" w:eastAsia="Arial" w:hAnsi="Arial" w:cs="Arial"/>
                <w:color w:val="000000" w:themeColor="text1"/>
                <w:sz w:val="21"/>
                <w:szCs w:val="21"/>
                <w:vertAlign w:val="superscript"/>
              </w:rPr>
              <w:t>7</w:t>
            </w:r>
          </w:p>
        </w:tc>
        <w:tc>
          <w:tcPr>
            <w:tcW w:w="723" w:type="dxa"/>
            <w:tcBorders>
              <w:top w:val="single" w:sz="4" w:space="0" w:color="000000"/>
              <w:left w:val="single" w:sz="4" w:space="0" w:color="000000"/>
              <w:bottom w:val="single" w:sz="4" w:space="0" w:color="000000"/>
            </w:tcBorders>
            <w:shd w:val="clear" w:color="auto" w:fill="auto"/>
          </w:tcPr>
          <w:p w14:paraId="623C2E1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48</w:t>
            </w:r>
          </w:p>
        </w:tc>
        <w:tc>
          <w:tcPr>
            <w:tcW w:w="773" w:type="dxa"/>
            <w:tcBorders>
              <w:top w:val="single" w:sz="4" w:space="0" w:color="000000"/>
              <w:left w:val="single" w:sz="4" w:space="0" w:color="000000"/>
              <w:bottom w:val="single" w:sz="4" w:space="0" w:color="000000"/>
            </w:tcBorders>
            <w:shd w:val="clear" w:color="auto" w:fill="auto"/>
          </w:tcPr>
          <w:p w14:paraId="39C0AC2D"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5"/>
                <w:id w:val="-711266323"/>
              </w:sdtPr>
              <w:sdtEndPr/>
              <w:sdtContent>
                <w:r w:rsidR="009C0070" w:rsidRPr="00CA7C54">
                  <w:rPr>
                    <w:rFonts w:ascii="Arial" w:eastAsia="Arial Unicode MS" w:hAnsi="Arial" w:cs="Arial"/>
                    <w:color w:val="000000" w:themeColor="text1"/>
                    <w:sz w:val="21"/>
                    <w:szCs w:val="21"/>
                  </w:rPr>
                  <w:t>5,1∙10</w:t>
                </w:r>
              </w:sdtContent>
            </w:sdt>
            <w:r w:rsidR="009C0070" w:rsidRPr="00CA7C54">
              <w:rPr>
                <w:rFonts w:ascii="Arial" w:eastAsia="Arial" w:hAnsi="Arial" w:cs="Arial"/>
                <w:color w:val="000000" w:themeColor="text1"/>
                <w:sz w:val="21"/>
                <w:szCs w:val="21"/>
                <w:vertAlign w:val="superscript"/>
              </w:rPr>
              <w:t>8</w:t>
            </w:r>
          </w:p>
        </w:tc>
        <w:tc>
          <w:tcPr>
            <w:tcW w:w="552" w:type="dxa"/>
            <w:tcBorders>
              <w:top w:val="single" w:sz="4" w:space="0" w:color="000000"/>
              <w:left w:val="single" w:sz="4" w:space="0" w:color="000000"/>
              <w:bottom w:val="single" w:sz="4" w:space="0" w:color="000000"/>
            </w:tcBorders>
            <w:shd w:val="clear" w:color="auto" w:fill="auto"/>
          </w:tcPr>
          <w:p w14:paraId="2F9A1E4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498" w:type="dxa"/>
            <w:tcBorders>
              <w:top w:val="single" w:sz="4" w:space="0" w:color="000000"/>
              <w:left w:val="single" w:sz="4" w:space="0" w:color="000000"/>
              <w:bottom w:val="single" w:sz="4" w:space="0" w:color="000000"/>
            </w:tcBorders>
            <w:shd w:val="clear" w:color="auto" w:fill="auto"/>
          </w:tcPr>
          <w:p w14:paraId="468955A6"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DA7ADC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66FEA207"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180FACB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145</w:t>
            </w:r>
          </w:p>
        </w:tc>
        <w:tc>
          <w:tcPr>
            <w:tcW w:w="845" w:type="dxa"/>
            <w:tcBorders>
              <w:top w:val="single" w:sz="4" w:space="0" w:color="000000"/>
              <w:left w:val="single" w:sz="4" w:space="0" w:color="000000"/>
              <w:bottom w:val="single" w:sz="4" w:space="0" w:color="000000"/>
            </w:tcBorders>
            <w:shd w:val="clear" w:color="auto" w:fill="auto"/>
          </w:tcPr>
          <w:p w14:paraId="2C612DD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6"/>
                <w:id w:val="-897595820"/>
              </w:sdtPr>
              <w:sdtEndPr/>
              <w:sdtContent>
                <w:r w:rsidR="009C0070" w:rsidRPr="00CA7C54">
                  <w:rPr>
                    <w:rFonts w:ascii="Arial" w:eastAsia="Arial Unicode MS" w:hAnsi="Arial" w:cs="Arial"/>
                    <w:color w:val="000000" w:themeColor="text1"/>
                    <w:sz w:val="21"/>
                    <w:szCs w:val="21"/>
                  </w:rPr>
                  <w:t>19∙10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272755C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45000</w:t>
            </w:r>
          </w:p>
        </w:tc>
        <w:tc>
          <w:tcPr>
            <w:tcW w:w="795" w:type="dxa"/>
            <w:tcBorders>
              <w:top w:val="single" w:sz="4" w:space="0" w:color="000000"/>
              <w:left w:val="single" w:sz="4" w:space="0" w:color="000000"/>
              <w:bottom w:val="single" w:sz="4" w:space="0" w:color="000000"/>
            </w:tcBorders>
            <w:shd w:val="clear" w:color="auto" w:fill="auto"/>
          </w:tcPr>
          <w:p w14:paraId="2B12D5F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44000</w:t>
            </w:r>
          </w:p>
        </w:tc>
        <w:tc>
          <w:tcPr>
            <w:tcW w:w="641" w:type="dxa"/>
            <w:tcBorders>
              <w:top w:val="single" w:sz="4" w:space="0" w:color="000000"/>
              <w:left w:val="single" w:sz="4" w:space="0" w:color="000000"/>
              <w:bottom w:val="single" w:sz="4" w:space="0" w:color="000000"/>
            </w:tcBorders>
            <w:shd w:val="clear" w:color="auto" w:fill="auto"/>
          </w:tcPr>
          <w:p w14:paraId="0CA7255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2300</w:t>
            </w:r>
          </w:p>
        </w:tc>
        <w:tc>
          <w:tcPr>
            <w:tcW w:w="845" w:type="dxa"/>
            <w:tcBorders>
              <w:top w:val="single" w:sz="4" w:space="0" w:color="000000"/>
              <w:left w:val="single" w:sz="4" w:space="0" w:color="000000"/>
              <w:bottom w:val="single" w:sz="4" w:space="0" w:color="000000"/>
            </w:tcBorders>
            <w:shd w:val="clear" w:color="auto" w:fill="auto"/>
          </w:tcPr>
          <w:p w14:paraId="034F844C"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7"/>
                <w:id w:val="-395596610"/>
              </w:sdtPr>
              <w:sdtEndPr/>
              <w:sdtContent>
                <w:r w:rsidR="009C0070" w:rsidRPr="00CA7C54">
                  <w:rPr>
                    <w:rFonts w:ascii="Arial" w:eastAsia="Arial Unicode MS" w:hAnsi="Arial" w:cs="Arial"/>
                    <w:color w:val="000000" w:themeColor="text1"/>
                    <w:sz w:val="21"/>
                    <w:szCs w:val="21"/>
                  </w:rPr>
                  <w:t>8,7∙10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1C93125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9400</w:t>
            </w:r>
          </w:p>
        </w:tc>
        <w:tc>
          <w:tcPr>
            <w:tcW w:w="845" w:type="dxa"/>
            <w:tcBorders>
              <w:top w:val="single" w:sz="4" w:space="0" w:color="000000"/>
              <w:left w:val="single" w:sz="4" w:space="0" w:color="000000"/>
              <w:bottom w:val="single" w:sz="4" w:space="0" w:color="000000"/>
            </w:tcBorders>
            <w:shd w:val="clear" w:color="auto" w:fill="auto"/>
          </w:tcPr>
          <w:p w14:paraId="5133F01F"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8"/>
                <w:id w:val="1676838145"/>
              </w:sdtPr>
              <w:sdtEndPr/>
              <w:sdtContent>
                <w:r w:rsidR="009C0070" w:rsidRPr="00CA7C54">
                  <w:rPr>
                    <w:rFonts w:ascii="Arial" w:eastAsia="Arial Unicode MS" w:hAnsi="Arial" w:cs="Arial"/>
                    <w:color w:val="000000" w:themeColor="text1"/>
                    <w:sz w:val="21"/>
                    <w:szCs w:val="21"/>
                  </w:rPr>
                  <w:t>2,0∙10</w:t>
                </w:r>
              </w:sdtContent>
            </w:sdt>
            <w:r w:rsidR="009C0070" w:rsidRPr="00CA7C54">
              <w:rPr>
                <w:rFonts w:ascii="Arial" w:eastAsia="Arial" w:hAnsi="Arial" w:cs="Arial"/>
                <w:color w:val="000000" w:themeColor="text1"/>
                <w:sz w:val="21"/>
                <w:szCs w:val="21"/>
                <w:vertAlign w:val="superscript"/>
              </w:rPr>
              <w:t>7</w:t>
            </w:r>
          </w:p>
        </w:tc>
        <w:tc>
          <w:tcPr>
            <w:tcW w:w="723" w:type="dxa"/>
            <w:tcBorders>
              <w:top w:val="single" w:sz="4" w:space="0" w:color="000000"/>
              <w:left w:val="single" w:sz="4" w:space="0" w:color="000000"/>
              <w:bottom w:val="single" w:sz="4" w:space="0" w:color="000000"/>
            </w:tcBorders>
            <w:shd w:val="clear" w:color="auto" w:fill="auto"/>
          </w:tcPr>
          <w:p w14:paraId="508FB58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w:t>
            </w:r>
          </w:p>
        </w:tc>
        <w:tc>
          <w:tcPr>
            <w:tcW w:w="773" w:type="dxa"/>
            <w:tcBorders>
              <w:top w:val="single" w:sz="4" w:space="0" w:color="000000"/>
              <w:left w:val="single" w:sz="4" w:space="0" w:color="000000"/>
              <w:bottom w:val="single" w:sz="4" w:space="0" w:color="000000"/>
            </w:tcBorders>
            <w:shd w:val="clear" w:color="auto" w:fill="auto"/>
          </w:tcPr>
          <w:p w14:paraId="34347EFF"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9"/>
                <w:id w:val="-420406757"/>
              </w:sdtPr>
              <w:sdtEndPr/>
              <w:sdtContent>
                <w:r w:rsidR="009C0070" w:rsidRPr="00CA7C54">
                  <w:rPr>
                    <w:rFonts w:ascii="Arial" w:eastAsia="Arial Unicode MS" w:hAnsi="Arial" w:cs="Arial"/>
                    <w:color w:val="000000" w:themeColor="text1"/>
                    <w:sz w:val="21"/>
                    <w:szCs w:val="21"/>
                  </w:rPr>
                  <w:t>9,6∙10</w:t>
                </w:r>
              </w:sdtContent>
            </w:sdt>
            <w:r w:rsidR="009C0070" w:rsidRPr="00CA7C54">
              <w:rPr>
                <w:rFonts w:ascii="Arial" w:eastAsia="Arial" w:hAnsi="Arial" w:cs="Arial"/>
                <w:color w:val="000000" w:themeColor="text1"/>
                <w:sz w:val="21"/>
                <w:szCs w:val="21"/>
                <w:vertAlign w:val="superscript"/>
              </w:rPr>
              <w:t>8</w:t>
            </w:r>
          </w:p>
        </w:tc>
        <w:tc>
          <w:tcPr>
            <w:tcW w:w="552" w:type="dxa"/>
            <w:tcBorders>
              <w:top w:val="single" w:sz="4" w:space="0" w:color="000000"/>
              <w:left w:val="single" w:sz="4" w:space="0" w:color="000000"/>
              <w:bottom w:val="single" w:sz="4" w:space="0" w:color="000000"/>
            </w:tcBorders>
            <w:shd w:val="clear" w:color="auto" w:fill="auto"/>
          </w:tcPr>
          <w:p w14:paraId="5CF8CCE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160</w:t>
            </w:r>
          </w:p>
        </w:tc>
        <w:tc>
          <w:tcPr>
            <w:tcW w:w="498" w:type="dxa"/>
            <w:tcBorders>
              <w:top w:val="single" w:sz="4" w:space="0" w:color="000000"/>
              <w:left w:val="single" w:sz="4" w:space="0" w:color="000000"/>
              <w:bottom w:val="single" w:sz="4" w:space="0" w:color="000000"/>
            </w:tcBorders>
            <w:shd w:val="clear" w:color="auto" w:fill="auto"/>
          </w:tcPr>
          <w:p w14:paraId="4FD8E88C"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F5E12A8"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0BA2A141"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19ACF1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w:t>
            </w:r>
          </w:p>
        </w:tc>
        <w:tc>
          <w:tcPr>
            <w:tcW w:w="845" w:type="dxa"/>
            <w:tcBorders>
              <w:top w:val="single" w:sz="4" w:space="0" w:color="000000"/>
              <w:left w:val="single" w:sz="4" w:space="0" w:color="000000"/>
              <w:bottom w:val="single" w:sz="4" w:space="0" w:color="000000"/>
            </w:tcBorders>
            <w:shd w:val="clear" w:color="auto" w:fill="auto"/>
          </w:tcPr>
          <w:p w14:paraId="3B06A7ED"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0"/>
                <w:id w:val="-1025162443"/>
              </w:sdtPr>
              <w:sdtEndPr/>
              <w:sdtContent>
                <w:r w:rsidR="009C0070" w:rsidRPr="00CA7C54">
                  <w:rPr>
                    <w:rFonts w:ascii="Arial" w:eastAsia="Arial Unicode MS" w:hAnsi="Arial" w:cs="Arial"/>
                    <w:color w:val="000000" w:themeColor="text1"/>
                    <w:sz w:val="21"/>
                    <w:szCs w:val="21"/>
                  </w:rPr>
                  <w:t>32∙10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0965066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64000</w:t>
            </w:r>
          </w:p>
        </w:tc>
        <w:tc>
          <w:tcPr>
            <w:tcW w:w="795" w:type="dxa"/>
            <w:tcBorders>
              <w:top w:val="single" w:sz="4" w:space="0" w:color="000000"/>
              <w:left w:val="single" w:sz="4" w:space="0" w:color="000000"/>
              <w:bottom w:val="single" w:sz="4" w:space="0" w:color="000000"/>
            </w:tcBorders>
            <w:shd w:val="clear" w:color="auto" w:fill="auto"/>
          </w:tcPr>
          <w:p w14:paraId="03B2F54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62000</w:t>
            </w:r>
          </w:p>
        </w:tc>
        <w:tc>
          <w:tcPr>
            <w:tcW w:w="641" w:type="dxa"/>
            <w:tcBorders>
              <w:top w:val="single" w:sz="4" w:space="0" w:color="000000"/>
              <w:left w:val="single" w:sz="4" w:space="0" w:color="000000"/>
              <w:bottom w:val="single" w:sz="4" w:space="0" w:color="000000"/>
            </w:tcBorders>
            <w:shd w:val="clear" w:color="auto" w:fill="auto"/>
          </w:tcPr>
          <w:p w14:paraId="0377B108"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3000</w:t>
            </w:r>
          </w:p>
        </w:tc>
        <w:tc>
          <w:tcPr>
            <w:tcW w:w="845" w:type="dxa"/>
            <w:tcBorders>
              <w:top w:val="single" w:sz="4" w:space="0" w:color="000000"/>
              <w:left w:val="single" w:sz="4" w:space="0" w:color="000000"/>
              <w:bottom w:val="single" w:sz="4" w:space="0" w:color="000000"/>
            </w:tcBorders>
            <w:shd w:val="clear" w:color="auto" w:fill="auto"/>
          </w:tcPr>
          <w:p w14:paraId="21CF4165"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1"/>
                <w:id w:val="-1954925396"/>
              </w:sdtPr>
              <w:sdtEndPr/>
              <w:sdtContent>
                <w:r w:rsidR="009C0070" w:rsidRPr="00CA7C54">
                  <w:rPr>
                    <w:rFonts w:ascii="Arial" w:eastAsia="Arial Unicode MS" w:hAnsi="Arial" w:cs="Arial"/>
                    <w:color w:val="000000" w:themeColor="text1"/>
                    <w:sz w:val="21"/>
                    <w:szCs w:val="21"/>
                  </w:rPr>
                  <w:t>14∙10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270C901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12000</w:t>
            </w:r>
          </w:p>
        </w:tc>
        <w:tc>
          <w:tcPr>
            <w:tcW w:w="845" w:type="dxa"/>
            <w:tcBorders>
              <w:top w:val="single" w:sz="4" w:space="0" w:color="000000"/>
              <w:left w:val="single" w:sz="4" w:space="0" w:color="000000"/>
              <w:bottom w:val="single" w:sz="4" w:space="0" w:color="000000"/>
            </w:tcBorders>
            <w:shd w:val="clear" w:color="auto" w:fill="auto"/>
          </w:tcPr>
          <w:p w14:paraId="28009860"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2"/>
                <w:id w:val="-127008581"/>
              </w:sdtPr>
              <w:sdtEndPr/>
              <w:sdtContent>
                <w:r w:rsidR="009C0070" w:rsidRPr="00CA7C54">
                  <w:rPr>
                    <w:rFonts w:ascii="Arial" w:eastAsia="Arial Unicode MS" w:hAnsi="Arial" w:cs="Arial"/>
                    <w:color w:val="000000" w:themeColor="text1"/>
                    <w:sz w:val="21"/>
                    <w:szCs w:val="21"/>
                  </w:rPr>
                  <w:t>3,3∙10</w:t>
                </w:r>
              </w:sdtContent>
            </w:sdt>
            <w:r w:rsidR="009C0070" w:rsidRPr="00CA7C54">
              <w:rPr>
                <w:rFonts w:ascii="Arial" w:eastAsia="Arial" w:hAnsi="Arial" w:cs="Arial"/>
                <w:color w:val="000000" w:themeColor="text1"/>
                <w:sz w:val="21"/>
                <w:szCs w:val="21"/>
                <w:vertAlign w:val="superscript"/>
              </w:rPr>
              <w:t>7</w:t>
            </w:r>
          </w:p>
        </w:tc>
        <w:tc>
          <w:tcPr>
            <w:tcW w:w="723" w:type="dxa"/>
            <w:tcBorders>
              <w:top w:val="single" w:sz="4" w:space="0" w:color="000000"/>
              <w:left w:val="single" w:sz="4" w:space="0" w:color="000000"/>
              <w:bottom w:val="single" w:sz="4" w:space="0" w:color="000000"/>
            </w:tcBorders>
            <w:shd w:val="clear" w:color="auto" w:fill="auto"/>
          </w:tcPr>
          <w:p w14:paraId="39E2626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62</w:t>
            </w:r>
          </w:p>
        </w:tc>
        <w:tc>
          <w:tcPr>
            <w:tcW w:w="773" w:type="dxa"/>
            <w:tcBorders>
              <w:top w:val="single" w:sz="4" w:space="0" w:color="000000"/>
              <w:left w:val="single" w:sz="4" w:space="0" w:color="000000"/>
              <w:bottom w:val="single" w:sz="4" w:space="0" w:color="000000"/>
            </w:tcBorders>
            <w:shd w:val="clear" w:color="auto" w:fill="auto"/>
          </w:tcPr>
          <w:p w14:paraId="3CE701B5"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3"/>
                <w:id w:val="1194347588"/>
              </w:sdtPr>
              <w:sdtEndPr/>
              <w:sdtContent>
                <w:r w:rsidR="009C0070" w:rsidRPr="00CA7C54">
                  <w:rPr>
                    <w:rFonts w:ascii="Arial" w:eastAsia="Arial Unicode MS" w:hAnsi="Arial" w:cs="Arial"/>
                    <w:color w:val="000000" w:themeColor="text1"/>
                    <w:sz w:val="21"/>
                    <w:szCs w:val="21"/>
                  </w:rPr>
                  <w:t>1,8∙10</w:t>
                </w:r>
              </w:sdtContent>
            </w:sdt>
            <w:r w:rsidR="009C0070" w:rsidRPr="00CA7C54">
              <w:rPr>
                <w:rFonts w:ascii="Arial" w:eastAsia="Arial" w:hAnsi="Arial" w:cs="Arial"/>
                <w:color w:val="000000" w:themeColor="text1"/>
                <w:sz w:val="21"/>
                <w:szCs w:val="21"/>
                <w:vertAlign w:val="superscript"/>
              </w:rPr>
              <w:t>9</w:t>
            </w:r>
          </w:p>
        </w:tc>
        <w:tc>
          <w:tcPr>
            <w:tcW w:w="552" w:type="dxa"/>
            <w:tcBorders>
              <w:top w:val="single" w:sz="4" w:space="0" w:color="000000"/>
              <w:left w:val="single" w:sz="4" w:space="0" w:color="000000"/>
              <w:bottom w:val="single" w:sz="4" w:space="0" w:color="000000"/>
            </w:tcBorders>
            <w:shd w:val="clear" w:color="auto" w:fill="auto"/>
          </w:tcPr>
          <w:p w14:paraId="05395E3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w:t>
            </w:r>
          </w:p>
        </w:tc>
        <w:tc>
          <w:tcPr>
            <w:tcW w:w="498" w:type="dxa"/>
            <w:tcBorders>
              <w:top w:val="single" w:sz="4" w:space="0" w:color="000000"/>
              <w:left w:val="single" w:sz="4" w:space="0" w:color="000000"/>
              <w:bottom w:val="single" w:sz="4" w:space="0" w:color="000000"/>
            </w:tcBorders>
            <w:shd w:val="clear" w:color="auto" w:fill="auto"/>
          </w:tcPr>
          <w:p w14:paraId="04E109B4"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83DF311"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bl>
    <w:p w14:paraId="7910F86D" w14:textId="77777777" w:rsidR="00144AEF" w:rsidRPr="00CA7C54" w:rsidRDefault="00144AEF" w:rsidP="00016B6D">
      <w:pPr>
        <w:widowControl w:val="0"/>
        <w:pBdr>
          <w:top w:val="nil"/>
          <w:left w:val="nil"/>
          <w:bottom w:val="nil"/>
          <w:right w:val="nil"/>
          <w:between w:val="nil"/>
        </w:pBdr>
        <w:spacing w:before="0" w:line="257" w:lineRule="auto"/>
        <w:contextualSpacing/>
        <w:rPr>
          <w:b/>
          <w:color w:val="000000" w:themeColor="text1"/>
          <w:sz w:val="21"/>
          <w:szCs w:val="21"/>
        </w:rPr>
      </w:pPr>
    </w:p>
    <w:p w14:paraId="1B17682F" w14:textId="77777777" w:rsidR="00A94F64" w:rsidRPr="00CA7C54" w:rsidRDefault="00A94F64" w:rsidP="00016B6D">
      <w:pPr>
        <w:widowControl w:val="0"/>
        <w:pBdr>
          <w:top w:val="nil"/>
          <w:left w:val="nil"/>
          <w:bottom w:val="nil"/>
          <w:right w:val="nil"/>
          <w:between w:val="nil"/>
        </w:pBdr>
        <w:spacing w:before="0" w:line="257" w:lineRule="auto"/>
        <w:contextualSpacing/>
        <w:rPr>
          <w:b/>
          <w:color w:val="000000" w:themeColor="text1"/>
          <w:sz w:val="21"/>
          <w:szCs w:val="21"/>
        </w:rPr>
      </w:pPr>
    </w:p>
    <w:p w14:paraId="6C048CD7" w14:textId="77777777" w:rsidR="003C4E04" w:rsidRPr="00CA7C54" w:rsidRDefault="001E748C" w:rsidP="00016B6D">
      <w:pPr>
        <w:widowControl w:val="0"/>
        <w:pBdr>
          <w:top w:val="nil"/>
          <w:left w:val="nil"/>
          <w:bottom w:val="nil"/>
          <w:right w:val="nil"/>
          <w:between w:val="nil"/>
        </w:pBdr>
        <w:spacing w:before="0" w:line="257" w:lineRule="auto"/>
        <w:contextualSpacing/>
        <w:rPr>
          <w:b/>
          <w:color w:val="000000" w:themeColor="text1"/>
          <w:sz w:val="21"/>
          <w:szCs w:val="21"/>
        </w:rPr>
      </w:pPr>
      <w:r w:rsidRPr="00CA7C54">
        <w:rPr>
          <w:b/>
          <w:color w:val="000000" w:themeColor="text1"/>
          <w:sz w:val="21"/>
          <w:szCs w:val="21"/>
        </w:rPr>
        <w:t>Таблиця Г.2</w:t>
      </w:r>
    </w:p>
    <w:p w14:paraId="059C1609" w14:textId="77777777" w:rsidR="00253831" w:rsidRPr="00CA7C54" w:rsidRDefault="00253831" w:rsidP="00016B6D">
      <w:pPr>
        <w:widowControl w:val="0"/>
        <w:pBdr>
          <w:top w:val="nil"/>
          <w:left w:val="nil"/>
          <w:bottom w:val="nil"/>
          <w:right w:val="nil"/>
          <w:between w:val="nil"/>
        </w:pBdr>
        <w:spacing w:before="0" w:line="257" w:lineRule="auto"/>
        <w:contextualSpacing/>
        <w:rPr>
          <w:b/>
          <w:color w:val="000000" w:themeColor="text1"/>
          <w:sz w:val="21"/>
          <w:szCs w:val="21"/>
        </w:rPr>
      </w:pPr>
    </w:p>
    <w:tbl>
      <w:tblPr>
        <w:tblStyle w:val="afffffffffffffffffffffffffffffffff"/>
        <w:tblW w:w="10025" w:type="dxa"/>
        <w:tblLayout w:type="fixed"/>
        <w:tblLook w:val="0000" w:firstRow="0" w:lastRow="0" w:firstColumn="0" w:lastColumn="0" w:noHBand="0" w:noVBand="0"/>
      </w:tblPr>
      <w:tblGrid>
        <w:gridCol w:w="2670"/>
        <w:gridCol w:w="3406"/>
        <w:gridCol w:w="1904"/>
        <w:gridCol w:w="2045"/>
      </w:tblGrid>
      <w:tr w:rsidR="00CA7C54" w:rsidRPr="00CA7C54" w14:paraId="2945FD54" w14:textId="77777777">
        <w:trPr>
          <w:tblHeader/>
        </w:trPr>
        <w:tc>
          <w:tcPr>
            <w:tcW w:w="2670" w:type="dxa"/>
            <w:tcBorders>
              <w:top w:val="single" w:sz="4" w:space="0" w:color="000000"/>
              <w:left w:val="single" w:sz="4" w:space="0" w:color="000000"/>
              <w:bottom w:val="single" w:sz="4" w:space="0" w:color="000000"/>
            </w:tcBorders>
            <w:shd w:val="clear" w:color="auto" w:fill="auto"/>
            <w:vAlign w:val="center"/>
          </w:tcPr>
          <w:p w14:paraId="5006098C"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Характер забудови</w:t>
            </w:r>
          </w:p>
        </w:tc>
        <w:tc>
          <w:tcPr>
            <w:tcW w:w="3406" w:type="dxa"/>
            <w:tcBorders>
              <w:top w:val="single" w:sz="4" w:space="0" w:color="000000"/>
              <w:left w:val="single" w:sz="4" w:space="0" w:color="000000"/>
              <w:bottom w:val="single" w:sz="4" w:space="0" w:color="000000"/>
            </w:tcBorders>
            <w:shd w:val="clear" w:color="auto" w:fill="auto"/>
            <w:vAlign w:val="center"/>
          </w:tcPr>
          <w:p w14:paraId="12A91522"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Висота будинків, м</w:t>
            </w:r>
          </w:p>
        </w:tc>
        <w:tc>
          <w:tcPr>
            <w:tcW w:w="1904" w:type="dxa"/>
            <w:tcBorders>
              <w:top w:val="single" w:sz="4" w:space="0" w:color="000000"/>
              <w:left w:val="single" w:sz="4" w:space="0" w:color="000000"/>
              <w:bottom w:val="single" w:sz="4" w:space="0" w:color="000000"/>
            </w:tcBorders>
            <w:shd w:val="clear" w:color="auto" w:fill="auto"/>
            <w:vAlign w:val="center"/>
          </w:tcPr>
          <w:p w14:paraId="7B9C6196"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Щільність забудови, %</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8A616"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Коефіцієнт</w:t>
            </w:r>
          </w:p>
          <w:p w14:paraId="18E877B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K</w:t>
            </w:r>
            <w:r w:rsidRPr="00CA7C54">
              <w:rPr>
                <w:rFonts w:ascii="Arial" w:eastAsia="Arial" w:hAnsi="Arial" w:cs="Arial"/>
                <w:color w:val="000000" w:themeColor="text1"/>
                <w:sz w:val="20"/>
                <w:szCs w:val="20"/>
                <w:vertAlign w:val="subscript"/>
              </w:rPr>
              <w:t>заб</w:t>
            </w:r>
          </w:p>
        </w:tc>
      </w:tr>
      <w:tr w:rsidR="00CA7C54" w:rsidRPr="00CA7C54" w14:paraId="3A77CE27" w14:textId="77777777" w:rsidTr="00016B6D">
        <w:trPr>
          <w:trHeight w:val="951"/>
        </w:trPr>
        <w:tc>
          <w:tcPr>
            <w:tcW w:w="2670" w:type="dxa"/>
            <w:vMerge w:val="restart"/>
            <w:tcBorders>
              <w:top w:val="single" w:sz="4" w:space="0" w:color="000000"/>
              <w:left w:val="single" w:sz="4" w:space="0" w:color="000000"/>
              <w:bottom w:val="single" w:sz="4" w:space="0" w:color="000000"/>
            </w:tcBorders>
            <w:shd w:val="clear" w:color="auto" w:fill="auto"/>
            <w:vAlign w:val="center"/>
          </w:tcPr>
          <w:p w14:paraId="7D14426C"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Промислова</w:t>
            </w:r>
          </w:p>
        </w:tc>
        <w:tc>
          <w:tcPr>
            <w:tcW w:w="3406" w:type="dxa"/>
            <w:tcBorders>
              <w:top w:val="single" w:sz="4" w:space="0" w:color="000000"/>
              <w:left w:val="single" w:sz="4" w:space="0" w:color="000000"/>
              <w:bottom w:val="single" w:sz="4" w:space="0" w:color="000000"/>
            </w:tcBorders>
            <w:shd w:val="clear" w:color="auto" w:fill="auto"/>
            <w:vAlign w:val="center"/>
          </w:tcPr>
          <w:p w14:paraId="0D45314F" w14:textId="77777777" w:rsidR="003C4E04" w:rsidRPr="00CA7C54" w:rsidRDefault="00DC31F3"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sdt>
              <w:sdtPr>
                <w:rPr>
                  <w:color w:val="000000" w:themeColor="text1"/>
                  <w:sz w:val="20"/>
                  <w:szCs w:val="20"/>
                </w:rPr>
                <w:tag w:val="goog_rdk_114"/>
                <w:id w:val="273373554"/>
              </w:sdtPr>
              <w:sdtEndPr/>
              <w:sdtContent>
                <w:r w:rsidR="001E748C" w:rsidRPr="00CA7C54">
                  <w:rPr>
                    <w:rFonts w:ascii="Arial" w:eastAsia="Arial Unicode MS" w:hAnsi="Arial" w:cs="Arial"/>
                    <w:color w:val="000000" w:themeColor="text1"/>
                    <w:sz w:val="20"/>
                    <w:szCs w:val="20"/>
                  </w:rPr>
                  <w:t>≥12</w:t>
                </w:r>
              </w:sdtContent>
            </w:sdt>
          </w:p>
        </w:tc>
        <w:tc>
          <w:tcPr>
            <w:tcW w:w="1904" w:type="dxa"/>
            <w:tcBorders>
              <w:top w:val="single" w:sz="4" w:space="0" w:color="000000"/>
              <w:left w:val="single" w:sz="4" w:space="0" w:color="000000"/>
              <w:bottom w:val="single" w:sz="4" w:space="0" w:color="000000"/>
            </w:tcBorders>
            <w:shd w:val="clear" w:color="auto" w:fill="auto"/>
            <w:vAlign w:val="center"/>
          </w:tcPr>
          <w:p w14:paraId="328151C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p w14:paraId="262B3455"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62837014"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676F88E1"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302DE"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1,8</w:t>
            </w:r>
          </w:p>
          <w:p w14:paraId="6BF1E466"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p w14:paraId="39D41085"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w:t>
            </w:r>
          </w:p>
          <w:p w14:paraId="178A94B6"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r w:rsidR="00CA7C54" w:rsidRPr="00CA7C54" w14:paraId="5F192CE4" w14:textId="77777777" w:rsidTr="00144AEF">
        <w:trPr>
          <w:trHeight w:val="961"/>
        </w:trPr>
        <w:tc>
          <w:tcPr>
            <w:tcW w:w="2670" w:type="dxa"/>
            <w:vMerge/>
            <w:tcBorders>
              <w:top w:val="single" w:sz="4" w:space="0" w:color="000000"/>
              <w:left w:val="single" w:sz="4" w:space="0" w:color="000000"/>
              <w:bottom w:val="single" w:sz="4" w:space="0" w:color="000000"/>
            </w:tcBorders>
            <w:shd w:val="clear" w:color="auto" w:fill="auto"/>
            <w:vAlign w:val="center"/>
          </w:tcPr>
          <w:p w14:paraId="212C8550" w14:textId="77777777" w:rsidR="003C4E04" w:rsidRPr="00CA7C54" w:rsidRDefault="003C4E04" w:rsidP="000F536D">
            <w:pPr>
              <w:widowControl w:val="0"/>
              <w:pBdr>
                <w:top w:val="nil"/>
                <w:left w:val="nil"/>
                <w:bottom w:val="nil"/>
                <w:right w:val="nil"/>
                <w:between w:val="nil"/>
              </w:pBdr>
              <w:spacing w:before="0"/>
              <w:ind w:firstLine="0"/>
              <w:contextualSpacing/>
              <w:jc w:val="left"/>
              <w:rPr>
                <w:rFonts w:ascii="Arial" w:eastAsia="Arial" w:hAnsi="Arial" w:cs="Arial"/>
                <w:color w:val="000000" w:themeColor="text1"/>
                <w:sz w:val="20"/>
                <w:szCs w:val="20"/>
              </w:rPr>
            </w:pPr>
          </w:p>
        </w:tc>
        <w:tc>
          <w:tcPr>
            <w:tcW w:w="3406" w:type="dxa"/>
            <w:tcBorders>
              <w:top w:val="single" w:sz="4" w:space="0" w:color="000000"/>
              <w:left w:val="single" w:sz="4" w:space="0" w:color="000000"/>
              <w:bottom w:val="single" w:sz="4" w:space="0" w:color="000000"/>
            </w:tcBorders>
            <w:shd w:val="clear" w:color="auto" w:fill="auto"/>
            <w:vAlign w:val="center"/>
          </w:tcPr>
          <w:p w14:paraId="44030B0E"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8-12</w:t>
            </w:r>
          </w:p>
        </w:tc>
        <w:tc>
          <w:tcPr>
            <w:tcW w:w="1904" w:type="dxa"/>
            <w:tcBorders>
              <w:top w:val="single" w:sz="4" w:space="0" w:color="000000"/>
              <w:left w:val="single" w:sz="4" w:space="0" w:color="000000"/>
              <w:bottom w:val="single" w:sz="4" w:space="0" w:color="000000"/>
            </w:tcBorders>
            <w:shd w:val="clear" w:color="auto" w:fill="auto"/>
            <w:vAlign w:val="center"/>
          </w:tcPr>
          <w:p w14:paraId="43CBEC61"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p w14:paraId="01382C5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6309DD0C"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0C71EE3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CF65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p w14:paraId="17136E8E"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1,3</w:t>
            </w:r>
          </w:p>
          <w:p w14:paraId="5F84F63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w:t>
            </w:r>
          </w:p>
          <w:p w14:paraId="0AE71B90"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bl>
    <w:p w14:paraId="63DC0EE7" w14:textId="77777777" w:rsidR="008E0886" w:rsidRPr="00CA7C54" w:rsidRDefault="008E0886">
      <w:pPr>
        <w:rPr>
          <w:color w:val="000000" w:themeColor="text1"/>
        </w:rPr>
      </w:pPr>
      <w:r w:rsidRPr="00CA7C54">
        <w:rPr>
          <w:color w:val="000000" w:themeColor="text1"/>
        </w:rPr>
        <w:br w:type="page"/>
      </w:r>
    </w:p>
    <w:tbl>
      <w:tblPr>
        <w:tblStyle w:val="afffffffffffffffffffffffffffffffff"/>
        <w:tblW w:w="9776" w:type="dxa"/>
        <w:tblInd w:w="5" w:type="dxa"/>
        <w:tblLayout w:type="fixed"/>
        <w:tblLook w:val="0000" w:firstRow="0" w:lastRow="0" w:firstColumn="0" w:lastColumn="0" w:noHBand="0" w:noVBand="0"/>
      </w:tblPr>
      <w:tblGrid>
        <w:gridCol w:w="1413"/>
        <w:gridCol w:w="1257"/>
        <w:gridCol w:w="3406"/>
        <w:gridCol w:w="1904"/>
        <w:gridCol w:w="1796"/>
      </w:tblGrid>
      <w:tr w:rsidR="00CA7C54" w:rsidRPr="00CA7C54" w14:paraId="58E6E95C" w14:textId="77777777" w:rsidTr="00AE25DB">
        <w:tc>
          <w:tcPr>
            <w:tcW w:w="9776" w:type="dxa"/>
            <w:gridSpan w:val="5"/>
            <w:tcBorders>
              <w:top w:val="nil"/>
              <w:bottom w:val="single" w:sz="4" w:space="0" w:color="000000"/>
            </w:tcBorders>
            <w:shd w:val="clear" w:color="auto" w:fill="auto"/>
            <w:vAlign w:val="center"/>
          </w:tcPr>
          <w:p w14:paraId="0C349939" w14:textId="77777777" w:rsidR="008E0886" w:rsidRPr="00CA7C54" w:rsidRDefault="008E0886" w:rsidP="008E0886">
            <w:pPr>
              <w:pBdr>
                <w:top w:val="nil"/>
                <w:left w:val="nil"/>
                <w:bottom w:val="nil"/>
                <w:right w:val="nil"/>
                <w:between w:val="nil"/>
              </w:pBdr>
              <w:spacing w:before="0"/>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Г.2</w:t>
            </w:r>
          </w:p>
        </w:tc>
      </w:tr>
      <w:tr w:rsidR="00CA7C54" w:rsidRPr="00CA7C54" w14:paraId="615FE56C" w14:textId="77777777" w:rsidTr="00AE25DB">
        <w:tc>
          <w:tcPr>
            <w:tcW w:w="2670" w:type="dxa"/>
            <w:gridSpan w:val="2"/>
            <w:tcBorders>
              <w:top w:val="single" w:sz="4" w:space="0" w:color="000000"/>
              <w:left w:val="single" w:sz="4" w:space="0" w:color="000000"/>
              <w:bottom w:val="single" w:sz="4" w:space="0" w:color="000000"/>
            </w:tcBorders>
            <w:shd w:val="clear" w:color="auto" w:fill="auto"/>
            <w:vAlign w:val="center"/>
          </w:tcPr>
          <w:p w14:paraId="2D935D78" w14:textId="77777777" w:rsidR="008E0886" w:rsidRPr="00CA7C54" w:rsidRDefault="008E0886" w:rsidP="000F536D">
            <w:pPr>
              <w:pBdr>
                <w:top w:val="nil"/>
                <w:left w:val="nil"/>
                <w:bottom w:val="nil"/>
                <w:right w:val="nil"/>
                <w:between w:val="nil"/>
              </w:pBdr>
              <w:spacing w:before="0"/>
              <w:ind w:firstLine="0"/>
              <w:contextualSpacing/>
              <w:jc w:val="center"/>
              <w:rPr>
                <w:color w:val="000000" w:themeColor="text1"/>
                <w:sz w:val="20"/>
                <w:szCs w:val="20"/>
              </w:rPr>
            </w:pPr>
            <w:r w:rsidRPr="00CA7C54">
              <w:rPr>
                <w:rFonts w:ascii="Arial" w:eastAsia="Arial" w:hAnsi="Arial" w:cs="Arial"/>
                <w:b/>
                <w:color w:val="000000" w:themeColor="text1"/>
                <w:sz w:val="20"/>
                <w:szCs w:val="20"/>
              </w:rPr>
              <w:t>Характер забудови</w:t>
            </w:r>
          </w:p>
        </w:tc>
        <w:tc>
          <w:tcPr>
            <w:tcW w:w="3406" w:type="dxa"/>
            <w:tcBorders>
              <w:top w:val="single" w:sz="4" w:space="0" w:color="000000"/>
              <w:left w:val="single" w:sz="4" w:space="0" w:color="000000"/>
              <w:bottom w:val="single" w:sz="4" w:space="0" w:color="000000"/>
            </w:tcBorders>
            <w:shd w:val="clear" w:color="auto" w:fill="auto"/>
            <w:vAlign w:val="center"/>
          </w:tcPr>
          <w:p w14:paraId="09757F6B" w14:textId="77777777" w:rsidR="008E0886" w:rsidRPr="00CA7C54" w:rsidRDefault="008E0886" w:rsidP="000F536D">
            <w:pPr>
              <w:pBdr>
                <w:top w:val="nil"/>
                <w:left w:val="nil"/>
                <w:bottom w:val="nil"/>
                <w:right w:val="nil"/>
                <w:between w:val="nil"/>
              </w:pBdr>
              <w:spacing w:before="0"/>
              <w:ind w:firstLine="0"/>
              <w:contextualSpacing/>
              <w:jc w:val="center"/>
              <w:rPr>
                <w:color w:val="000000" w:themeColor="text1"/>
                <w:sz w:val="20"/>
                <w:szCs w:val="20"/>
              </w:rPr>
            </w:pPr>
            <w:r w:rsidRPr="00CA7C54">
              <w:rPr>
                <w:rFonts w:ascii="Arial" w:eastAsia="Arial" w:hAnsi="Arial" w:cs="Arial"/>
                <w:b/>
                <w:color w:val="000000" w:themeColor="text1"/>
                <w:sz w:val="20"/>
                <w:szCs w:val="20"/>
              </w:rPr>
              <w:t>Висота будинків, м</w:t>
            </w:r>
          </w:p>
        </w:tc>
        <w:tc>
          <w:tcPr>
            <w:tcW w:w="1904" w:type="dxa"/>
            <w:tcBorders>
              <w:top w:val="single" w:sz="4" w:space="0" w:color="000000"/>
              <w:left w:val="single" w:sz="4" w:space="0" w:color="000000"/>
              <w:bottom w:val="single" w:sz="4" w:space="0" w:color="000000"/>
            </w:tcBorders>
            <w:shd w:val="clear" w:color="auto" w:fill="auto"/>
            <w:vAlign w:val="center"/>
          </w:tcPr>
          <w:p w14:paraId="7BA5CF89" w14:textId="77777777" w:rsidR="008E0886" w:rsidRPr="00CA7C54" w:rsidRDefault="008E0886" w:rsidP="000F536D">
            <w:pPr>
              <w:pBdr>
                <w:top w:val="nil"/>
                <w:left w:val="nil"/>
                <w:bottom w:val="nil"/>
                <w:right w:val="nil"/>
                <w:between w:val="nil"/>
              </w:pBdr>
              <w:spacing w:before="0"/>
              <w:ind w:firstLine="0"/>
              <w:contextualSpacing/>
              <w:jc w:val="center"/>
              <w:rPr>
                <w:color w:val="000000" w:themeColor="text1"/>
                <w:sz w:val="20"/>
                <w:szCs w:val="20"/>
              </w:rPr>
            </w:pPr>
            <w:r w:rsidRPr="00CA7C54">
              <w:rPr>
                <w:rFonts w:ascii="Arial" w:eastAsia="Arial" w:hAnsi="Arial" w:cs="Arial"/>
                <w:b/>
                <w:color w:val="000000" w:themeColor="text1"/>
                <w:sz w:val="20"/>
                <w:szCs w:val="20"/>
              </w:rPr>
              <w:t>Щільність забудови, %</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7A64B" w14:textId="77777777" w:rsidR="008E0886" w:rsidRPr="00CA7C54" w:rsidRDefault="008E0886" w:rsidP="008E0886">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Коефіцієнт</w:t>
            </w:r>
          </w:p>
          <w:p w14:paraId="5D5357E5" w14:textId="77777777" w:rsidR="008E0886" w:rsidRPr="00CA7C54" w:rsidRDefault="008E0886" w:rsidP="008E0886">
            <w:pPr>
              <w:pBdr>
                <w:top w:val="nil"/>
                <w:left w:val="nil"/>
                <w:bottom w:val="nil"/>
                <w:right w:val="nil"/>
                <w:between w:val="nil"/>
              </w:pBdr>
              <w:spacing w:before="0"/>
              <w:ind w:firstLine="0"/>
              <w:contextualSpacing/>
              <w:jc w:val="center"/>
              <w:rPr>
                <w:color w:val="000000" w:themeColor="text1"/>
                <w:sz w:val="20"/>
                <w:szCs w:val="20"/>
              </w:rPr>
            </w:pPr>
            <w:r w:rsidRPr="00CA7C54">
              <w:rPr>
                <w:rFonts w:ascii="Arial" w:eastAsia="Arial" w:hAnsi="Arial" w:cs="Arial"/>
                <w:color w:val="000000" w:themeColor="text1"/>
                <w:sz w:val="20"/>
                <w:szCs w:val="20"/>
              </w:rPr>
              <w:t>K</w:t>
            </w:r>
            <w:r w:rsidRPr="00CA7C54">
              <w:rPr>
                <w:rFonts w:ascii="Arial" w:eastAsia="Arial" w:hAnsi="Arial" w:cs="Arial"/>
                <w:color w:val="000000" w:themeColor="text1"/>
                <w:sz w:val="20"/>
                <w:szCs w:val="20"/>
                <w:vertAlign w:val="subscript"/>
              </w:rPr>
              <w:t>заб</w:t>
            </w:r>
          </w:p>
        </w:tc>
      </w:tr>
      <w:tr w:rsidR="00CA7C54" w:rsidRPr="00CA7C54" w14:paraId="11D96272" w14:textId="77777777" w:rsidTr="00AE25DB">
        <w:tc>
          <w:tcPr>
            <w:tcW w:w="2670" w:type="dxa"/>
            <w:gridSpan w:val="2"/>
            <w:vMerge w:val="restart"/>
            <w:tcBorders>
              <w:top w:val="single" w:sz="4" w:space="0" w:color="000000"/>
              <w:left w:val="single" w:sz="4" w:space="0" w:color="000000"/>
              <w:bottom w:val="single" w:sz="4" w:space="0" w:color="000000"/>
            </w:tcBorders>
            <w:shd w:val="clear" w:color="auto" w:fill="auto"/>
            <w:vAlign w:val="center"/>
          </w:tcPr>
          <w:p w14:paraId="36F15C64"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Житлова та громадська</w:t>
            </w:r>
          </w:p>
        </w:tc>
        <w:tc>
          <w:tcPr>
            <w:tcW w:w="3406" w:type="dxa"/>
            <w:tcBorders>
              <w:top w:val="single" w:sz="4" w:space="0" w:color="000000"/>
              <w:left w:val="single" w:sz="4" w:space="0" w:color="000000"/>
              <w:bottom w:val="single" w:sz="4" w:space="0" w:color="000000"/>
            </w:tcBorders>
            <w:shd w:val="clear" w:color="auto" w:fill="auto"/>
            <w:vAlign w:val="center"/>
          </w:tcPr>
          <w:p w14:paraId="64724157" w14:textId="77777777" w:rsidR="003C4E04" w:rsidRPr="00CA7C54" w:rsidRDefault="00DC31F3"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sdt>
              <w:sdtPr>
                <w:rPr>
                  <w:color w:val="000000" w:themeColor="text1"/>
                  <w:sz w:val="20"/>
                  <w:szCs w:val="20"/>
                </w:rPr>
                <w:tag w:val="goog_rdk_115"/>
                <w:id w:val="-1042286491"/>
              </w:sdtPr>
              <w:sdtEndPr/>
              <w:sdtContent>
                <w:r w:rsidR="001E748C" w:rsidRPr="00CA7C54">
                  <w:rPr>
                    <w:rFonts w:ascii="Arial" w:eastAsia="Arial Unicode MS" w:hAnsi="Arial" w:cs="Arial"/>
                    <w:color w:val="000000" w:themeColor="text1"/>
                    <w:sz w:val="20"/>
                    <w:szCs w:val="20"/>
                  </w:rPr>
                  <w:t>≥30</w:t>
                </w:r>
              </w:sdtContent>
            </w:sdt>
          </w:p>
        </w:tc>
        <w:tc>
          <w:tcPr>
            <w:tcW w:w="1904" w:type="dxa"/>
            <w:tcBorders>
              <w:top w:val="single" w:sz="4" w:space="0" w:color="000000"/>
              <w:left w:val="single" w:sz="4" w:space="0" w:color="000000"/>
              <w:bottom w:val="single" w:sz="4" w:space="0" w:color="000000"/>
            </w:tcBorders>
            <w:shd w:val="clear" w:color="auto" w:fill="auto"/>
            <w:vAlign w:val="center"/>
          </w:tcPr>
          <w:p w14:paraId="0E419EB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p w14:paraId="0672B2D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7943AC35"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34325FBF"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EAD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p w14:paraId="2B312CBF"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188E71C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p w14:paraId="2BAFC9B1"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r w:rsidR="00CA7C54" w:rsidRPr="00CA7C54" w14:paraId="67FFD497" w14:textId="77777777" w:rsidTr="00AE25DB">
        <w:trPr>
          <w:trHeight w:val="980"/>
        </w:trPr>
        <w:tc>
          <w:tcPr>
            <w:tcW w:w="2670" w:type="dxa"/>
            <w:gridSpan w:val="2"/>
            <w:vMerge/>
            <w:tcBorders>
              <w:top w:val="single" w:sz="4" w:space="0" w:color="000000"/>
              <w:left w:val="single" w:sz="4" w:space="0" w:color="000000"/>
              <w:bottom w:val="single" w:sz="4" w:space="0" w:color="000000"/>
            </w:tcBorders>
            <w:shd w:val="clear" w:color="auto" w:fill="auto"/>
            <w:vAlign w:val="center"/>
          </w:tcPr>
          <w:p w14:paraId="5BA26C68" w14:textId="77777777" w:rsidR="003C4E04" w:rsidRPr="00CA7C54" w:rsidRDefault="003C4E04" w:rsidP="000F536D">
            <w:pPr>
              <w:widowControl w:val="0"/>
              <w:pBdr>
                <w:top w:val="nil"/>
                <w:left w:val="nil"/>
                <w:bottom w:val="nil"/>
                <w:right w:val="nil"/>
                <w:between w:val="nil"/>
              </w:pBdr>
              <w:spacing w:before="0"/>
              <w:ind w:firstLine="0"/>
              <w:contextualSpacing/>
              <w:jc w:val="left"/>
              <w:rPr>
                <w:rFonts w:ascii="Arial" w:eastAsia="Arial" w:hAnsi="Arial" w:cs="Arial"/>
                <w:color w:val="000000" w:themeColor="text1"/>
                <w:sz w:val="20"/>
                <w:szCs w:val="20"/>
              </w:rPr>
            </w:pPr>
          </w:p>
        </w:tc>
        <w:tc>
          <w:tcPr>
            <w:tcW w:w="3406" w:type="dxa"/>
            <w:tcBorders>
              <w:top w:val="single" w:sz="4" w:space="0" w:color="000000"/>
              <w:left w:val="single" w:sz="4" w:space="0" w:color="000000"/>
              <w:bottom w:val="single" w:sz="4" w:space="0" w:color="000000"/>
            </w:tcBorders>
            <w:shd w:val="clear" w:color="auto" w:fill="auto"/>
            <w:vAlign w:val="center"/>
          </w:tcPr>
          <w:p w14:paraId="0125A614"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10-30</w:t>
            </w:r>
          </w:p>
        </w:tc>
        <w:tc>
          <w:tcPr>
            <w:tcW w:w="1904" w:type="dxa"/>
            <w:tcBorders>
              <w:top w:val="single" w:sz="4" w:space="0" w:color="000000"/>
              <w:left w:val="single" w:sz="4" w:space="0" w:color="000000"/>
              <w:bottom w:val="single" w:sz="4" w:space="0" w:color="000000"/>
            </w:tcBorders>
            <w:shd w:val="clear" w:color="auto" w:fill="auto"/>
            <w:vAlign w:val="center"/>
          </w:tcPr>
          <w:p w14:paraId="1C610E02"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p w14:paraId="526313CE"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3DFBAA34"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7ABD5F4F"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E526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30AC519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1,8</w:t>
            </w:r>
          </w:p>
          <w:p w14:paraId="5DC3310C"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1,3</w:t>
            </w:r>
          </w:p>
          <w:p w14:paraId="243D8ABA"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r w:rsidR="00CA7C54" w:rsidRPr="00CA7C54" w14:paraId="3456C994" w14:textId="77777777" w:rsidTr="00AE25DB">
        <w:trPr>
          <w:trHeight w:val="941"/>
        </w:trPr>
        <w:tc>
          <w:tcPr>
            <w:tcW w:w="2670" w:type="dxa"/>
            <w:gridSpan w:val="2"/>
            <w:vMerge/>
            <w:tcBorders>
              <w:top w:val="single" w:sz="4" w:space="0" w:color="000000"/>
              <w:left w:val="single" w:sz="4" w:space="0" w:color="000000"/>
              <w:bottom w:val="single" w:sz="4" w:space="0" w:color="000000"/>
            </w:tcBorders>
            <w:shd w:val="clear" w:color="auto" w:fill="auto"/>
            <w:vAlign w:val="center"/>
          </w:tcPr>
          <w:p w14:paraId="5C8B8895" w14:textId="77777777" w:rsidR="003C4E04" w:rsidRPr="00CA7C54" w:rsidRDefault="003C4E04" w:rsidP="000F536D">
            <w:pPr>
              <w:widowControl w:val="0"/>
              <w:pBdr>
                <w:top w:val="nil"/>
                <w:left w:val="nil"/>
                <w:bottom w:val="nil"/>
                <w:right w:val="nil"/>
                <w:between w:val="nil"/>
              </w:pBdr>
              <w:spacing w:before="0"/>
              <w:ind w:firstLine="0"/>
              <w:contextualSpacing/>
              <w:jc w:val="left"/>
              <w:rPr>
                <w:rFonts w:ascii="Arial" w:eastAsia="Arial" w:hAnsi="Arial" w:cs="Arial"/>
                <w:color w:val="000000" w:themeColor="text1"/>
                <w:sz w:val="20"/>
                <w:szCs w:val="20"/>
              </w:rPr>
            </w:pPr>
          </w:p>
        </w:tc>
        <w:tc>
          <w:tcPr>
            <w:tcW w:w="3406" w:type="dxa"/>
            <w:tcBorders>
              <w:top w:val="single" w:sz="4" w:space="0" w:color="000000"/>
              <w:left w:val="single" w:sz="4" w:space="0" w:color="000000"/>
              <w:bottom w:val="single" w:sz="4" w:space="0" w:color="000000"/>
            </w:tcBorders>
            <w:shd w:val="clear" w:color="auto" w:fill="auto"/>
            <w:vAlign w:val="center"/>
          </w:tcPr>
          <w:p w14:paraId="7003B343"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8-10</w:t>
            </w:r>
          </w:p>
        </w:tc>
        <w:tc>
          <w:tcPr>
            <w:tcW w:w="1904" w:type="dxa"/>
            <w:tcBorders>
              <w:top w:val="single" w:sz="4" w:space="0" w:color="000000"/>
              <w:left w:val="single" w:sz="4" w:space="0" w:color="000000"/>
              <w:bottom w:val="single" w:sz="4" w:space="0" w:color="000000"/>
            </w:tcBorders>
            <w:shd w:val="clear" w:color="auto" w:fill="auto"/>
            <w:vAlign w:val="center"/>
          </w:tcPr>
          <w:p w14:paraId="59010A33"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p w14:paraId="17F11FE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1862489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0D87E157"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C6C3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1,6</w:t>
            </w:r>
          </w:p>
          <w:p w14:paraId="1330813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1,4</w:t>
            </w:r>
          </w:p>
          <w:p w14:paraId="46DA6297"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w:t>
            </w:r>
          </w:p>
          <w:p w14:paraId="43051080"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r w:rsidR="00CA7C54" w:rsidRPr="00CA7C54" w14:paraId="0EDEB55C" w14:textId="77777777" w:rsidTr="00AE25DB">
        <w:trPr>
          <w:trHeight w:val="20"/>
        </w:trPr>
        <w:tc>
          <w:tcPr>
            <w:tcW w:w="1413" w:type="dxa"/>
            <w:tcBorders>
              <w:top w:val="single" w:sz="4" w:space="0" w:color="000000"/>
              <w:left w:val="single" w:sz="4" w:space="0" w:color="000000"/>
            </w:tcBorders>
            <w:shd w:val="clear" w:color="auto" w:fill="auto"/>
          </w:tcPr>
          <w:p w14:paraId="00800CC2"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1.</w:t>
            </w:r>
          </w:p>
        </w:tc>
        <w:tc>
          <w:tcPr>
            <w:tcW w:w="8363" w:type="dxa"/>
            <w:gridSpan w:val="4"/>
            <w:tcBorders>
              <w:top w:val="single" w:sz="4" w:space="0" w:color="000000"/>
              <w:right w:val="single" w:sz="4" w:space="0" w:color="000000"/>
            </w:tcBorders>
            <w:shd w:val="clear" w:color="auto" w:fill="auto"/>
          </w:tcPr>
          <w:p w14:paraId="4B7627B9"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При щільності навколишньої забудови менше </w:t>
            </w:r>
            <w:r w:rsidR="00DC106E" w:rsidRPr="00CA7C54">
              <w:rPr>
                <w:rFonts w:ascii="Arial" w:eastAsia="Arial" w:hAnsi="Arial" w:cs="Arial"/>
                <w:color w:val="000000" w:themeColor="text1"/>
                <w:sz w:val="20"/>
                <w:szCs w:val="20"/>
              </w:rPr>
              <w:t xml:space="preserve">ніж </w:t>
            </w:r>
            <w:r w:rsidRPr="00CA7C54">
              <w:rPr>
                <w:rFonts w:ascii="Arial" w:eastAsia="Arial" w:hAnsi="Arial" w:cs="Arial"/>
                <w:color w:val="000000" w:themeColor="text1"/>
                <w:sz w:val="20"/>
                <w:szCs w:val="20"/>
              </w:rPr>
              <w:t>10% , або при середній висоті навколишніх будівель менше</w:t>
            </w:r>
            <w:r w:rsidR="00DC106E" w:rsidRPr="00CA7C54">
              <w:rPr>
                <w:rFonts w:ascii="Arial" w:eastAsia="Arial" w:hAnsi="Arial" w:cs="Arial"/>
                <w:color w:val="000000" w:themeColor="text1"/>
                <w:sz w:val="20"/>
                <w:szCs w:val="20"/>
              </w:rPr>
              <w:t xml:space="preserve"> ніж </w:t>
            </w:r>
            <w:r w:rsidRPr="00CA7C54">
              <w:rPr>
                <w:rFonts w:ascii="Arial" w:eastAsia="Arial" w:hAnsi="Arial" w:cs="Arial"/>
                <w:color w:val="000000" w:themeColor="text1"/>
                <w:sz w:val="20"/>
                <w:szCs w:val="20"/>
              </w:rPr>
              <w:t xml:space="preserve"> 8 м, коефіцієнт </w:t>
            </w:r>
            <w:r w:rsidRPr="00CA7C54">
              <w:rPr>
                <w:rFonts w:ascii="Arial" w:eastAsia="Arial" w:hAnsi="Arial" w:cs="Arial"/>
                <w:i/>
                <w:color w:val="000000" w:themeColor="text1"/>
                <w:sz w:val="20"/>
                <w:szCs w:val="20"/>
              </w:rPr>
              <w:t>K</w:t>
            </w:r>
            <w:r w:rsidRPr="00CA7C54">
              <w:rPr>
                <w:rFonts w:ascii="Arial" w:eastAsia="Arial" w:hAnsi="Arial" w:cs="Arial"/>
                <w:i/>
                <w:color w:val="000000" w:themeColor="text1"/>
                <w:sz w:val="20"/>
                <w:szCs w:val="20"/>
                <w:vertAlign w:val="subscript"/>
              </w:rPr>
              <w:t>заб</w:t>
            </w:r>
            <w:r w:rsidRPr="00CA7C54">
              <w:rPr>
                <w:rFonts w:ascii="Arial" w:eastAsia="Arial" w:hAnsi="Arial" w:cs="Arial"/>
                <w:color w:val="000000" w:themeColor="text1"/>
                <w:sz w:val="20"/>
                <w:szCs w:val="20"/>
              </w:rPr>
              <w:t xml:space="preserve"> приймається рівним 1.</w:t>
            </w:r>
          </w:p>
        </w:tc>
      </w:tr>
      <w:tr w:rsidR="00CA7C54" w:rsidRPr="00CA7C54" w14:paraId="42654396" w14:textId="77777777" w:rsidTr="00AE25DB">
        <w:trPr>
          <w:trHeight w:val="20"/>
        </w:trPr>
        <w:tc>
          <w:tcPr>
            <w:tcW w:w="1413" w:type="dxa"/>
            <w:tcBorders>
              <w:left w:val="single" w:sz="4" w:space="0" w:color="000000"/>
            </w:tcBorders>
            <w:shd w:val="clear" w:color="auto" w:fill="auto"/>
          </w:tcPr>
          <w:p w14:paraId="10E03E80"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2.</w:t>
            </w:r>
          </w:p>
        </w:tc>
        <w:tc>
          <w:tcPr>
            <w:tcW w:w="8363" w:type="dxa"/>
            <w:gridSpan w:val="4"/>
            <w:tcBorders>
              <w:right w:val="single" w:sz="4" w:space="0" w:color="000000"/>
            </w:tcBorders>
            <w:shd w:val="clear" w:color="auto" w:fill="auto"/>
          </w:tcPr>
          <w:p w14:paraId="05CA7132"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Значення щільності забудови визначається в радіусі 300 м по периметру конструкцій сховища чи СПП.</w:t>
            </w:r>
          </w:p>
        </w:tc>
      </w:tr>
      <w:tr w:rsidR="003C4E04" w:rsidRPr="00CA7C54" w14:paraId="65F0422F" w14:textId="77777777" w:rsidTr="00AE25DB">
        <w:trPr>
          <w:trHeight w:val="20"/>
        </w:trPr>
        <w:tc>
          <w:tcPr>
            <w:tcW w:w="1413" w:type="dxa"/>
            <w:tcBorders>
              <w:left w:val="single" w:sz="4" w:space="0" w:color="000000"/>
              <w:bottom w:val="single" w:sz="4" w:space="0" w:color="000000"/>
            </w:tcBorders>
            <w:shd w:val="clear" w:color="auto" w:fill="auto"/>
          </w:tcPr>
          <w:p w14:paraId="41DEA2B7"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3.</w:t>
            </w:r>
          </w:p>
        </w:tc>
        <w:tc>
          <w:tcPr>
            <w:tcW w:w="8363" w:type="dxa"/>
            <w:gridSpan w:val="4"/>
            <w:tcBorders>
              <w:bottom w:val="single" w:sz="4" w:space="0" w:color="000000"/>
              <w:right w:val="single" w:sz="4" w:space="0" w:color="000000"/>
            </w:tcBorders>
            <w:shd w:val="clear" w:color="auto" w:fill="auto"/>
          </w:tcPr>
          <w:p w14:paraId="15151C6D"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Під час визначення щільності забудови не враховується площа забудови сховища чи СПП.</w:t>
            </w:r>
          </w:p>
        </w:tc>
      </w:tr>
    </w:tbl>
    <w:p w14:paraId="4D27F4F1" w14:textId="77777777" w:rsidR="00144AEF" w:rsidRPr="00CA7C54" w:rsidRDefault="00144AEF" w:rsidP="006A22A5">
      <w:pPr>
        <w:widowControl w:val="0"/>
        <w:pBdr>
          <w:top w:val="nil"/>
          <w:left w:val="nil"/>
          <w:bottom w:val="nil"/>
          <w:right w:val="nil"/>
          <w:between w:val="nil"/>
        </w:pBdr>
        <w:spacing w:before="0" w:line="288" w:lineRule="auto"/>
        <w:contextualSpacing/>
        <w:rPr>
          <w:b/>
          <w:color w:val="000000" w:themeColor="text1"/>
          <w:sz w:val="21"/>
          <w:szCs w:val="21"/>
        </w:rPr>
      </w:pPr>
    </w:p>
    <w:p w14:paraId="10ECA2A9" w14:textId="77777777" w:rsidR="00253831" w:rsidRPr="00CA7C54" w:rsidRDefault="00253831" w:rsidP="006A22A5">
      <w:pPr>
        <w:widowControl w:val="0"/>
        <w:pBdr>
          <w:top w:val="nil"/>
          <w:left w:val="nil"/>
          <w:bottom w:val="nil"/>
          <w:right w:val="nil"/>
          <w:between w:val="nil"/>
        </w:pBdr>
        <w:spacing w:before="0" w:line="288" w:lineRule="auto"/>
        <w:contextualSpacing/>
        <w:rPr>
          <w:b/>
          <w:color w:val="000000" w:themeColor="text1"/>
          <w:sz w:val="21"/>
          <w:szCs w:val="21"/>
        </w:rPr>
      </w:pPr>
    </w:p>
    <w:p w14:paraId="6128F074" w14:textId="77777777" w:rsidR="003C4E04" w:rsidRPr="00CA7C54" w:rsidRDefault="001E748C" w:rsidP="006A22A5">
      <w:pPr>
        <w:widowControl w:val="0"/>
        <w:pBdr>
          <w:top w:val="nil"/>
          <w:left w:val="nil"/>
          <w:bottom w:val="nil"/>
          <w:right w:val="nil"/>
          <w:between w:val="nil"/>
        </w:pBdr>
        <w:spacing w:before="0" w:line="288" w:lineRule="auto"/>
        <w:contextualSpacing/>
        <w:rPr>
          <w:b/>
          <w:color w:val="000000" w:themeColor="text1"/>
          <w:sz w:val="21"/>
          <w:szCs w:val="21"/>
        </w:rPr>
      </w:pPr>
      <w:r w:rsidRPr="00CA7C54">
        <w:rPr>
          <w:b/>
          <w:color w:val="000000" w:themeColor="text1"/>
          <w:sz w:val="21"/>
          <w:szCs w:val="21"/>
        </w:rPr>
        <w:t>Таблиця Г.3</w:t>
      </w:r>
    </w:p>
    <w:tbl>
      <w:tblPr>
        <w:tblStyle w:val="afffffffffffffffffffffffffffffffff0"/>
        <w:tblW w:w="10020" w:type="dxa"/>
        <w:tblLayout w:type="fixed"/>
        <w:tblLook w:val="0000" w:firstRow="0" w:lastRow="0" w:firstColumn="0" w:lastColumn="0" w:noHBand="0" w:noVBand="0"/>
      </w:tblPr>
      <w:tblGrid>
        <w:gridCol w:w="1362"/>
        <w:gridCol w:w="1047"/>
        <w:gridCol w:w="568"/>
        <w:gridCol w:w="637"/>
        <w:gridCol w:w="717"/>
        <w:gridCol w:w="717"/>
        <w:gridCol w:w="717"/>
        <w:gridCol w:w="713"/>
        <w:gridCol w:w="636"/>
        <w:gridCol w:w="717"/>
        <w:gridCol w:w="733"/>
        <w:gridCol w:w="717"/>
        <w:gridCol w:w="739"/>
      </w:tblGrid>
      <w:tr w:rsidR="00CA7C54" w:rsidRPr="00CA7C54" w14:paraId="198CC813" w14:textId="77777777" w:rsidTr="002F5686">
        <w:trPr>
          <w:trHeight w:val="131"/>
        </w:trPr>
        <w:tc>
          <w:tcPr>
            <w:tcW w:w="1360" w:type="dxa"/>
            <w:vMerge w:val="restart"/>
            <w:tcBorders>
              <w:top w:val="single" w:sz="4" w:space="0" w:color="000000"/>
              <w:left w:val="single" w:sz="4" w:space="0" w:color="000000"/>
            </w:tcBorders>
            <w:shd w:val="clear" w:color="auto" w:fill="auto"/>
          </w:tcPr>
          <w:p w14:paraId="7A9D81C8"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Матеріал стін</w:t>
            </w:r>
          </w:p>
        </w:tc>
        <w:tc>
          <w:tcPr>
            <w:tcW w:w="1045" w:type="dxa"/>
            <w:vMerge w:val="restart"/>
            <w:tcBorders>
              <w:top w:val="single" w:sz="4" w:space="0" w:color="000000"/>
              <w:left w:val="single" w:sz="4" w:space="0" w:color="000000"/>
            </w:tcBorders>
            <w:shd w:val="clear" w:color="auto" w:fill="auto"/>
          </w:tcPr>
          <w:p w14:paraId="0788C83A"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0"/>
                <w:szCs w:val="20"/>
              </w:rPr>
            </w:pPr>
            <w:r w:rsidRPr="005E5DBC">
              <w:rPr>
                <w:rFonts w:ascii="Arial" w:eastAsia="Arial" w:hAnsi="Arial" w:cs="Arial"/>
                <w:b/>
                <w:color w:val="000000" w:themeColor="text1"/>
                <w:sz w:val="20"/>
                <w:szCs w:val="20"/>
              </w:rPr>
              <w:t xml:space="preserve">Товщина </w:t>
            </w:r>
          </w:p>
          <w:p w14:paraId="25760235"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стін, см</w:t>
            </w:r>
          </w:p>
        </w:tc>
        <w:tc>
          <w:tcPr>
            <w:tcW w:w="567" w:type="dxa"/>
            <w:vMerge w:val="restart"/>
            <w:tcBorders>
              <w:top w:val="single" w:sz="4" w:space="0" w:color="000000"/>
              <w:left w:val="single" w:sz="4" w:space="0" w:color="000000"/>
              <w:right w:val="single" w:sz="4" w:space="0" w:color="000000"/>
            </w:tcBorders>
          </w:tcPr>
          <w:p w14:paraId="3B3F7A61"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0"/>
                <w:szCs w:val="20"/>
              </w:rPr>
            </w:pPr>
            <w:r w:rsidRPr="005E5DBC">
              <w:rPr>
                <w:rFonts w:ascii="Arial" w:eastAsia="Arial" w:hAnsi="Arial" w:cs="Arial"/>
                <w:b/>
                <w:color w:val="000000" w:themeColor="text1"/>
                <w:sz w:val="20"/>
                <w:szCs w:val="20"/>
              </w:rPr>
              <w:t>Вага м</w:t>
            </w:r>
            <w:r w:rsidR="00302348" w:rsidRPr="00302348">
              <w:rPr>
                <w:rFonts w:ascii="Arial" w:eastAsia="Arial" w:hAnsi="Arial" w:cs="Arial"/>
                <w:b/>
                <w:color w:val="000000" w:themeColor="text1"/>
                <w:sz w:val="20"/>
                <w:szCs w:val="20"/>
                <w:vertAlign w:val="superscript"/>
              </w:rPr>
              <w:t>2</w:t>
            </w:r>
            <w:r w:rsidRPr="005E5DBC">
              <w:rPr>
                <w:rFonts w:ascii="Arial" w:eastAsia="Arial" w:hAnsi="Arial" w:cs="Arial"/>
                <w:b/>
                <w:color w:val="000000" w:themeColor="text1"/>
                <w:sz w:val="20"/>
                <w:szCs w:val="20"/>
              </w:rPr>
              <w:t>, кг</w:t>
            </w:r>
          </w:p>
        </w:tc>
        <w:tc>
          <w:tcPr>
            <w:tcW w:w="3501" w:type="dxa"/>
            <w:gridSpan w:val="5"/>
            <w:tcBorders>
              <w:top w:val="single" w:sz="4" w:space="0" w:color="000000"/>
              <w:left w:val="single" w:sz="4" w:space="0" w:color="000000"/>
              <w:bottom w:val="single" w:sz="4" w:space="0" w:color="000000"/>
            </w:tcBorders>
            <w:shd w:val="clear" w:color="auto" w:fill="auto"/>
          </w:tcPr>
          <w:p w14:paraId="0D46ADE3"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Виробничі будинки</w:t>
            </w:r>
          </w:p>
        </w:tc>
        <w:tc>
          <w:tcPr>
            <w:tcW w:w="3542" w:type="dxa"/>
            <w:gridSpan w:val="5"/>
            <w:tcBorders>
              <w:top w:val="single" w:sz="4" w:space="0" w:color="000000"/>
              <w:left w:val="single" w:sz="4" w:space="0" w:color="000000"/>
              <w:bottom w:val="single" w:sz="4" w:space="0" w:color="000000"/>
              <w:right w:val="single" w:sz="4" w:space="0" w:color="000000"/>
            </w:tcBorders>
            <w:shd w:val="clear" w:color="auto" w:fill="auto"/>
          </w:tcPr>
          <w:p w14:paraId="6B899E5A"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Житлові та громадські будинки</w:t>
            </w:r>
          </w:p>
        </w:tc>
      </w:tr>
      <w:tr w:rsidR="00CA7C54" w:rsidRPr="00CA7C54" w14:paraId="616112AB" w14:textId="77777777" w:rsidTr="002F5686">
        <w:trPr>
          <w:trHeight w:val="565"/>
        </w:trPr>
        <w:tc>
          <w:tcPr>
            <w:tcW w:w="1360" w:type="dxa"/>
            <w:vMerge/>
            <w:tcBorders>
              <w:top w:val="single" w:sz="4" w:space="0" w:color="000000"/>
              <w:left w:val="single" w:sz="4" w:space="0" w:color="000000"/>
            </w:tcBorders>
            <w:shd w:val="clear" w:color="auto" w:fill="auto"/>
          </w:tcPr>
          <w:p w14:paraId="48E4519A"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045" w:type="dxa"/>
            <w:vMerge/>
            <w:tcBorders>
              <w:top w:val="single" w:sz="4" w:space="0" w:color="000000"/>
              <w:left w:val="single" w:sz="4" w:space="0" w:color="000000"/>
            </w:tcBorders>
            <w:shd w:val="clear" w:color="auto" w:fill="auto"/>
          </w:tcPr>
          <w:p w14:paraId="7A1B4C78"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567" w:type="dxa"/>
            <w:vMerge/>
            <w:tcBorders>
              <w:top w:val="single" w:sz="4" w:space="0" w:color="000000"/>
              <w:left w:val="single" w:sz="4" w:space="0" w:color="000000"/>
              <w:right w:val="single" w:sz="4" w:space="0" w:color="000000"/>
            </w:tcBorders>
          </w:tcPr>
          <w:p w14:paraId="04519B66"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7043" w:type="dxa"/>
            <w:gridSpan w:val="10"/>
            <w:tcBorders>
              <w:top w:val="single" w:sz="4" w:space="0" w:color="000000"/>
              <w:left w:val="single" w:sz="4" w:space="0" w:color="000000"/>
              <w:bottom w:val="single" w:sz="4" w:space="0" w:color="000000"/>
              <w:right w:val="single" w:sz="4" w:space="0" w:color="000000"/>
            </w:tcBorders>
            <w:shd w:val="clear" w:color="auto" w:fill="auto"/>
          </w:tcPr>
          <w:p w14:paraId="49C338A6"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Площа отворів по відношенню до площі огороджувальних конструкцій будинків,%</w:t>
            </w:r>
          </w:p>
        </w:tc>
      </w:tr>
      <w:tr w:rsidR="00CA7C54" w:rsidRPr="00CA7C54" w14:paraId="7CB4C5F5" w14:textId="77777777" w:rsidTr="002F5686">
        <w:tc>
          <w:tcPr>
            <w:tcW w:w="1360" w:type="dxa"/>
            <w:vMerge/>
            <w:tcBorders>
              <w:top w:val="single" w:sz="4" w:space="0" w:color="000000"/>
              <w:left w:val="single" w:sz="4" w:space="0" w:color="000000"/>
            </w:tcBorders>
            <w:shd w:val="clear" w:color="auto" w:fill="auto"/>
          </w:tcPr>
          <w:p w14:paraId="64160635"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045" w:type="dxa"/>
            <w:vMerge/>
            <w:tcBorders>
              <w:top w:val="single" w:sz="4" w:space="0" w:color="000000"/>
              <w:left w:val="single" w:sz="4" w:space="0" w:color="000000"/>
            </w:tcBorders>
            <w:shd w:val="clear" w:color="auto" w:fill="auto"/>
          </w:tcPr>
          <w:p w14:paraId="3BF90229"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567" w:type="dxa"/>
            <w:vMerge/>
            <w:tcBorders>
              <w:top w:val="single" w:sz="4" w:space="0" w:color="000000"/>
              <w:left w:val="single" w:sz="4" w:space="0" w:color="000000"/>
              <w:right w:val="single" w:sz="4" w:space="0" w:color="000000"/>
            </w:tcBorders>
          </w:tcPr>
          <w:p w14:paraId="5AD4AFBE"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637" w:type="dxa"/>
            <w:tcBorders>
              <w:top w:val="single" w:sz="4" w:space="0" w:color="000000"/>
              <w:left w:val="single" w:sz="4" w:space="0" w:color="000000"/>
              <w:bottom w:val="single" w:sz="4" w:space="0" w:color="000000"/>
            </w:tcBorders>
            <w:shd w:val="clear" w:color="auto" w:fill="auto"/>
          </w:tcPr>
          <w:p w14:paraId="2C66E57D"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10</w:t>
            </w:r>
          </w:p>
        </w:tc>
        <w:tc>
          <w:tcPr>
            <w:tcW w:w="717" w:type="dxa"/>
            <w:tcBorders>
              <w:top w:val="single" w:sz="4" w:space="0" w:color="000000"/>
              <w:left w:val="single" w:sz="4" w:space="0" w:color="000000"/>
              <w:bottom w:val="single" w:sz="4" w:space="0" w:color="000000"/>
            </w:tcBorders>
            <w:shd w:val="clear" w:color="auto" w:fill="auto"/>
          </w:tcPr>
          <w:p w14:paraId="027EC19C"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20</w:t>
            </w:r>
          </w:p>
        </w:tc>
        <w:tc>
          <w:tcPr>
            <w:tcW w:w="717" w:type="dxa"/>
            <w:tcBorders>
              <w:top w:val="single" w:sz="4" w:space="0" w:color="000000"/>
              <w:left w:val="single" w:sz="4" w:space="0" w:color="000000"/>
              <w:bottom w:val="single" w:sz="4" w:space="0" w:color="000000"/>
            </w:tcBorders>
            <w:shd w:val="clear" w:color="auto" w:fill="auto"/>
          </w:tcPr>
          <w:p w14:paraId="53D61EF0"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30</w:t>
            </w:r>
          </w:p>
        </w:tc>
        <w:tc>
          <w:tcPr>
            <w:tcW w:w="717" w:type="dxa"/>
            <w:tcBorders>
              <w:top w:val="single" w:sz="4" w:space="0" w:color="000000"/>
              <w:left w:val="single" w:sz="4" w:space="0" w:color="000000"/>
              <w:bottom w:val="single" w:sz="4" w:space="0" w:color="000000"/>
            </w:tcBorders>
            <w:shd w:val="clear" w:color="auto" w:fill="auto"/>
          </w:tcPr>
          <w:p w14:paraId="586DCFE7"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40</w:t>
            </w:r>
          </w:p>
        </w:tc>
        <w:tc>
          <w:tcPr>
            <w:tcW w:w="713" w:type="dxa"/>
            <w:tcBorders>
              <w:top w:val="single" w:sz="4" w:space="0" w:color="000000"/>
              <w:left w:val="single" w:sz="4" w:space="0" w:color="000000"/>
              <w:bottom w:val="single" w:sz="4" w:space="0" w:color="000000"/>
            </w:tcBorders>
            <w:shd w:val="clear" w:color="auto" w:fill="auto"/>
          </w:tcPr>
          <w:p w14:paraId="07CDC549"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50</w:t>
            </w:r>
          </w:p>
        </w:tc>
        <w:tc>
          <w:tcPr>
            <w:tcW w:w="636" w:type="dxa"/>
            <w:tcBorders>
              <w:top w:val="single" w:sz="4" w:space="0" w:color="000000"/>
              <w:left w:val="single" w:sz="4" w:space="0" w:color="000000"/>
              <w:bottom w:val="single" w:sz="4" w:space="0" w:color="000000"/>
            </w:tcBorders>
            <w:shd w:val="clear" w:color="auto" w:fill="auto"/>
          </w:tcPr>
          <w:p w14:paraId="7C16385D"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10</w:t>
            </w:r>
          </w:p>
        </w:tc>
        <w:tc>
          <w:tcPr>
            <w:tcW w:w="717" w:type="dxa"/>
            <w:tcBorders>
              <w:top w:val="single" w:sz="4" w:space="0" w:color="000000"/>
              <w:left w:val="single" w:sz="4" w:space="0" w:color="000000"/>
              <w:bottom w:val="single" w:sz="4" w:space="0" w:color="000000"/>
            </w:tcBorders>
            <w:shd w:val="clear" w:color="auto" w:fill="auto"/>
          </w:tcPr>
          <w:p w14:paraId="7B7D467C"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20</w:t>
            </w:r>
          </w:p>
        </w:tc>
        <w:tc>
          <w:tcPr>
            <w:tcW w:w="733" w:type="dxa"/>
            <w:tcBorders>
              <w:top w:val="single" w:sz="4" w:space="0" w:color="000000"/>
              <w:left w:val="single" w:sz="4" w:space="0" w:color="000000"/>
              <w:bottom w:val="single" w:sz="4" w:space="0" w:color="000000"/>
            </w:tcBorders>
            <w:shd w:val="clear" w:color="auto" w:fill="auto"/>
          </w:tcPr>
          <w:p w14:paraId="1006093F"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30</w:t>
            </w:r>
          </w:p>
        </w:tc>
        <w:tc>
          <w:tcPr>
            <w:tcW w:w="717" w:type="dxa"/>
            <w:tcBorders>
              <w:top w:val="single" w:sz="4" w:space="0" w:color="000000"/>
              <w:left w:val="single" w:sz="4" w:space="0" w:color="000000"/>
              <w:bottom w:val="single" w:sz="4" w:space="0" w:color="000000"/>
            </w:tcBorders>
            <w:shd w:val="clear" w:color="auto" w:fill="auto"/>
          </w:tcPr>
          <w:p w14:paraId="529D75A6"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40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7DB7513E"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50</w:t>
            </w:r>
          </w:p>
        </w:tc>
      </w:tr>
      <w:tr w:rsidR="00CA7C54" w:rsidRPr="00CA7C54" w14:paraId="67D57411" w14:textId="77777777" w:rsidTr="002F5686">
        <w:trPr>
          <w:trHeight w:val="56"/>
        </w:trPr>
        <w:tc>
          <w:tcPr>
            <w:tcW w:w="1360" w:type="dxa"/>
            <w:vMerge/>
            <w:tcBorders>
              <w:top w:val="single" w:sz="4" w:space="0" w:color="000000"/>
              <w:left w:val="single" w:sz="4" w:space="0" w:color="000000"/>
            </w:tcBorders>
            <w:shd w:val="clear" w:color="auto" w:fill="auto"/>
          </w:tcPr>
          <w:p w14:paraId="3E1B53BF"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vMerge/>
            <w:tcBorders>
              <w:top w:val="single" w:sz="4" w:space="0" w:color="000000"/>
              <w:left w:val="single" w:sz="4" w:space="0" w:color="000000"/>
            </w:tcBorders>
            <w:shd w:val="clear" w:color="auto" w:fill="auto"/>
          </w:tcPr>
          <w:p w14:paraId="39689716"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567" w:type="dxa"/>
            <w:vMerge/>
            <w:tcBorders>
              <w:top w:val="single" w:sz="4" w:space="0" w:color="000000"/>
              <w:left w:val="single" w:sz="4" w:space="0" w:color="000000"/>
              <w:right w:val="single" w:sz="4" w:space="0" w:color="000000"/>
            </w:tcBorders>
          </w:tcPr>
          <w:p w14:paraId="7C78F284"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7043" w:type="dxa"/>
            <w:gridSpan w:val="10"/>
            <w:tcBorders>
              <w:top w:val="single" w:sz="4" w:space="0" w:color="000000"/>
              <w:left w:val="single" w:sz="4" w:space="0" w:color="000000"/>
              <w:bottom w:val="single" w:sz="4" w:space="0" w:color="000000"/>
              <w:right w:val="single" w:sz="4" w:space="0" w:color="000000"/>
            </w:tcBorders>
            <w:shd w:val="clear" w:color="auto" w:fill="auto"/>
          </w:tcPr>
          <w:p w14:paraId="46FCB5C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color w:val="000000" w:themeColor="text1"/>
                <w:sz w:val="21"/>
                <w:szCs w:val="21"/>
              </w:rPr>
              <w:t>Коефіцієнт  К</w:t>
            </w:r>
            <w:r w:rsidRPr="00CA7C54">
              <w:rPr>
                <w:rFonts w:ascii="Arial" w:eastAsia="Arial" w:hAnsi="Arial" w:cs="Arial"/>
                <w:color w:val="000000" w:themeColor="text1"/>
                <w:sz w:val="21"/>
                <w:szCs w:val="21"/>
                <w:vertAlign w:val="subscript"/>
              </w:rPr>
              <w:t>буд</w:t>
            </w:r>
          </w:p>
        </w:tc>
      </w:tr>
      <w:tr w:rsidR="00CA7C54" w:rsidRPr="00CA7C54" w14:paraId="336E4CA6" w14:textId="77777777" w:rsidTr="002F5686">
        <w:trPr>
          <w:trHeight w:val="79"/>
          <w:tblHeader/>
        </w:trPr>
        <w:tc>
          <w:tcPr>
            <w:tcW w:w="1360" w:type="dxa"/>
            <w:vMerge w:val="restart"/>
            <w:tcBorders>
              <w:top w:val="single" w:sz="4" w:space="0" w:color="000000"/>
              <w:left w:val="single" w:sz="4" w:space="0" w:color="000000"/>
            </w:tcBorders>
            <w:shd w:val="clear" w:color="auto" w:fill="auto"/>
            <w:vAlign w:val="center"/>
          </w:tcPr>
          <w:p w14:paraId="02D2B0E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Цегляна кладка (щільність: </w:t>
            </w:r>
          </w:p>
          <w:p w14:paraId="67D96A01" w14:textId="77777777" w:rsidR="003C4E04" w:rsidRPr="00CA7C54" w:rsidRDefault="00DC31F3"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6"/>
                <w:id w:val="-1546984053"/>
              </w:sdtPr>
              <w:sdtEndPr/>
              <w:sdtContent>
                <w:r w:rsidR="001E748C" w:rsidRPr="00CA7C54">
                  <w:rPr>
                    <w:rFonts w:ascii="Arial" w:eastAsia="Arial Unicode MS" w:hAnsi="Arial" w:cs="Arial"/>
                    <w:color w:val="000000" w:themeColor="text1"/>
                    <w:sz w:val="21"/>
                    <w:szCs w:val="21"/>
                  </w:rPr>
                  <w:t>ρ ≥ 1500 кг/м</w:t>
                </w:r>
              </w:sdtContent>
            </w:sdt>
            <w:r w:rsidR="001E748C" w:rsidRPr="00CA7C54">
              <w:rPr>
                <w:rFonts w:ascii="Arial" w:eastAsia="Arial" w:hAnsi="Arial" w:cs="Arial"/>
                <w:color w:val="000000" w:themeColor="text1"/>
                <w:sz w:val="21"/>
                <w:szCs w:val="21"/>
                <w:vertAlign w:val="superscript"/>
              </w:rPr>
              <w:t>3</w:t>
            </w:r>
            <w:r w:rsidR="001E748C" w:rsidRPr="00CA7C54">
              <w:rPr>
                <w:rFonts w:ascii="Arial" w:eastAsia="Arial" w:hAnsi="Arial" w:cs="Arial"/>
                <w:color w:val="000000" w:themeColor="text1"/>
                <w:sz w:val="21"/>
                <w:szCs w:val="21"/>
              </w:rPr>
              <w:t>)</w:t>
            </w:r>
          </w:p>
        </w:tc>
        <w:tc>
          <w:tcPr>
            <w:tcW w:w="1045" w:type="dxa"/>
            <w:tcBorders>
              <w:top w:val="single" w:sz="4" w:space="0" w:color="000000"/>
              <w:left w:val="single" w:sz="4" w:space="0" w:color="000000"/>
            </w:tcBorders>
            <w:shd w:val="clear" w:color="auto" w:fill="auto"/>
          </w:tcPr>
          <w:p w14:paraId="1AC48B4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567" w:type="dxa"/>
            <w:tcBorders>
              <w:top w:val="single" w:sz="4" w:space="0" w:color="000000"/>
              <w:left w:val="single" w:sz="4" w:space="0" w:color="000000"/>
              <w:right w:val="single" w:sz="4" w:space="0" w:color="000000"/>
            </w:tcBorders>
            <w:vAlign w:val="center"/>
          </w:tcPr>
          <w:p w14:paraId="011FBDE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375</w:t>
            </w:r>
          </w:p>
        </w:tc>
        <w:tc>
          <w:tcPr>
            <w:tcW w:w="637" w:type="dxa"/>
            <w:tcBorders>
              <w:top w:val="single" w:sz="4" w:space="0" w:color="000000"/>
              <w:left w:val="single" w:sz="4" w:space="0" w:color="000000"/>
            </w:tcBorders>
            <w:shd w:val="clear" w:color="auto" w:fill="auto"/>
          </w:tcPr>
          <w:p w14:paraId="39C5B0C5" w14:textId="77777777" w:rsidR="003C4E04" w:rsidRPr="00CA7C54" w:rsidRDefault="001E748C" w:rsidP="003B320F">
            <w:pPr>
              <w:pBdr>
                <w:top w:val="nil"/>
                <w:left w:val="nil"/>
                <w:bottom w:val="nil"/>
                <w:right w:val="nil"/>
                <w:between w:val="nil"/>
              </w:pBdr>
              <w:spacing w:before="0" w:line="288" w:lineRule="auto"/>
              <w:ind w:right="-86"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0,195</w:t>
            </w:r>
          </w:p>
        </w:tc>
        <w:tc>
          <w:tcPr>
            <w:tcW w:w="717" w:type="dxa"/>
            <w:tcBorders>
              <w:top w:val="single" w:sz="4" w:space="0" w:color="000000"/>
              <w:left w:val="single" w:sz="4" w:space="0" w:color="000000"/>
            </w:tcBorders>
            <w:shd w:val="clear" w:color="auto" w:fill="auto"/>
          </w:tcPr>
          <w:p w14:paraId="701B4B9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0,28</w:t>
            </w:r>
          </w:p>
        </w:tc>
        <w:tc>
          <w:tcPr>
            <w:tcW w:w="717" w:type="dxa"/>
            <w:tcBorders>
              <w:top w:val="single" w:sz="4" w:space="0" w:color="000000"/>
              <w:left w:val="single" w:sz="4" w:space="0" w:color="000000"/>
            </w:tcBorders>
            <w:shd w:val="clear" w:color="auto" w:fill="auto"/>
          </w:tcPr>
          <w:p w14:paraId="622F8C8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0,39</w:t>
            </w:r>
          </w:p>
        </w:tc>
        <w:tc>
          <w:tcPr>
            <w:tcW w:w="717" w:type="dxa"/>
            <w:tcBorders>
              <w:top w:val="single" w:sz="4" w:space="0" w:color="000000"/>
              <w:left w:val="single" w:sz="4" w:space="0" w:color="000000"/>
            </w:tcBorders>
            <w:shd w:val="clear" w:color="auto" w:fill="auto"/>
          </w:tcPr>
          <w:p w14:paraId="552E615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0,53</w:t>
            </w:r>
          </w:p>
        </w:tc>
        <w:tc>
          <w:tcPr>
            <w:tcW w:w="713" w:type="dxa"/>
            <w:tcBorders>
              <w:top w:val="single" w:sz="4" w:space="0" w:color="000000"/>
              <w:left w:val="single" w:sz="4" w:space="0" w:color="000000"/>
            </w:tcBorders>
            <w:shd w:val="clear" w:color="auto" w:fill="auto"/>
          </w:tcPr>
          <w:p w14:paraId="6F58578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0,54</w:t>
            </w:r>
          </w:p>
        </w:tc>
        <w:tc>
          <w:tcPr>
            <w:tcW w:w="636" w:type="dxa"/>
            <w:tcBorders>
              <w:top w:val="single" w:sz="4" w:space="0" w:color="000000"/>
              <w:left w:val="single" w:sz="4" w:space="0" w:color="000000"/>
            </w:tcBorders>
            <w:shd w:val="clear" w:color="auto" w:fill="auto"/>
          </w:tcPr>
          <w:p w14:paraId="2B2401C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0,23</w:t>
            </w:r>
          </w:p>
        </w:tc>
        <w:tc>
          <w:tcPr>
            <w:tcW w:w="717" w:type="dxa"/>
            <w:tcBorders>
              <w:top w:val="single" w:sz="4" w:space="0" w:color="000000"/>
              <w:left w:val="single" w:sz="4" w:space="0" w:color="000000"/>
            </w:tcBorders>
            <w:shd w:val="clear" w:color="auto" w:fill="auto"/>
          </w:tcPr>
          <w:p w14:paraId="1F663B9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0,32</w:t>
            </w:r>
          </w:p>
        </w:tc>
        <w:tc>
          <w:tcPr>
            <w:tcW w:w="733" w:type="dxa"/>
            <w:tcBorders>
              <w:top w:val="single" w:sz="4" w:space="0" w:color="000000"/>
              <w:left w:val="single" w:sz="4" w:space="0" w:color="000000"/>
            </w:tcBorders>
            <w:shd w:val="clear" w:color="auto" w:fill="auto"/>
          </w:tcPr>
          <w:p w14:paraId="3008DE1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0,33</w:t>
            </w:r>
          </w:p>
        </w:tc>
        <w:tc>
          <w:tcPr>
            <w:tcW w:w="717" w:type="dxa"/>
            <w:tcBorders>
              <w:top w:val="single" w:sz="4" w:space="0" w:color="000000"/>
              <w:left w:val="single" w:sz="4" w:space="0" w:color="000000"/>
            </w:tcBorders>
            <w:shd w:val="clear" w:color="auto" w:fill="auto"/>
          </w:tcPr>
          <w:p w14:paraId="5F3C976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0,37</w:t>
            </w:r>
          </w:p>
        </w:tc>
        <w:tc>
          <w:tcPr>
            <w:tcW w:w="739" w:type="dxa"/>
            <w:tcBorders>
              <w:top w:val="single" w:sz="4" w:space="0" w:color="000000"/>
              <w:left w:val="single" w:sz="4" w:space="0" w:color="000000"/>
              <w:right w:val="single" w:sz="4" w:space="0" w:color="000000"/>
            </w:tcBorders>
            <w:shd w:val="clear" w:color="auto" w:fill="auto"/>
          </w:tcPr>
          <w:p w14:paraId="3288569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0,44</w:t>
            </w:r>
          </w:p>
        </w:tc>
      </w:tr>
      <w:tr w:rsidR="00CA7C54" w:rsidRPr="00CA7C54" w14:paraId="317A5E58" w14:textId="77777777" w:rsidTr="002F5686">
        <w:trPr>
          <w:trHeight w:val="284"/>
        </w:trPr>
        <w:tc>
          <w:tcPr>
            <w:tcW w:w="1360" w:type="dxa"/>
            <w:vMerge/>
            <w:tcBorders>
              <w:top w:val="single" w:sz="4" w:space="0" w:color="000000"/>
              <w:left w:val="single" w:sz="4" w:space="0" w:color="000000"/>
            </w:tcBorders>
            <w:shd w:val="clear" w:color="auto" w:fill="auto"/>
            <w:vAlign w:val="center"/>
          </w:tcPr>
          <w:p w14:paraId="297F50D3"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144C844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567" w:type="dxa"/>
            <w:tcBorders>
              <w:top w:val="single" w:sz="4" w:space="0" w:color="000000"/>
              <w:left w:val="single" w:sz="4" w:space="0" w:color="000000"/>
              <w:bottom w:val="single" w:sz="4" w:space="0" w:color="000000"/>
              <w:right w:val="single" w:sz="4" w:space="0" w:color="000000"/>
            </w:tcBorders>
            <w:vAlign w:val="center"/>
          </w:tcPr>
          <w:p w14:paraId="567C22B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570</w:t>
            </w:r>
          </w:p>
        </w:tc>
        <w:tc>
          <w:tcPr>
            <w:tcW w:w="637" w:type="dxa"/>
            <w:tcBorders>
              <w:top w:val="single" w:sz="4" w:space="0" w:color="000000"/>
              <w:left w:val="single" w:sz="4" w:space="0" w:color="000000"/>
              <w:bottom w:val="single" w:sz="4" w:space="0" w:color="000000"/>
            </w:tcBorders>
            <w:shd w:val="clear" w:color="auto" w:fill="auto"/>
            <w:vAlign w:val="center"/>
          </w:tcPr>
          <w:p w14:paraId="734B93E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0,16</w:t>
            </w:r>
          </w:p>
        </w:tc>
        <w:tc>
          <w:tcPr>
            <w:tcW w:w="717" w:type="dxa"/>
            <w:tcBorders>
              <w:top w:val="single" w:sz="4" w:space="0" w:color="000000"/>
              <w:left w:val="single" w:sz="4" w:space="0" w:color="000000"/>
              <w:bottom w:val="single" w:sz="4" w:space="0" w:color="000000"/>
            </w:tcBorders>
            <w:shd w:val="clear" w:color="auto" w:fill="auto"/>
            <w:vAlign w:val="center"/>
          </w:tcPr>
          <w:p w14:paraId="3576CAB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0,27</w:t>
            </w:r>
          </w:p>
        </w:tc>
        <w:tc>
          <w:tcPr>
            <w:tcW w:w="717" w:type="dxa"/>
            <w:tcBorders>
              <w:top w:val="single" w:sz="4" w:space="0" w:color="000000"/>
              <w:left w:val="single" w:sz="4" w:space="0" w:color="000000"/>
              <w:bottom w:val="single" w:sz="4" w:space="0" w:color="000000"/>
            </w:tcBorders>
            <w:shd w:val="clear" w:color="auto" w:fill="auto"/>
            <w:vAlign w:val="center"/>
          </w:tcPr>
          <w:p w14:paraId="294B52E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717" w:type="dxa"/>
            <w:tcBorders>
              <w:top w:val="single" w:sz="4" w:space="0" w:color="000000"/>
              <w:left w:val="single" w:sz="4" w:space="0" w:color="000000"/>
              <w:bottom w:val="single" w:sz="4" w:space="0" w:color="000000"/>
            </w:tcBorders>
            <w:shd w:val="clear" w:color="auto" w:fill="auto"/>
            <w:vAlign w:val="center"/>
          </w:tcPr>
          <w:p w14:paraId="49B836E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0,50</w:t>
            </w:r>
          </w:p>
        </w:tc>
        <w:tc>
          <w:tcPr>
            <w:tcW w:w="713" w:type="dxa"/>
            <w:tcBorders>
              <w:top w:val="single" w:sz="4" w:space="0" w:color="000000"/>
              <w:left w:val="single" w:sz="4" w:space="0" w:color="000000"/>
              <w:bottom w:val="single" w:sz="4" w:space="0" w:color="000000"/>
            </w:tcBorders>
            <w:shd w:val="clear" w:color="auto" w:fill="auto"/>
            <w:vAlign w:val="center"/>
          </w:tcPr>
          <w:p w14:paraId="3B1EB3E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0,52</w:t>
            </w:r>
          </w:p>
        </w:tc>
        <w:tc>
          <w:tcPr>
            <w:tcW w:w="636" w:type="dxa"/>
            <w:tcBorders>
              <w:top w:val="single" w:sz="4" w:space="0" w:color="000000"/>
              <w:left w:val="single" w:sz="4" w:space="0" w:color="000000"/>
              <w:bottom w:val="single" w:sz="4" w:space="0" w:color="000000"/>
            </w:tcBorders>
            <w:shd w:val="clear" w:color="auto" w:fill="auto"/>
            <w:vAlign w:val="center"/>
          </w:tcPr>
          <w:p w14:paraId="23E86E0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0,18</w:t>
            </w:r>
          </w:p>
        </w:tc>
        <w:tc>
          <w:tcPr>
            <w:tcW w:w="717" w:type="dxa"/>
            <w:tcBorders>
              <w:top w:val="single" w:sz="4" w:space="0" w:color="000000"/>
              <w:left w:val="single" w:sz="4" w:space="0" w:color="000000"/>
              <w:bottom w:val="single" w:sz="4" w:space="0" w:color="000000"/>
            </w:tcBorders>
            <w:shd w:val="clear" w:color="auto" w:fill="auto"/>
            <w:vAlign w:val="center"/>
          </w:tcPr>
          <w:p w14:paraId="26D2A6F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0,26</w:t>
            </w:r>
          </w:p>
        </w:tc>
        <w:tc>
          <w:tcPr>
            <w:tcW w:w="733" w:type="dxa"/>
            <w:tcBorders>
              <w:top w:val="single" w:sz="4" w:space="0" w:color="000000"/>
              <w:left w:val="single" w:sz="4" w:space="0" w:color="000000"/>
              <w:bottom w:val="single" w:sz="4" w:space="0" w:color="000000"/>
            </w:tcBorders>
            <w:shd w:val="clear" w:color="auto" w:fill="auto"/>
            <w:vAlign w:val="center"/>
          </w:tcPr>
          <w:p w14:paraId="7A5D0F9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0,28</w:t>
            </w:r>
          </w:p>
        </w:tc>
        <w:tc>
          <w:tcPr>
            <w:tcW w:w="717" w:type="dxa"/>
            <w:tcBorders>
              <w:top w:val="single" w:sz="4" w:space="0" w:color="000000"/>
              <w:left w:val="single" w:sz="4" w:space="0" w:color="000000"/>
              <w:bottom w:val="single" w:sz="4" w:space="0" w:color="000000"/>
            </w:tcBorders>
            <w:shd w:val="clear" w:color="auto" w:fill="auto"/>
            <w:vAlign w:val="center"/>
          </w:tcPr>
          <w:p w14:paraId="5F2B682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0,32</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83DD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0,41</w:t>
            </w:r>
          </w:p>
        </w:tc>
      </w:tr>
      <w:tr w:rsidR="00CA7C54" w:rsidRPr="00CA7C54" w14:paraId="249B6CAF" w14:textId="77777777" w:rsidTr="002F5686">
        <w:trPr>
          <w:trHeight w:val="284"/>
        </w:trPr>
        <w:tc>
          <w:tcPr>
            <w:tcW w:w="1360" w:type="dxa"/>
            <w:vMerge/>
            <w:tcBorders>
              <w:top w:val="single" w:sz="4" w:space="0" w:color="000000"/>
              <w:left w:val="single" w:sz="4" w:space="0" w:color="000000"/>
            </w:tcBorders>
            <w:shd w:val="clear" w:color="auto" w:fill="auto"/>
            <w:vAlign w:val="center"/>
          </w:tcPr>
          <w:p w14:paraId="3E8210A3"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1EC51FA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51</w:t>
            </w:r>
          </w:p>
        </w:tc>
        <w:tc>
          <w:tcPr>
            <w:tcW w:w="567" w:type="dxa"/>
            <w:tcBorders>
              <w:top w:val="single" w:sz="4" w:space="0" w:color="000000"/>
              <w:left w:val="single" w:sz="4" w:space="0" w:color="000000"/>
              <w:bottom w:val="single" w:sz="4" w:space="0" w:color="000000"/>
              <w:right w:val="single" w:sz="4" w:space="0" w:color="000000"/>
            </w:tcBorders>
            <w:vAlign w:val="center"/>
          </w:tcPr>
          <w:p w14:paraId="0B5CD6E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768</w:t>
            </w:r>
          </w:p>
        </w:tc>
        <w:tc>
          <w:tcPr>
            <w:tcW w:w="637" w:type="dxa"/>
            <w:tcBorders>
              <w:top w:val="single" w:sz="4" w:space="0" w:color="000000"/>
              <w:left w:val="single" w:sz="4" w:space="0" w:color="000000"/>
              <w:bottom w:val="single" w:sz="4" w:space="0" w:color="000000"/>
            </w:tcBorders>
            <w:shd w:val="clear" w:color="auto" w:fill="auto"/>
            <w:vAlign w:val="center"/>
          </w:tcPr>
          <w:p w14:paraId="03AC8E4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0,125</w:t>
            </w:r>
          </w:p>
        </w:tc>
        <w:tc>
          <w:tcPr>
            <w:tcW w:w="717" w:type="dxa"/>
            <w:tcBorders>
              <w:top w:val="single" w:sz="4" w:space="0" w:color="000000"/>
              <w:left w:val="single" w:sz="4" w:space="0" w:color="000000"/>
              <w:bottom w:val="single" w:sz="4" w:space="0" w:color="000000"/>
            </w:tcBorders>
            <w:shd w:val="clear" w:color="auto" w:fill="auto"/>
            <w:vAlign w:val="center"/>
          </w:tcPr>
          <w:p w14:paraId="0DDBA63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0,26</w:t>
            </w:r>
          </w:p>
        </w:tc>
        <w:tc>
          <w:tcPr>
            <w:tcW w:w="717" w:type="dxa"/>
            <w:tcBorders>
              <w:top w:val="single" w:sz="4" w:space="0" w:color="000000"/>
              <w:left w:val="single" w:sz="4" w:space="0" w:color="000000"/>
              <w:bottom w:val="single" w:sz="4" w:space="0" w:color="000000"/>
            </w:tcBorders>
            <w:shd w:val="clear" w:color="auto" w:fill="auto"/>
            <w:vAlign w:val="center"/>
          </w:tcPr>
          <w:p w14:paraId="3E83829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0,37</w:t>
            </w:r>
          </w:p>
        </w:tc>
        <w:tc>
          <w:tcPr>
            <w:tcW w:w="717" w:type="dxa"/>
            <w:tcBorders>
              <w:top w:val="single" w:sz="4" w:space="0" w:color="000000"/>
              <w:left w:val="single" w:sz="4" w:space="0" w:color="000000"/>
              <w:bottom w:val="single" w:sz="4" w:space="0" w:color="000000"/>
            </w:tcBorders>
            <w:shd w:val="clear" w:color="auto" w:fill="auto"/>
            <w:vAlign w:val="center"/>
          </w:tcPr>
          <w:p w14:paraId="5634A33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0,47</w:t>
            </w:r>
          </w:p>
        </w:tc>
        <w:tc>
          <w:tcPr>
            <w:tcW w:w="713" w:type="dxa"/>
            <w:tcBorders>
              <w:top w:val="single" w:sz="4" w:space="0" w:color="000000"/>
              <w:left w:val="single" w:sz="4" w:space="0" w:color="000000"/>
              <w:bottom w:val="single" w:sz="4" w:space="0" w:color="000000"/>
            </w:tcBorders>
            <w:shd w:val="clear" w:color="auto" w:fill="auto"/>
            <w:vAlign w:val="center"/>
          </w:tcPr>
          <w:p w14:paraId="3C65FA6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0,50</w:t>
            </w:r>
          </w:p>
        </w:tc>
        <w:tc>
          <w:tcPr>
            <w:tcW w:w="636" w:type="dxa"/>
            <w:tcBorders>
              <w:top w:val="single" w:sz="4" w:space="0" w:color="000000"/>
              <w:left w:val="single" w:sz="4" w:space="0" w:color="000000"/>
              <w:bottom w:val="single" w:sz="4" w:space="0" w:color="000000"/>
            </w:tcBorders>
            <w:shd w:val="clear" w:color="auto" w:fill="auto"/>
            <w:vAlign w:val="center"/>
          </w:tcPr>
          <w:p w14:paraId="2F4311B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0,13</w:t>
            </w:r>
          </w:p>
        </w:tc>
        <w:tc>
          <w:tcPr>
            <w:tcW w:w="717" w:type="dxa"/>
            <w:tcBorders>
              <w:top w:val="single" w:sz="4" w:space="0" w:color="000000"/>
              <w:left w:val="single" w:sz="4" w:space="0" w:color="000000"/>
              <w:bottom w:val="single" w:sz="4" w:space="0" w:color="000000"/>
            </w:tcBorders>
            <w:shd w:val="clear" w:color="auto" w:fill="auto"/>
            <w:vAlign w:val="center"/>
          </w:tcPr>
          <w:p w14:paraId="3B0B4EF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0,20</w:t>
            </w:r>
          </w:p>
        </w:tc>
        <w:tc>
          <w:tcPr>
            <w:tcW w:w="733" w:type="dxa"/>
            <w:tcBorders>
              <w:top w:val="single" w:sz="4" w:space="0" w:color="000000"/>
              <w:left w:val="single" w:sz="4" w:space="0" w:color="000000"/>
              <w:bottom w:val="single" w:sz="4" w:space="0" w:color="000000"/>
            </w:tcBorders>
            <w:shd w:val="clear" w:color="auto" w:fill="auto"/>
            <w:vAlign w:val="center"/>
          </w:tcPr>
          <w:p w14:paraId="3BE1C12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0,23</w:t>
            </w:r>
          </w:p>
        </w:tc>
        <w:tc>
          <w:tcPr>
            <w:tcW w:w="717" w:type="dxa"/>
            <w:tcBorders>
              <w:top w:val="single" w:sz="4" w:space="0" w:color="000000"/>
              <w:left w:val="single" w:sz="4" w:space="0" w:color="000000"/>
              <w:bottom w:val="single" w:sz="4" w:space="0" w:color="000000"/>
            </w:tcBorders>
            <w:shd w:val="clear" w:color="auto" w:fill="auto"/>
            <w:vAlign w:val="center"/>
          </w:tcPr>
          <w:p w14:paraId="5EBD054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0,27</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099D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r>
      <w:tr w:rsidR="00CA7C54" w:rsidRPr="00CA7C54" w14:paraId="603FFC57" w14:textId="77777777" w:rsidTr="002F5686">
        <w:trPr>
          <w:trHeight w:val="284"/>
        </w:trPr>
        <w:tc>
          <w:tcPr>
            <w:tcW w:w="1360" w:type="dxa"/>
            <w:vMerge/>
            <w:tcBorders>
              <w:top w:val="single" w:sz="4" w:space="0" w:color="000000"/>
              <w:left w:val="single" w:sz="4" w:space="0" w:color="000000"/>
            </w:tcBorders>
            <w:shd w:val="clear" w:color="auto" w:fill="auto"/>
            <w:vAlign w:val="center"/>
          </w:tcPr>
          <w:p w14:paraId="79A52E4B"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50EDE05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64</w:t>
            </w:r>
          </w:p>
        </w:tc>
        <w:tc>
          <w:tcPr>
            <w:tcW w:w="567" w:type="dxa"/>
            <w:tcBorders>
              <w:top w:val="single" w:sz="4" w:space="0" w:color="000000"/>
              <w:left w:val="single" w:sz="4" w:space="0" w:color="000000"/>
              <w:bottom w:val="single" w:sz="4" w:space="0" w:color="000000"/>
              <w:right w:val="single" w:sz="4" w:space="0" w:color="000000"/>
            </w:tcBorders>
            <w:vAlign w:val="center"/>
          </w:tcPr>
          <w:p w14:paraId="50C4556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960</w:t>
            </w:r>
          </w:p>
        </w:tc>
        <w:tc>
          <w:tcPr>
            <w:tcW w:w="637" w:type="dxa"/>
            <w:tcBorders>
              <w:top w:val="single" w:sz="4" w:space="0" w:color="000000"/>
              <w:left w:val="single" w:sz="4" w:space="0" w:color="000000"/>
              <w:bottom w:val="single" w:sz="4" w:space="0" w:color="000000"/>
            </w:tcBorders>
            <w:shd w:val="clear" w:color="auto" w:fill="auto"/>
            <w:vAlign w:val="center"/>
          </w:tcPr>
          <w:p w14:paraId="170E1F0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0,10</w:t>
            </w:r>
          </w:p>
        </w:tc>
        <w:tc>
          <w:tcPr>
            <w:tcW w:w="717" w:type="dxa"/>
            <w:tcBorders>
              <w:top w:val="single" w:sz="4" w:space="0" w:color="000000"/>
              <w:left w:val="single" w:sz="4" w:space="0" w:color="000000"/>
              <w:bottom w:val="single" w:sz="4" w:space="0" w:color="000000"/>
            </w:tcBorders>
            <w:shd w:val="clear" w:color="auto" w:fill="auto"/>
            <w:vAlign w:val="center"/>
          </w:tcPr>
          <w:p w14:paraId="13C9F12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0,25</w:t>
            </w:r>
          </w:p>
        </w:tc>
        <w:tc>
          <w:tcPr>
            <w:tcW w:w="717" w:type="dxa"/>
            <w:tcBorders>
              <w:top w:val="single" w:sz="4" w:space="0" w:color="000000"/>
              <w:left w:val="single" w:sz="4" w:space="0" w:color="000000"/>
              <w:bottom w:val="single" w:sz="4" w:space="0" w:color="000000"/>
            </w:tcBorders>
            <w:shd w:val="clear" w:color="auto" w:fill="auto"/>
            <w:vAlign w:val="center"/>
          </w:tcPr>
          <w:p w14:paraId="4534CD7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w:t>
            </w:r>
          </w:p>
        </w:tc>
        <w:tc>
          <w:tcPr>
            <w:tcW w:w="717" w:type="dxa"/>
            <w:tcBorders>
              <w:top w:val="single" w:sz="4" w:space="0" w:color="000000"/>
              <w:left w:val="single" w:sz="4" w:space="0" w:color="000000"/>
              <w:bottom w:val="single" w:sz="4" w:space="0" w:color="000000"/>
            </w:tcBorders>
            <w:shd w:val="clear" w:color="auto" w:fill="auto"/>
            <w:vAlign w:val="center"/>
          </w:tcPr>
          <w:p w14:paraId="15BC255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w:t>
            </w:r>
          </w:p>
        </w:tc>
        <w:tc>
          <w:tcPr>
            <w:tcW w:w="713" w:type="dxa"/>
            <w:tcBorders>
              <w:top w:val="single" w:sz="4" w:space="0" w:color="000000"/>
              <w:left w:val="single" w:sz="4" w:space="0" w:color="000000"/>
              <w:bottom w:val="single" w:sz="4" w:space="0" w:color="000000"/>
            </w:tcBorders>
            <w:shd w:val="clear" w:color="auto" w:fill="auto"/>
            <w:vAlign w:val="center"/>
          </w:tcPr>
          <w:p w14:paraId="6DF0D71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0,47</w:t>
            </w:r>
          </w:p>
        </w:tc>
        <w:tc>
          <w:tcPr>
            <w:tcW w:w="636" w:type="dxa"/>
            <w:tcBorders>
              <w:top w:val="single" w:sz="4" w:space="0" w:color="000000"/>
              <w:left w:val="single" w:sz="4" w:space="0" w:color="000000"/>
              <w:bottom w:val="single" w:sz="4" w:space="0" w:color="000000"/>
            </w:tcBorders>
            <w:shd w:val="clear" w:color="auto" w:fill="auto"/>
            <w:vAlign w:val="center"/>
          </w:tcPr>
          <w:p w14:paraId="4B78637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0,10</w:t>
            </w:r>
          </w:p>
        </w:tc>
        <w:tc>
          <w:tcPr>
            <w:tcW w:w="717" w:type="dxa"/>
            <w:tcBorders>
              <w:top w:val="single" w:sz="4" w:space="0" w:color="000000"/>
              <w:left w:val="single" w:sz="4" w:space="0" w:color="000000"/>
              <w:bottom w:val="single" w:sz="4" w:space="0" w:color="000000"/>
            </w:tcBorders>
            <w:shd w:val="clear" w:color="auto" w:fill="auto"/>
            <w:vAlign w:val="center"/>
          </w:tcPr>
          <w:p w14:paraId="648C016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0,18</w:t>
            </w:r>
          </w:p>
        </w:tc>
        <w:tc>
          <w:tcPr>
            <w:tcW w:w="733" w:type="dxa"/>
            <w:tcBorders>
              <w:top w:val="single" w:sz="4" w:space="0" w:color="000000"/>
              <w:left w:val="single" w:sz="4" w:space="0" w:color="000000"/>
              <w:bottom w:val="single" w:sz="4" w:space="0" w:color="000000"/>
            </w:tcBorders>
            <w:shd w:val="clear" w:color="auto" w:fill="auto"/>
            <w:vAlign w:val="center"/>
          </w:tcPr>
          <w:p w14:paraId="6A1DAE7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0,21</w:t>
            </w:r>
          </w:p>
        </w:tc>
        <w:tc>
          <w:tcPr>
            <w:tcW w:w="717" w:type="dxa"/>
            <w:tcBorders>
              <w:top w:val="single" w:sz="4" w:space="0" w:color="000000"/>
              <w:left w:val="single" w:sz="4" w:space="0" w:color="000000"/>
              <w:bottom w:val="single" w:sz="4" w:space="0" w:color="000000"/>
            </w:tcBorders>
            <w:shd w:val="clear" w:color="auto" w:fill="auto"/>
            <w:vAlign w:val="center"/>
          </w:tcPr>
          <w:p w14:paraId="0FBB0F5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0,25</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7EC4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0,35</w:t>
            </w:r>
          </w:p>
        </w:tc>
      </w:tr>
      <w:tr w:rsidR="00CA7C54" w:rsidRPr="00CA7C54" w14:paraId="06BA986E" w14:textId="77777777" w:rsidTr="002F5686">
        <w:trPr>
          <w:trHeight w:val="340"/>
        </w:trPr>
        <w:tc>
          <w:tcPr>
            <w:tcW w:w="1360" w:type="dxa"/>
            <w:vMerge w:val="restart"/>
            <w:tcBorders>
              <w:top w:val="single" w:sz="4" w:space="0" w:color="000000"/>
              <w:left w:val="single" w:sz="4" w:space="0" w:color="000000"/>
              <w:bottom w:val="single" w:sz="4" w:space="0" w:color="000000"/>
            </w:tcBorders>
            <w:shd w:val="clear" w:color="auto" w:fill="auto"/>
            <w:vAlign w:val="center"/>
          </w:tcPr>
          <w:p w14:paraId="11C0775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Легкий бетон</w:t>
            </w:r>
          </w:p>
          <w:p w14:paraId="1FAE0C8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(щільність: </w:t>
            </w:r>
          </w:p>
          <w:p w14:paraId="7322A5E6" w14:textId="77777777" w:rsidR="003C4E04" w:rsidRPr="00CA7C54" w:rsidRDefault="00DC31F3"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7"/>
                <w:id w:val="2003999628"/>
              </w:sdtPr>
              <w:sdtEndPr/>
              <w:sdtContent>
                <w:r w:rsidR="001E748C" w:rsidRPr="00CA7C54">
                  <w:rPr>
                    <w:rFonts w:ascii="Arial" w:eastAsia="Arial Unicode MS" w:hAnsi="Arial" w:cs="Arial"/>
                    <w:color w:val="000000" w:themeColor="text1"/>
                    <w:sz w:val="21"/>
                    <w:szCs w:val="21"/>
                  </w:rPr>
                  <w:t>ρ ≥ 1800 кг/м</w:t>
                </w:r>
              </w:sdtContent>
            </w:sdt>
            <w:r w:rsidR="001E748C" w:rsidRPr="00CA7C54">
              <w:rPr>
                <w:rFonts w:ascii="Arial" w:eastAsia="Arial" w:hAnsi="Arial" w:cs="Arial"/>
                <w:color w:val="000000" w:themeColor="text1"/>
                <w:sz w:val="21"/>
                <w:szCs w:val="21"/>
                <w:vertAlign w:val="superscript"/>
              </w:rPr>
              <w:t>3</w:t>
            </w:r>
            <w:r w:rsidR="001E748C" w:rsidRPr="00CA7C54">
              <w:rPr>
                <w:rFonts w:ascii="Arial" w:eastAsia="Arial" w:hAnsi="Arial" w:cs="Arial"/>
                <w:color w:val="000000" w:themeColor="text1"/>
                <w:sz w:val="21"/>
                <w:szCs w:val="21"/>
              </w:rPr>
              <w:t>)</w:t>
            </w:r>
          </w:p>
        </w:tc>
        <w:tc>
          <w:tcPr>
            <w:tcW w:w="1045" w:type="dxa"/>
            <w:tcBorders>
              <w:top w:val="single" w:sz="4" w:space="0" w:color="000000"/>
              <w:left w:val="single" w:sz="4" w:space="0" w:color="000000"/>
            </w:tcBorders>
            <w:shd w:val="clear" w:color="auto" w:fill="auto"/>
            <w:vAlign w:val="center"/>
          </w:tcPr>
          <w:p w14:paraId="13435E1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567" w:type="dxa"/>
            <w:tcBorders>
              <w:top w:val="single" w:sz="4" w:space="0" w:color="000000"/>
              <w:left w:val="single" w:sz="4" w:space="0" w:color="000000"/>
              <w:right w:val="single" w:sz="4" w:space="0" w:color="000000"/>
            </w:tcBorders>
            <w:vAlign w:val="center"/>
          </w:tcPr>
          <w:p w14:paraId="1A7E7E9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360</w:t>
            </w:r>
          </w:p>
        </w:tc>
        <w:tc>
          <w:tcPr>
            <w:tcW w:w="637" w:type="dxa"/>
            <w:tcBorders>
              <w:top w:val="single" w:sz="4" w:space="0" w:color="000000"/>
              <w:left w:val="single" w:sz="4" w:space="0" w:color="000000"/>
            </w:tcBorders>
            <w:shd w:val="clear" w:color="auto" w:fill="auto"/>
            <w:vAlign w:val="center"/>
          </w:tcPr>
          <w:p w14:paraId="01CB2A9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0,20</w:t>
            </w:r>
          </w:p>
        </w:tc>
        <w:tc>
          <w:tcPr>
            <w:tcW w:w="717" w:type="dxa"/>
            <w:tcBorders>
              <w:top w:val="single" w:sz="4" w:space="0" w:color="000000"/>
              <w:left w:val="single" w:sz="4" w:space="0" w:color="000000"/>
            </w:tcBorders>
            <w:shd w:val="clear" w:color="auto" w:fill="auto"/>
            <w:vAlign w:val="center"/>
          </w:tcPr>
          <w:p w14:paraId="6A2DC47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0,28</w:t>
            </w:r>
          </w:p>
        </w:tc>
        <w:tc>
          <w:tcPr>
            <w:tcW w:w="717" w:type="dxa"/>
            <w:tcBorders>
              <w:top w:val="single" w:sz="4" w:space="0" w:color="000000"/>
              <w:left w:val="single" w:sz="4" w:space="0" w:color="000000"/>
            </w:tcBorders>
            <w:shd w:val="clear" w:color="auto" w:fill="auto"/>
            <w:vAlign w:val="center"/>
          </w:tcPr>
          <w:p w14:paraId="78D7BCE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717" w:type="dxa"/>
            <w:tcBorders>
              <w:top w:val="single" w:sz="4" w:space="0" w:color="000000"/>
              <w:left w:val="single" w:sz="4" w:space="0" w:color="000000"/>
            </w:tcBorders>
            <w:shd w:val="clear" w:color="auto" w:fill="auto"/>
            <w:vAlign w:val="center"/>
          </w:tcPr>
          <w:p w14:paraId="07763A4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0,47</w:t>
            </w:r>
          </w:p>
        </w:tc>
        <w:tc>
          <w:tcPr>
            <w:tcW w:w="713" w:type="dxa"/>
            <w:tcBorders>
              <w:top w:val="single" w:sz="4" w:space="0" w:color="000000"/>
              <w:left w:val="single" w:sz="4" w:space="0" w:color="000000"/>
            </w:tcBorders>
            <w:shd w:val="clear" w:color="auto" w:fill="auto"/>
            <w:vAlign w:val="center"/>
          </w:tcPr>
          <w:p w14:paraId="5DA6087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0,58</w:t>
            </w:r>
          </w:p>
        </w:tc>
        <w:tc>
          <w:tcPr>
            <w:tcW w:w="636" w:type="dxa"/>
            <w:tcBorders>
              <w:top w:val="single" w:sz="4" w:space="0" w:color="000000"/>
              <w:left w:val="single" w:sz="4" w:space="0" w:color="000000"/>
            </w:tcBorders>
            <w:shd w:val="clear" w:color="auto" w:fill="auto"/>
            <w:vAlign w:val="center"/>
          </w:tcPr>
          <w:p w14:paraId="459F74D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0,50</w:t>
            </w:r>
          </w:p>
        </w:tc>
        <w:tc>
          <w:tcPr>
            <w:tcW w:w="717" w:type="dxa"/>
            <w:tcBorders>
              <w:top w:val="single" w:sz="4" w:space="0" w:color="000000"/>
              <w:left w:val="single" w:sz="4" w:space="0" w:color="000000"/>
            </w:tcBorders>
            <w:shd w:val="clear" w:color="auto" w:fill="auto"/>
            <w:vAlign w:val="center"/>
          </w:tcPr>
          <w:p w14:paraId="1151BA5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0,55</w:t>
            </w:r>
          </w:p>
        </w:tc>
        <w:tc>
          <w:tcPr>
            <w:tcW w:w="733" w:type="dxa"/>
            <w:tcBorders>
              <w:top w:val="single" w:sz="4" w:space="0" w:color="000000"/>
              <w:left w:val="single" w:sz="4" w:space="0" w:color="000000"/>
            </w:tcBorders>
            <w:shd w:val="clear" w:color="auto" w:fill="auto"/>
            <w:vAlign w:val="center"/>
          </w:tcPr>
          <w:p w14:paraId="07656BF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0,62</w:t>
            </w:r>
          </w:p>
        </w:tc>
        <w:tc>
          <w:tcPr>
            <w:tcW w:w="717" w:type="dxa"/>
            <w:tcBorders>
              <w:top w:val="single" w:sz="4" w:space="0" w:color="000000"/>
              <w:left w:val="single" w:sz="4" w:space="0" w:color="000000"/>
            </w:tcBorders>
            <w:shd w:val="clear" w:color="auto" w:fill="auto"/>
            <w:vAlign w:val="center"/>
          </w:tcPr>
          <w:p w14:paraId="58EC124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0,71</w:t>
            </w:r>
          </w:p>
        </w:tc>
        <w:tc>
          <w:tcPr>
            <w:tcW w:w="739" w:type="dxa"/>
            <w:tcBorders>
              <w:top w:val="single" w:sz="4" w:space="0" w:color="000000"/>
              <w:left w:val="single" w:sz="4" w:space="0" w:color="000000"/>
              <w:right w:val="single" w:sz="4" w:space="0" w:color="000000"/>
            </w:tcBorders>
            <w:shd w:val="clear" w:color="auto" w:fill="auto"/>
            <w:vAlign w:val="center"/>
          </w:tcPr>
          <w:p w14:paraId="73866AC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0,83</w:t>
            </w:r>
          </w:p>
        </w:tc>
      </w:tr>
      <w:tr w:rsidR="00CA7C54" w:rsidRPr="00CA7C54" w14:paraId="0FEE7914" w14:textId="77777777" w:rsidTr="002F5686">
        <w:trPr>
          <w:trHeight w:val="340"/>
        </w:trPr>
        <w:tc>
          <w:tcPr>
            <w:tcW w:w="1360" w:type="dxa"/>
            <w:vMerge/>
            <w:tcBorders>
              <w:top w:val="single" w:sz="4" w:space="0" w:color="000000"/>
              <w:left w:val="single" w:sz="4" w:space="0" w:color="000000"/>
              <w:bottom w:val="single" w:sz="4" w:space="0" w:color="000000"/>
            </w:tcBorders>
            <w:shd w:val="clear" w:color="auto" w:fill="auto"/>
            <w:vAlign w:val="center"/>
          </w:tcPr>
          <w:p w14:paraId="3F76627E"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3BAD4DE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567" w:type="dxa"/>
            <w:tcBorders>
              <w:top w:val="single" w:sz="4" w:space="0" w:color="000000"/>
              <w:left w:val="single" w:sz="4" w:space="0" w:color="000000"/>
              <w:bottom w:val="single" w:sz="4" w:space="0" w:color="000000"/>
              <w:right w:val="single" w:sz="4" w:space="0" w:color="000000"/>
            </w:tcBorders>
            <w:vAlign w:val="center"/>
          </w:tcPr>
          <w:p w14:paraId="0292270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540</w:t>
            </w:r>
          </w:p>
        </w:tc>
        <w:tc>
          <w:tcPr>
            <w:tcW w:w="637" w:type="dxa"/>
            <w:tcBorders>
              <w:top w:val="single" w:sz="4" w:space="0" w:color="000000"/>
              <w:left w:val="single" w:sz="4" w:space="0" w:color="000000"/>
              <w:bottom w:val="single" w:sz="4" w:space="0" w:color="000000"/>
            </w:tcBorders>
            <w:shd w:val="clear" w:color="auto" w:fill="auto"/>
            <w:vAlign w:val="center"/>
          </w:tcPr>
          <w:p w14:paraId="3BF0136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0,15</w:t>
            </w:r>
          </w:p>
        </w:tc>
        <w:tc>
          <w:tcPr>
            <w:tcW w:w="717" w:type="dxa"/>
            <w:tcBorders>
              <w:top w:val="single" w:sz="4" w:space="0" w:color="000000"/>
              <w:left w:val="single" w:sz="4" w:space="0" w:color="000000"/>
              <w:bottom w:val="single" w:sz="4" w:space="0" w:color="000000"/>
            </w:tcBorders>
            <w:shd w:val="clear" w:color="auto" w:fill="auto"/>
            <w:vAlign w:val="center"/>
          </w:tcPr>
          <w:p w14:paraId="04254AC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0,27</w:t>
            </w:r>
          </w:p>
        </w:tc>
        <w:tc>
          <w:tcPr>
            <w:tcW w:w="717" w:type="dxa"/>
            <w:tcBorders>
              <w:top w:val="single" w:sz="4" w:space="0" w:color="000000"/>
              <w:left w:val="single" w:sz="4" w:space="0" w:color="000000"/>
              <w:bottom w:val="single" w:sz="4" w:space="0" w:color="000000"/>
            </w:tcBorders>
            <w:shd w:val="clear" w:color="auto" w:fill="auto"/>
            <w:vAlign w:val="center"/>
          </w:tcPr>
          <w:p w14:paraId="25B2CED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0,37</w:t>
            </w:r>
          </w:p>
        </w:tc>
        <w:tc>
          <w:tcPr>
            <w:tcW w:w="717" w:type="dxa"/>
            <w:tcBorders>
              <w:top w:val="single" w:sz="4" w:space="0" w:color="000000"/>
              <w:left w:val="single" w:sz="4" w:space="0" w:color="000000"/>
              <w:bottom w:val="single" w:sz="4" w:space="0" w:color="000000"/>
            </w:tcBorders>
            <w:shd w:val="clear" w:color="auto" w:fill="auto"/>
            <w:vAlign w:val="center"/>
          </w:tcPr>
          <w:p w14:paraId="57B7104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w:t>
            </w:r>
          </w:p>
        </w:tc>
        <w:tc>
          <w:tcPr>
            <w:tcW w:w="713" w:type="dxa"/>
            <w:tcBorders>
              <w:top w:val="single" w:sz="4" w:space="0" w:color="000000"/>
              <w:left w:val="single" w:sz="4" w:space="0" w:color="000000"/>
              <w:bottom w:val="single" w:sz="4" w:space="0" w:color="000000"/>
            </w:tcBorders>
            <w:shd w:val="clear" w:color="auto" w:fill="auto"/>
            <w:vAlign w:val="center"/>
          </w:tcPr>
          <w:p w14:paraId="24F8A11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0,58</w:t>
            </w:r>
          </w:p>
        </w:tc>
        <w:tc>
          <w:tcPr>
            <w:tcW w:w="636" w:type="dxa"/>
            <w:tcBorders>
              <w:top w:val="single" w:sz="4" w:space="0" w:color="000000"/>
              <w:left w:val="single" w:sz="4" w:space="0" w:color="000000"/>
              <w:bottom w:val="single" w:sz="4" w:space="0" w:color="000000"/>
            </w:tcBorders>
            <w:shd w:val="clear" w:color="auto" w:fill="auto"/>
            <w:vAlign w:val="center"/>
          </w:tcPr>
          <w:p w14:paraId="7149417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717" w:type="dxa"/>
            <w:tcBorders>
              <w:top w:val="single" w:sz="4" w:space="0" w:color="000000"/>
              <w:left w:val="single" w:sz="4" w:space="0" w:color="000000"/>
              <w:bottom w:val="single" w:sz="4" w:space="0" w:color="000000"/>
            </w:tcBorders>
            <w:shd w:val="clear" w:color="auto" w:fill="auto"/>
            <w:vAlign w:val="center"/>
          </w:tcPr>
          <w:p w14:paraId="2260E54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0,41</w:t>
            </w:r>
          </w:p>
        </w:tc>
        <w:tc>
          <w:tcPr>
            <w:tcW w:w="733" w:type="dxa"/>
            <w:tcBorders>
              <w:top w:val="single" w:sz="4" w:space="0" w:color="000000"/>
              <w:left w:val="single" w:sz="4" w:space="0" w:color="000000"/>
              <w:bottom w:val="single" w:sz="4" w:space="0" w:color="000000"/>
            </w:tcBorders>
            <w:shd w:val="clear" w:color="auto" w:fill="auto"/>
            <w:vAlign w:val="center"/>
          </w:tcPr>
          <w:p w14:paraId="7A4851B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w:t>
            </w:r>
          </w:p>
        </w:tc>
        <w:tc>
          <w:tcPr>
            <w:tcW w:w="717" w:type="dxa"/>
            <w:tcBorders>
              <w:top w:val="single" w:sz="4" w:space="0" w:color="000000"/>
              <w:left w:val="single" w:sz="4" w:space="0" w:color="000000"/>
              <w:bottom w:val="single" w:sz="4" w:space="0" w:color="000000"/>
            </w:tcBorders>
            <w:shd w:val="clear" w:color="auto" w:fill="auto"/>
            <w:vAlign w:val="center"/>
          </w:tcPr>
          <w:p w14:paraId="4373EEE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05BC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0,55</w:t>
            </w:r>
          </w:p>
        </w:tc>
      </w:tr>
      <w:tr w:rsidR="00CA7C54" w:rsidRPr="00CA7C54" w14:paraId="794002F2" w14:textId="77777777" w:rsidTr="002F5686">
        <w:trPr>
          <w:trHeight w:val="340"/>
        </w:trPr>
        <w:tc>
          <w:tcPr>
            <w:tcW w:w="1360" w:type="dxa"/>
            <w:vMerge/>
            <w:tcBorders>
              <w:top w:val="single" w:sz="4" w:space="0" w:color="000000"/>
              <w:left w:val="single" w:sz="4" w:space="0" w:color="000000"/>
              <w:bottom w:val="single" w:sz="4" w:space="0" w:color="000000"/>
            </w:tcBorders>
            <w:shd w:val="clear" w:color="auto" w:fill="auto"/>
            <w:vAlign w:val="center"/>
          </w:tcPr>
          <w:p w14:paraId="4AA7B12F"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1E45256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567" w:type="dxa"/>
            <w:tcBorders>
              <w:top w:val="single" w:sz="4" w:space="0" w:color="000000"/>
              <w:left w:val="single" w:sz="4" w:space="0" w:color="000000"/>
              <w:bottom w:val="single" w:sz="4" w:space="0" w:color="000000"/>
              <w:right w:val="single" w:sz="4" w:space="0" w:color="000000"/>
            </w:tcBorders>
            <w:vAlign w:val="center"/>
          </w:tcPr>
          <w:p w14:paraId="5DB8A54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684</w:t>
            </w:r>
          </w:p>
        </w:tc>
        <w:tc>
          <w:tcPr>
            <w:tcW w:w="637" w:type="dxa"/>
            <w:tcBorders>
              <w:top w:val="single" w:sz="4" w:space="0" w:color="000000"/>
              <w:left w:val="single" w:sz="4" w:space="0" w:color="000000"/>
              <w:bottom w:val="single" w:sz="4" w:space="0" w:color="000000"/>
            </w:tcBorders>
            <w:shd w:val="clear" w:color="auto" w:fill="auto"/>
            <w:vAlign w:val="center"/>
          </w:tcPr>
          <w:p w14:paraId="0FA96BDD"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0,134</w:t>
            </w:r>
          </w:p>
        </w:tc>
        <w:tc>
          <w:tcPr>
            <w:tcW w:w="717" w:type="dxa"/>
            <w:tcBorders>
              <w:top w:val="single" w:sz="4" w:space="0" w:color="000000"/>
              <w:left w:val="single" w:sz="4" w:space="0" w:color="000000"/>
              <w:bottom w:val="single" w:sz="4" w:space="0" w:color="000000"/>
            </w:tcBorders>
            <w:shd w:val="clear" w:color="auto" w:fill="auto"/>
            <w:vAlign w:val="center"/>
          </w:tcPr>
          <w:p w14:paraId="719BB34E"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0,262</w:t>
            </w:r>
          </w:p>
        </w:tc>
        <w:tc>
          <w:tcPr>
            <w:tcW w:w="717" w:type="dxa"/>
            <w:tcBorders>
              <w:top w:val="single" w:sz="4" w:space="0" w:color="000000"/>
              <w:left w:val="single" w:sz="4" w:space="0" w:color="000000"/>
              <w:bottom w:val="single" w:sz="4" w:space="0" w:color="000000"/>
            </w:tcBorders>
            <w:shd w:val="clear" w:color="auto" w:fill="auto"/>
            <w:vAlign w:val="center"/>
          </w:tcPr>
          <w:p w14:paraId="7D3AB61C"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0,362</w:t>
            </w:r>
          </w:p>
        </w:tc>
        <w:tc>
          <w:tcPr>
            <w:tcW w:w="717" w:type="dxa"/>
            <w:tcBorders>
              <w:top w:val="single" w:sz="4" w:space="0" w:color="000000"/>
              <w:left w:val="single" w:sz="4" w:space="0" w:color="000000"/>
              <w:bottom w:val="single" w:sz="4" w:space="0" w:color="000000"/>
            </w:tcBorders>
            <w:shd w:val="clear" w:color="auto" w:fill="auto"/>
            <w:vAlign w:val="center"/>
          </w:tcPr>
          <w:p w14:paraId="50695D43"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0,434</w:t>
            </w:r>
          </w:p>
        </w:tc>
        <w:tc>
          <w:tcPr>
            <w:tcW w:w="713" w:type="dxa"/>
            <w:tcBorders>
              <w:top w:val="single" w:sz="4" w:space="0" w:color="000000"/>
              <w:left w:val="single" w:sz="4" w:space="0" w:color="000000"/>
              <w:bottom w:val="single" w:sz="4" w:space="0" w:color="000000"/>
            </w:tcBorders>
            <w:shd w:val="clear" w:color="auto" w:fill="auto"/>
            <w:vAlign w:val="center"/>
          </w:tcPr>
          <w:p w14:paraId="752BAE60"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0,532</w:t>
            </w:r>
          </w:p>
        </w:tc>
        <w:tc>
          <w:tcPr>
            <w:tcW w:w="636" w:type="dxa"/>
            <w:tcBorders>
              <w:top w:val="single" w:sz="4" w:space="0" w:color="000000"/>
              <w:left w:val="single" w:sz="4" w:space="0" w:color="000000"/>
              <w:bottom w:val="single" w:sz="4" w:space="0" w:color="000000"/>
            </w:tcBorders>
            <w:shd w:val="clear" w:color="auto" w:fill="auto"/>
            <w:vAlign w:val="center"/>
          </w:tcPr>
          <w:p w14:paraId="27CD8D5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0,30</w:t>
            </w:r>
          </w:p>
        </w:tc>
        <w:tc>
          <w:tcPr>
            <w:tcW w:w="717" w:type="dxa"/>
            <w:tcBorders>
              <w:top w:val="single" w:sz="4" w:space="0" w:color="000000"/>
              <w:left w:val="single" w:sz="4" w:space="0" w:color="000000"/>
              <w:bottom w:val="single" w:sz="4" w:space="0" w:color="000000"/>
            </w:tcBorders>
            <w:shd w:val="clear" w:color="auto" w:fill="auto"/>
            <w:vAlign w:val="center"/>
          </w:tcPr>
          <w:p w14:paraId="13B31A65"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0,337</w:t>
            </w:r>
          </w:p>
        </w:tc>
        <w:tc>
          <w:tcPr>
            <w:tcW w:w="733" w:type="dxa"/>
            <w:tcBorders>
              <w:top w:val="single" w:sz="4" w:space="0" w:color="000000"/>
              <w:left w:val="single" w:sz="4" w:space="0" w:color="000000"/>
              <w:bottom w:val="single" w:sz="4" w:space="0" w:color="000000"/>
            </w:tcBorders>
            <w:shd w:val="clear" w:color="auto" w:fill="auto"/>
            <w:vAlign w:val="center"/>
          </w:tcPr>
          <w:p w14:paraId="5908507C" w14:textId="77777777" w:rsidR="003C4E04" w:rsidRPr="00CA7C54" w:rsidRDefault="001E748C" w:rsidP="003B320F">
            <w:pPr>
              <w:pBdr>
                <w:top w:val="nil"/>
                <w:left w:val="nil"/>
                <w:bottom w:val="nil"/>
                <w:right w:val="nil"/>
                <w:between w:val="nil"/>
              </w:pBdr>
              <w:spacing w:before="0" w:line="288" w:lineRule="auto"/>
              <w:ind w:right="-74"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0,378</w:t>
            </w:r>
          </w:p>
        </w:tc>
        <w:tc>
          <w:tcPr>
            <w:tcW w:w="717" w:type="dxa"/>
            <w:tcBorders>
              <w:top w:val="single" w:sz="4" w:space="0" w:color="000000"/>
              <w:left w:val="single" w:sz="4" w:space="0" w:color="000000"/>
              <w:bottom w:val="single" w:sz="4" w:space="0" w:color="000000"/>
            </w:tcBorders>
            <w:shd w:val="clear" w:color="auto" w:fill="auto"/>
            <w:vAlign w:val="center"/>
          </w:tcPr>
          <w:p w14:paraId="2F047CF0" w14:textId="77777777" w:rsidR="003C4E04" w:rsidRPr="00CA7C54" w:rsidRDefault="001E748C" w:rsidP="003B320F">
            <w:pPr>
              <w:pBdr>
                <w:top w:val="nil"/>
                <w:left w:val="nil"/>
                <w:bottom w:val="nil"/>
                <w:right w:val="nil"/>
                <w:between w:val="nil"/>
              </w:pBdr>
              <w:spacing w:before="0" w:line="288" w:lineRule="auto"/>
              <w:ind w:left="-141" w:right="-86"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0,364</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9DF7F" w14:textId="77777777" w:rsidR="003C4E04" w:rsidRPr="00CA7C54" w:rsidRDefault="001E748C" w:rsidP="003B320F">
            <w:pPr>
              <w:pBdr>
                <w:top w:val="nil"/>
                <w:left w:val="nil"/>
                <w:bottom w:val="nil"/>
                <w:right w:val="nil"/>
                <w:between w:val="nil"/>
              </w:pBdr>
              <w:spacing w:before="0" w:line="288" w:lineRule="auto"/>
              <w:ind w:left="-141" w:right="-60"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0,454</w:t>
            </w:r>
          </w:p>
        </w:tc>
      </w:tr>
      <w:tr w:rsidR="00CA7C54" w:rsidRPr="00CA7C54" w14:paraId="5A646496" w14:textId="77777777" w:rsidTr="002F5686">
        <w:trPr>
          <w:trHeight w:val="340"/>
        </w:trPr>
        <w:tc>
          <w:tcPr>
            <w:tcW w:w="1360" w:type="dxa"/>
            <w:vMerge/>
            <w:tcBorders>
              <w:top w:val="single" w:sz="4" w:space="0" w:color="000000"/>
              <w:left w:val="single" w:sz="4" w:space="0" w:color="000000"/>
              <w:bottom w:val="single" w:sz="4" w:space="0" w:color="000000"/>
            </w:tcBorders>
            <w:shd w:val="clear" w:color="auto" w:fill="auto"/>
            <w:vAlign w:val="center"/>
          </w:tcPr>
          <w:p w14:paraId="27BDE8C3"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3B975B9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w:t>
            </w:r>
          </w:p>
        </w:tc>
        <w:tc>
          <w:tcPr>
            <w:tcW w:w="567" w:type="dxa"/>
            <w:tcBorders>
              <w:top w:val="single" w:sz="4" w:space="0" w:color="000000"/>
              <w:left w:val="single" w:sz="4" w:space="0" w:color="000000"/>
              <w:bottom w:val="single" w:sz="4" w:space="0" w:color="000000"/>
              <w:right w:val="single" w:sz="4" w:space="0" w:color="000000"/>
            </w:tcBorders>
            <w:vAlign w:val="center"/>
          </w:tcPr>
          <w:p w14:paraId="38A1155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720</w:t>
            </w:r>
          </w:p>
        </w:tc>
        <w:tc>
          <w:tcPr>
            <w:tcW w:w="637" w:type="dxa"/>
            <w:tcBorders>
              <w:top w:val="single" w:sz="4" w:space="0" w:color="000000"/>
              <w:left w:val="single" w:sz="4" w:space="0" w:color="000000"/>
              <w:bottom w:val="single" w:sz="4" w:space="0" w:color="000000"/>
            </w:tcBorders>
            <w:shd w:val="clear" w:color="auto" w:fill="auto"/>
            <w:vAlign w:val="center"/>
          </w:tcPr>
          <w:p w14:paraId="16BC2C2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0,13</w:t>
            </w:r>
          </w:p>
        </w:tc>
        <w:tc>
          <w:tcPr>
            <w:tcW w:w="717" w:type="dxa"/>
            <w:tcBorders>
              <w:top w:val="single" w:sz="4" w:space="0" w:color="000000"/>
              <w:left w:val="single" w:sz="4" w:space="0" w:color="000000"/>
              <w:bottom w:val="single" w:sz="4" w:space="0" w:color="000000"/>
            </w:tcBorders>
            <w:shd w:val="clear" w:color="auto" w:fill="auto"/>
            <w:vAlign w:val="center"/>
          </w:tcPr>
          <w:p w14:paraId="4BF7B36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0,26</w:t>
            </w:r>
          </w:p>
        </w:tc>
        <w:tc>
          <w:tcPr>
            <w:tcW w:w="717" w:type="dxa"/>
            <w:tcBorders>
              <w:top w:val="single" w:sz="4" w:space="0" w:color="000000"/>
              <w:left w:val="single" w:sz="4" w:space="0" w:color="000000"/>
              <w:bottom w:val="single" w:sz="4" w:space="0" w:color="000000"/>
            </w:tcBorders>
            <w:shd w:val="clear" w:color="auto" w:fill="auto"/>
            <w:vAlign w:val="center"/>
          </w:tcPr>
          <w:p w14:paraId="78AB712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w:t>
            </w:r>
          </w:p>
        </w:tc>
        <w:tc>
          <w:tcPr>
            <w:tcW w:w="717" w:type="dxa"/>
            <w:tcBorders>
              <w:top w:val="single" w:sz="4" w:space="0" w:color="000000"/>
              <w:left w:val="single" w:sz="4" w:space="0" w:color="000000"/>
              <w:bottom w:val="single" w:sz="4" w:space="0" w:color="000000"/>
            </w:tcBorders>
            <w:shd w:val="clear" w:color="auto" w:fill="auto"/>
            <w:vAlign w:val="center"/>
          </w:tcPr>
          <w:p w14:paraId="6421D2F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0,43</w:t>
            </w:r>
          </w:p>
        </w:tc>
        <w:tc>
          <w:tcPr>
            <w:tcW w:w="713" w:type="dxa"/>
            <w:tcBorders>
              <w:top w:val="single" w:sz="4" w:space="0" w:color="000000"/>
              <w:left w:val="single" w:sz="4" w:space="0" w:color="000000"/>
              <w:bottom w:val="single" w:sz="4" w:space="0" w:color="000000"/>
            </w:tcBorders>
            <w:shd w:val="clear" w:color="auto" w:fill="auto"/>
            <w:vAlign w:val="center"/>
          </w:tcPr>
          <w:p w14:paraId="00A7453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0,52</w:t>
            </w:r>
          </w:p>
        </w:tc>
        <w:tc>
          <w:tcPr>
            <w:tcW w:w="636" w:type="dxa"/>
            <w:tcBorders>
              <w:top w:val="single" w:sz="4" w:space="0" w:color="000000"/>
              <w:left w:val="single" w:sz="4" w:space="0" w:color="000000"/>
              <w:bottom w:val="single" w:sz="4" w:space="0" w:color="000000"/>
            </w:tcBorders>
            <w:shd w:val="clear" w:color="auto" w:fill="auto"/>
            <w:vAlign w:val="center"/>
          </w:tcPr>
          <w:p w14:paraId="2C182A8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0,28</w:t>
            </w:r>
          </w:p>
        </w:tc>
        <w:tc>
          <w:tcPr>
            <w:tcW w:w="717" w:type="dxa"/>
            <w:tcBorders>
              <w:top w:val="single" w:sz="4" w:space="0" w:color="000000"/>
              <w:left w:val="single" w:sz="4" w:space="0" w:color="000000"/>
              <w:bottom w:val="single" w:sz="4" w:space="0" w:color="000000"/>
            </w:tcBorders>
            <w:shd w:val="clear" w:color="auto" w:fill="auto"/>
            <w:vAlign w:val="center"/>
          </w:tcPr>
          <w:p w14:paraId="3623353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0,32</w:t>
            </w:r>
          </w:p>
        </w:tc>
        <w:tc>
          <w:tcPr>
            <w:tcW w:w="733" w:type="dxa"/>
            <w:tcBorders>
              <w:top w:val="single" w:sz="4" w:space="0" w:color="000000"/>
              <w:left w:val="single" w:sz="4" w:space="0" w:color="000000"/>
              <w:bottom w:val="single" w:sz="4" w:space="0" w:color="000000"/>
            </w:tcBorders>
            <w:shd w:val="clear" w:color="auto" w:fill="auto"/>
            <w:vAlign w:val="center"/>
          </w:tcPr>
          <w:p w14:paraId="7FBD2D3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w:t>
            </w:r>
          </w:p>
        </w:tc>
        <w:tc>
          <w:tcPr>
            <w:tcW w:w="717" w:type="dxa"/>
            <w:tcBorders>
              <w:top w:val="single" w:sz="4" w:space="0" w:color="000000"/>
              <w:left w:val="single" w:sz="4" w:space="0" w:color="000000"/>
              <w:bottom w:val="single" w:sz="4" w:space="0" w:color="000000"/>
            </w:tcBorders>
            <w:shd w:val="clear" w:color="auto" w:fill="auto"/>
            <w:vAlign w:val="center"/>
          </w:tcPr>
          <w:p w14:paraId="177DBD2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0,33</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D5C8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0,43</w:t>
            </w:r>
          </w:p>
        </w:tc>
      </w:tr>
      <w:tr w:rsidR="00CA7C54" w:rsidRPr="00CA7C54" w14:paraId="50016838" w14:textId="77777777" w:rsidTr="002F5686">
        <w:trPr>
          <w:trHeight w:val="340"/>
        </w:trPr>
        <w:tc>
          <w:tcPr>
            <w:tcW w:w="10015" w:type="dxa"/>
            <w:gridSpan w:val="13"/>
            <w:tcBorders>
              <w:top w:val="nil"/>
              <w:bottom w:val="single" w:sz="4" w:space="0" w:color="000000"/>
            </w:tcBorders>
            <w:shd w:val="clear" w:color="auto" w:fill="auto"/>
            <w:vAlign w:val="center"/>
          </w:tcPr>
          <w:p w14:paraId="6C9CA20B" w14:textId="77777777" w:rsidR="00253831" w:rsidRPr="00CA7C54" w:rsidRDefault="00253831" w:rsidP="00253831">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Г.3</w:t>
            </w:r>
          </w:p>
        </w:tc>
      </w:tr>
      <w:tr w:rsidR="00CA7C54" w:rsidRPr="00CA7C54" w14:paraId="50E5D344" w14:textId="77777777" w:rsidTr="002F5686">
        <w:trPr>
          <w:trHeight w:val="57"/>
        </w:trPr>
        <w:tc>
          <w:tcPr>
            <w:tcW w:w="1360" w:type="dxa"/>
            <w:tcBorders>
              <w:top w:val="single" w:sz="4" w:space="0" w:color="000000"/>
              <w:left w:val="single" w:sz="4" w:space="0" w:color="000000"/>
            </w:tcBorders>
            <w:shd w:val="clear" w:color="auto" w:fill="auto"/>
          </w:tcPr>
          <w:p w14:paraId="61081FA8"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w:t>
            </w:r>
          </w:p>
        </w:tc>
        <w:tc>
          <w:tcPr>
            <w:tcW w:w="8655" w:type="dxa"/>
            <w:gridSpan w:val="12"/>
            <w:tcBorders>
              <w:top w:val="single" w:sz="4" w:space="0" w:color="000000"/>
              <w:right w:val="single" w:sz="4" w:space="0" w:color="000000"/>
            </w:tcBorders>
            <w:shd w:val="clear" w:color="auto" w:fill="auto"/>
          </w:tcPr>
          <w:p w14:paraId="0FB35EC7" w14:textId="77777777" w:rsidR="003C4E04" w:rsidRPr="00CA7C54" w:rsidRDefault="001E748C" w:rsidP="00DC106E">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Коефіцієнт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 xml:space="preserve"> приймається рiвним 1 у випадках якщо:</w:t>
            </w:r>
          </w:p>
          <w:p w14:paraId="6F47BD99" w14:textId="77777777" w:rsidR="003C4E04" w:rsidRPr="00CA7C54" w:rsidRDefault="001E748C" w:rsidP="00DC106E">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сховище чи СПП є окремо розташованим;</w:t>
            </w:r>
          </w:p>
          <w:p w14:paraId="2E419776"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огороджувальна конструкція (стіна, перекриття, покриття) вбудованого сховища чи СПП контактує з навколишнім середовищем (знаходиться за межами проєкції основної будівлі чи являються зовнішньою конструкцією);</w:t>
            </w:r>
          </w:p>
          <w:p w14:paraId="255C4D88"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огороджувальна конструкція  (стіна, перегородка, перекриття) будівлі/споруди (у яку вбудоване сховище чи СПП), що враховуються у розрахунку на послаблення радіації</w:t>
            </w:r>
            <w:r w:rsidRPr="00CA7C54">
              <w:rPr>
                <w:rFonts w:ascii="Arial" w:eastAsia="Arial" w:hAnsi="Arial" w:cs="Arial"/>
                <w:strike/>
                <w:color w:val="000000" w:themeColor="text1"/>
                <w:sz w:val="20"/>
                <w:szCs w:val="20"/>
              </w:rPr>
              <w:t xml:space="preserve">, в </w:t>
            </w:r>
            <w:r w:rsidRPr="00CA7C54">
              <w:rPr>
                <w:rFonts w:ascii="Arial" w:eastAsia="Arial" w:hAnsi="Arial" w:cs="Arial"/>
                <w:color w:val="000000" w:themeColor="text1"/>
                <w:sz w:val="20"/>
                <w:szCs w:val="20"/>
              </w:rPr>
              <w:t>при використанні даної таблиці, не здатна бути стійкою до особливого поєднання навантажень на сприйняття яких розраховується сховище чи СПП;</w:t>
            </w:r>
          </w:p>
          <w:p w14:paraId="61170EB4"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площа отворів у огороджувальній конструкції будівлі, яка враховуються у розрахунку на послаблення радіації, більша 50%;</w:t>
            </w:r>
          </w:p>
          <w:p w14:paraId="4C9C075A"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сховище чи СПП вбудоване в об’єми одноповерхової будівлі, яка над </w:t>
            </w:r>
            <w:r w:rsidRPr="00CA7C54">
              <w:rPr>
                <w:rFonts w:ascii="Arial" w:eastAsia="Arial" w:hAnsi="Arial" w:cs="Arial"/>
                <w:bCs/>
                <w:color w:val="000000" w:themeColor="text1"/>
                <w:sz w:val="20"/>
                <w:szCs w:val="20"/>
              </w:rPr>
              <w:t>про</w:t>
            </w:r>
            <w:r w:rsidR="00343B3A" w:rsidRPr="00CA7C54">
              <w:rPr>
                <w:rFonts w:ascii="Arial" w:eastAsia="Arial" w:hAnsi="Arial" w:cs="Arial"/>
                <w:bCs/>
                <w:color w:val="000000" w:themeColor="text1"/>
                <w:sz w:val="20"/>
                <w:szCs w:val="20"/>
              </w:rPr>
              <w:t>є</w:t>
            </w:r>
            <w:r w:rsidRPr="00CA7C54">
              <w:rPr>
                <w:rFonts w:ascii="Arial" w:eastAsia="Arial" w:hAnsi="Arial" w:cs="Arial"/>
                <w:bCs/>
                <w:color w:val="000000" w:themeColor="text1"/>
                <w:sz w:val="20"/>
                <w:szCs w:val="20"/>
              </w:rPr>
              <w:t>кцією</w:t>
            </w:r>
            <w:r w:rsidRPr="00CA7C54">
              <w:rPr>
                <w:rFonts w:ascii="Arial" w:eastAsia="Arial" w:hAnsi="Arial" w:cs="Arial"/>
                <w:color w:val="000000" w:themeColor="text1"/>
                <w:sz w:val="20"/>
                <w:szCs w:val="20"/>
              </w:rPr>
              <w:t xml:space="preserve"> сховища чи СПП не має власного перекриття (суміщеного покриття) із штучних кам'яних матеріалів;</w:t>
            </w:r>
          </w:p>
          <w:p w14:paraId="18D2DA1F"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в покрівлі чи перекритті (суміщеному покритті) будівлі, над </w:t>
            </w:r>
            <w:r w:rsidRPr="00CA7C54">
              <w:rPr>
                <w:rFonts w:ascii="Arial" w:eastAsia="Arial" w:hAnsi="Arial" w:cs="Arial"/>
                <w:bCs/>
                <w:color w:val="000000" w:themeColor="text1"/>
                <w:sz w:val="20"/>
                <w:szCs w:val="20"/>
              </w:rPr>
              <w:t>про</w:t>
            </w:r>
            <w:r w:rsidR="00343B3A" w:rsidRPr="00CA7C54">
              <w:rPr>
                <w:rFonts w:ascii="Arial" w:eastAsia="Arial" w:hAnsi="Arial" w:cs="Arial"/>
                <w:bCs/>
                <w:color w:val="000000" w:themeColor="text1"/>
                <w:sz w:val="20"/>
                <w:szCs w:val="20"/>
              </w:rPr>
              <w:t>є</w:t>
            </w:r>
            <w:r w:rsidRPr="00CA7C54">
              <w:rPr>
                <w:rFonts w:ascii="Arial" w:eastAsia="Arial" w:hAnsi="Arial" w:cs="Arial"/>
                <w:bCs/>
                <w:color w:val="000000" w:themeColor="text1"/>
                <w:sz w:val="20"/>
                <w:szCs w:val="20"/>
              </w:rPr>
              <w:t>кцією</w:t>
            </w:r>
            <w:r w:rsidRPr="00CA7C54">
              <w:rPr>
                <w:rFonts w:ascii="Arial" w:eastAsia="Arial" w:hAnsi="Arial" w:cs="Arial"/>
                <w:color w:val="000000" w:themeColor="text1"/>
                <w:sz w:val="20"/>
                <w:szCs w:val="20"/>
              </w:rPr>
              <w:t xml:space="preserve"> сховища чи СПП наявні прорізи (світлові ліхтарі, тощо), площа яких перевищує значення 50 % площі покрівлі чи перекриття;</w:t>
            </w:r>
          </w:p>
          <w:p w14:paraId="6C06833E"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 інших випадках, коли огороджувальна конструкція сховища чи СПП може сприйняти безпосередньо на себе первинне іонізуюче випромінювання.</w:t>
            </w:r>
          </w:p>
        </w:tc>
      </w:tr>
      <w:tr w:rsidR="00CA7C54" w:rsidRPr="00CA7C54" w14:paraId="3569AFD1" w14:textId="77777777" w:rsidTr="002F5686">
        <w:trPr>
          <w:trHeight w:val="57"/>
        </w:trPr>
        <w:tc>
          <w:tcPr>
            <w:tcW w:w="1360" w:type="dxa"/>
            <w:tcBorders>
              <w:left w:val="single" w:sz="4" w:space="0" w:color="000000"/>
            </w:tcBorders>
            <w:shd w:val="clear" w:color="auto" w:fill="auto"/>
          </w:tcPr>
          <w:p w14:paraId="1BE6A75B"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2.</w:t>
            </w:r>
          </w:p>
        </w:tc>
        <w:tc>
          <w:tcPr>
            <w:tcW w:w="8655" w:type="dxa"/>
            <w:gridSpan w:val="12"/>
            <w:tcBorders>
              <w:right w:val="single" w:sz="4" w:space="0" w:color="000000"/>
            </w:tcBorders>
            <w:shd w:val="clear" w:color="auto" w:fill="auto"/>
          </w:tcPr>
          <w:p w14:paraId="7AAF04C1"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Розраховувати значення коефіцієнта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 xml:space="preserve">  з товщини стіни, яка має вагу 1 м.кв. більшу ніж вага 1 м.кв. перекриття чи покриття (суміщеного покриття) одноповерхової будівлі/споруди, в яку вбудоване сховище чи СПП, не допускається. </w:t>
            </w:r>
          </w:p>
          <w:p w14:paraId="275650E2"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У випадку коли вага 1 м.кв. стіни більша </w:t>
            </w:r>
            <w:r w:rsidR="00DC106E" w:rsidRPr="00CA7C54">
              <w:rPr>
                <w:rFonts w:ascii="Arial" w:eastAsia="Arial" w:hAnsi="Arial" w:cs="Arial"/>
                <w:color w:val="000000" w:themeColor="text1"/>
                <w:sz w:val="20"/>
                <w:szCs w:val="20"/>
              </w:rPr>
              <w:t xml:space="preserve"> ніж </w:t>
            </w:r>
            <w:r w:rsidRPr="00CA7C54">
              <w:rPr>
                <w:rFonts w:ascii="Arial" w:eastAsia="Arial" w:hAnsi="Arial" w:cs="Arial"/>
                <w:color w:val="000000" w:themeColor="text1"/>
                <w:sz w:val="20"/>
                <w:szCs w:val="20"/>
              </w:rPr>
              <w:t xml:space="preserve">1 м.кв. перекриття, значення коефіцієнта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 xml:space="preserve"> розраховується за товщиною стіни, яка має вагу рівнозначну вазі перекриття.</w:t>
            </w:r>
          </w:p>
        </w:tc>
      </w:tr>
      <w:tr w:rsidR="00CA7C54" w:rsidRPr="00CA7C54" w14:paraId="77188A03" w14:textId="77777777" w:rsidTr="002F5686">
        <w:trPr>
          <w:trHeight w:val="57"/>
        </w:trPr>
        <w:tc>
          <w:tcPr>
            <w:tcW w:w="1360" w:type="dxa"/>
            <w:tcBorders>
              <w:left w:val="single" w:sz="4" w:space="0" w:color="000000"/>
            </w:tcBorders>
            <w:shd w:val="clear" w:color="auto" w:fill="auto"/>
          </w:tcPr>
          <w:p w14:paraId="328AA3DE"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3.</w:t>
            </w:r>
          </w:p>
        </w:tc>
        <w:tc>
          <w:tcPr>
            <w:tcW w:w="8655" w:type="dxa"/>
            <w:gridSpan w:val="12"/>
            <w:tcBorders>
              <w:right w:val="single" w:sz="4" w:space="0" w:color="000000"/>
            </w:tcBorders>
            <w:shd w:val="clear" w:color="auto" w:fill="auto"/>
          </w:tcPr>
          <w:p w14:paraId="0BBD454E"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За наявності стін іншої товщини, ніж зазначено в таблиці, значення коефіцієнта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дозволяється розраховувати методом інтерполяції.</w:t>
            </w:r>
          </w:p>
        </w:tc>
      </w:tr>
      <w:tr w:rsidR="003C4E04" w:rsidRPr="00CA7C54" w14:paraId="71B98CEA" w14:textId="77777777" w:rsidTr="002F5686">
        <w:trPr>
          <w:trHeight w:val="57"/>
        </w:trPr>
        <w:tc>
          <w:tcPr>
            <w:tcW w:w="1360" w:type="dxa"/>
            <w:tcBorders>
              <w:left w:val="single" w:sz="4" w:space="0" w:color="000000"/>
              <w:bottom w:val="single" w:sz="4" w:space="0" w:color="000000"/>
            </w:tcBorders>
            <w:shd w:val="clear" w:color="auto" w:fill="auto"/>
          </w:tcPr>
          <w:p w14:paraId="03739CA4" w14:textId="77777777" w:rsidR="003C4E04" w:rsidRPr="00CA7C54" w:rsidRDefault="001E748C" w:rsidP="00253831">
            <w:pPr>
              <w:widowControl w:val="0"/>
              <w:pBdr>
                <w:top w:val="nil"/>
                <w:left w:val="nil"/>
                <w:bottom w:val="nil"/>
                <w:right w:val="nil"/>
                <w:between w:val="nil"/>
              </w:pBdr>
              <w:spacing w:before="0" w:line="288" w:lineRule="auto"/>
              <w:ind w:firstLine="133"/>
              <w:contextualSpacing/>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4.</w:t>
            </w:r>
          </w:p>
        </w:tc>
        <w:tc>
          <w:tcPr>
            <w:tcW w:w="8655" w:type="dxa"/>
            <w:gridSpan w:val="12"/>
            <w:tcBorders>
              <w:bottom w:val="single" w:sz="4" w:space="0" w:color="000000"/>
              <w:right w:val="single" w:sz="4" w:space="0" w:color="000000"/>
            </w:tcBorders>
            <w:shd w:val="clear" w:color="auto" w:fill="auto"/>
          </w:tcPr>
          <w:p w14:paraId="054CE353" w14:textId="77777777" w:rsidR="003C4E04" w:rsidRPr="00CA7C54" w:rsidRDefault="001E748C" w:rsidP="003B320F">
            <w:pP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Значення коефіцієнту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 xml:space="preserve"> для стін з іншого матеріалу приймається за найближчим значенням щільності та товщини.</w:t>
            </w:r>
          </w:p>
        </w:tc>
      </w:tr>
    </w:tbl>
    <w:p w14:paraId="765FDBD3" w14:textId="77777777" w:rsidR="00144AEF" w:rsidRPr="00CA7C54" w:rsidRDefault="00144AEF" w:rsidP="003B320F">
      <w:pPr>
        <w:widowControl w:val="0"/>
        <w:pBdr>
          <w:top w:val="nil"/>
          <w:left w:val="nil"/>
          <w:bottom w:val="nil"/>
          <w:right w:val="nil"/>
          <w:between w:val="nil"/>
        </w:pBdr>
        <w:spacing w:before="0" w:line="288" w:lineRule="auto"/>
        <w:contextualSpacing/>
        <w:rPr>
          <w:b/>
          <w:color w:val="000000" w:themeColor="text1"/>
          <w:sz w:val="20"/>
          <w:szCs w:val="20"/>
        </w:rPr>
      </w:pPr>
    </w:p>
    <w:p w14:paraId="5681205E" w14:textId="77777777" w:rsidR="00A94F64" w:rsidRPr="00CA7C54" w:rsidRDefault="00A94F64" w:rsidP="003B320F">
      <w:pPr>
        <w:widowControl w:val="0"/>
        <w:pBdr>
          <w:top w:val="nil"/>
          <w:left w:val="nil"/>
          <w:bottom w:val="nil"/>
          <w:right w:val="nil"/>
          <w:between w:val="nil"/>
        </w:pBdr>
        <w:spacing w:before="0" w:line="288" w:lineRule="auto"/>
        <w:contextualSpacing/>
        <w:rPr>
          <w:b/>
          <w:color w:val="000000" w:themeColor="text1"/>
          <w:sz w:val="20"/>
          <w:szCs w:val="20"/>
        </w:rPr>
      </w:pPr>
    </w:p>
    <w:p w14:paraId="32C39396" w14:textId="77777777" w:rsidR="004316E5" w:rsidRDefault="004316E5">
      <w:pPr>
        <w:suppressAutoHyphens w:val="0"/>
        <w:rPr>
          <w:b/>
          <w:color w:val="000000" w:themeColor="text1"/>
          <w:sz w:val="20"/>
          <w:szCs w:val="20"/>
        </w:rPr>
      </w:pPr>
      <w:r>
        <w:rPr>
          <w:b/>
          <w:color w:val="000000" w:themeColor="text1"/>
          <w:sz w:val="20"/>
          <w:szCs w:val="20"/>
        </w:rPr>
        <w:br w:type="page"/>
      </w:r>
    </w:p>
    <w:p w14:paraId="1401A861" w14:textId="77777777" w:rsidR="003C4E04" w:rsidRPr="00CA7C54" w:rsidRDefault="001E748C" w:rsidP="003B320F">
      <w:pPr>
        <w:widowControl w:val="0"/>
        <w:pBdr>
          <w:top w:val="nil"/>
          <w:left w:val="nil"/>
          <w:bottom w:val="nil"/>
          <w:right w:val="nil"/>
          <w:between w:val="nil"/>
        </w:pBdr>
        <w:spacing w:before="0" w:line="288" w:lineRule="auto"/>
        <w:contextualSpacing/>
        <w:rPr>
          <w:b/>
          <w:color w:val="000000" w:themeColor="text1"/>
          <w:sz w:val="20"/>
          <w:szCs w:val="20"/>
        </w:rPr>
      </w:pPr>
      <w:r w:rsidRPr="00CA7C54">
        <w:rPr>
          <w:b/>
          <w:color w:val="000000" w:themeColor="text1"/>
          <w:sz w:val="20"/>
          <w:szCs w:val="20"/>
        </w:rPr>
        <w:lastRenderedPageBreak/>
        <w:t>Таблиця Г.4</w:t>
      </w:r>
    </w:p>
    <w:tbl>
      <w:tblPr>
        <w:tblStyle w:val="afffffffffffffffffffffffffffffffff1"/>
        <w:tblW w:w="9776" w:type="dxa"/>
        <w:tblLayout w:type="fixed"/>
        <w:tblLook w:val="0000" w:firstRow="0" w:lastRow="0" w:firstColumn="0" w:lastColumn="0" w:noHBand="0" w:noVBand="0"/>
      </w:tblPr>
      <w:tblGrid>
        <w:gridCol w:w="2256"/>
        <w:gridCol w:w="2345"/>
        <w:gridCol w:w="1417"/>
        <w:gridCol w:w="2348"/>
        <w:gridCol w:w="12"/>
        <w:gridCol w:w="1398"/>
      </w:tblGrid>
      <w:tr w:rsidR="00CA7C54" w:rsidRPr="00CA7C54" w14:paraId="73DA7C77" w14:textId="77777777" w:rsidTr="00291E3E">
        <w:trPr>
          <w:tblHeader/>
        </w:trPr>
        <w:tc>
          <w:tcPr>
            <w:tcW w:w="2256" w:type="dxa"/>
            <w:tcBorders>
              <w:top w:val="single" w:sz="4" w:space="0" w:color="000000"/>
              <w:left w:val="single" w:sz="4" w:space="0" w:color="000000"/>
              <w:bottom w:val="single" w:sz="4" w:space="0" w:color="000000"/>
            </w:tcBorders>
            <w:shd w:val="clear" w:color="auto" w:fill="FFFFFF"/>
            <w:vAlign w:val="center"/>
          </w:tcPr>
          <w:p w14:paraId="1EA53E46" w14:textId="77777777" w:rsidR="003C4E04" w:rsidRPr="00291E3E" w:rsidRDefault="001E748C" w:rsidP="003B320F">
            <w:pPr>
              <w:widowControl w:val="0"/>
              <w:spacing w:before="0" w:line="288" w:lineRule="auto"/>
              <w:ind w:firstLine="0"/>
              <w:contextualSpacing/>
              <w:jc w:val="center"/>
              <w:rPr>
                <w:rFonts w:ascii="Arial" w:eastAsia="Arial" w:hAnsi="Arial" w:cs="Arial"/>
                <w:b/>
                <w:color w:val="000000" w:themeColor="text1"/>
                <w:sz w:val="20"/>
                <w:szCs w:val="20"/>
              </w:rPr>
            </w:pPr>
            <w:r w:rsidRPr="00291E3E">
              <w:rPr>
                <w:rFonts w:ascii="Arial" w:eastAsia="Arial" w:hAnsi="Arial" w:cs="Arial"/>
                <w:b/>
                <w:color w:val="000000" w:themeColor="text1"/>
                <w:sz w:val="20"/>
                <w:szCs w:val="20"/>
              </w:rPr>
              <w:t>Матеріал</w:t>
            </w:r>
          </w:p>
        </w:tc>
        <w:tc>
          <w:tcPr>
            <w:tcW w:w="2345" w:type="dxa"/>
            <w:tcBorders>
              <w:top w:val="single" w:sz="4" w:space="0" w:color="000000"/>
              <w:left w:val="single" w:sz="4" w:space="0" w:color="000000"/>
              <w:bottom w:val="single" w:sz="4" w:space="0" w:color="000000"/>
            </w:tcBorders>
            <w:shd w:val="clear" w:color="auto" w:fill="FFFFFF"/>
            <w:vAlign w:val="center"/>
          </w:tcPr>
          <w:p w14:paraId="4452BD46" w14:textId="77777777" w:rsidR="003C4E04" w:rsidRPr="00291E3E" w:rsidRDefault="001E748C" w:rsidP="003B320F">
            <w:pPr>
              <w:widowControl w:val="0"/>
              <w:spacing w:before="0" w:line="288" w:lineRule="auto"/>
              <w:ind w:firstLine="0"/>
              <w:contextualSpacing/>
              <w:jc w:val="center"/>
              <w:rPr>
                <w:rFonts w:ascii="Arial" w:eastAsia="Arial" w:hAnsi="Arial" w:cs="Arial"/>
                <w:b/>
                <w:color w:val="000000" w:themeColor="text1"/>
                <w:sz w:val="20"/>
                <w:szCs w:val="20"/>
              </w:rPr>
            </w:pPr>
            <w:r w:rsidRPr="00291E3E">
              <w:rPr>
                <w:rFonts w:ascii="Arial" w:eastAsia="Arial" w:hAnsi="Arial" w:cs="Arial"/>
                <w:b/>
                <w:color w:val="000000" w:themeColor="text1"/>
                <w:sz w:val="20"/>
                <w:szCs w:val="20"/>
              </w:rPr>
              <w:t>Щільність матеріалу ρ, г/см</w:t>
            </w:r>
            <w:r w:rsidRPr="00291E3E">
              <w:rPr>
                <w:rFonts w:ascii="Arial" w:eastAsia="Arial" w:hAnsi="Arial" w:cs="Arial"/>
                <w:b/>
                <w:color w:val="000000" w:themeColor="text1"/>
                <w:sz w:val="20"/>
                <w:szCs w:val="20"/>
                <w:vertAlign w:val="superscript"/>
              </w:rPr>
              <w:t>3</w:t>
            </w:r>
          </w:p>
        </w:tc>
        <w:tc>
          <w:tcPr>
            <w:tcW w:w="1417" w:type="dxa"/>
            <w:tcBorders>
              <w:top w:val="single" w:sz="4" w:space="0" w:color="000000"/>
              <w:left w:val="single" w:sz="4" w:space="0" w:color="000000"/>
              <w:bottom w:val="single" w:sz="4" w:space="0" w:color="000000"/>
            </w:tcBorders>
            <w:shd w:val="clear" w:color="auto" w:fill="FFFFFF"/>
            <w:vAlign w:val="center"/>
          </w:tcPr>
          <w:p w14:paraId="353408F6" w14:textId="77777777" w:rsidR="003C4E04" w:rsidRPr="00291E3E" w:rsidRDefault="001E748C" w:rsidP="003B320F">
            <w:pPr>
              <w:widowControl w:val="0"/>
              <w:spacing w:before="0" w:line="288" w:lineRule="auto"/>
              <w:ind w:firstLine="0"/>
              <w:contextualSpacing/>
              <w:jc w:val="center"/>
              <w:rPr>
                <w:rFonts w:ascii="Arial" w:eastAsia="Arial" w:hAnsi="Arial" w:cs="Arial"/>
                <w:b/>
                <w:color w:val="000000" w:themeColor="text1"/>
                <w:sz w:val="20"/>
                <w:szCs w:val="20"/>
              </w:rPr>
            </w:pPr>
            <w:r w:rsidRPr="00291E3E">
              <w:rPr>
                <w:rFonts w:ascii="Arial" w:eastAsia="Arial" w:hAnsi="Arial" w:cs="Arial"/>
                <w:b/>
                <w:color w:val="000000" w:themeColor="text1"/>
                <w:sz w:val="20"/>
                <w:szCs w:val="20"/>
              </w:rPr>
              <w:t>Вологість W, %</w:t>
            </w:r>
          </w:p>
        </w:tc>
        <w:tc>
          <w:tcPr>
            <w:tcW w:w="2348" w:type="dxa"/>
            <w:tcBorders>
              <w:top w:val="single" w:sz="4" w:space="0" w:color="000000"/>
              <w:left w:val="single" w:sz="4" w:space="0" w:color="000000"/>
              <w:bottom w:val="single" w:sz="4" w:space="0" w:color="000000"/>
            </w:tcBorders>
            <w:shd w:val="clear" w:color="auto" w:fill="FFFFFF"/>
            <w:vAlign w:val="center"/>
          </w:tcPr>
          <w:p w14:paraId="284899BD" w14:textId="77777777" w:rsidR="003C4E04" w:rsidRPr="00291E3E" w:rsidRDefault="001E748C" w:rsidP="003B320F">
            <w:pPr>
              <w:widowControl w:val="0"/>
              <w:spacing w:before="0" w:line="288" w:lineRule="auto"/>
              <w:ind w:firstLine="0"/>
              <w:contextualSpacing/>
              <w:jc w:val="center"/>
              <w:rPr>
                <w:rFonts w:ascii="Arial" w:eastAsia="Arial" w:hAnsi="Arial" w:cs="Arial"/>
                <w:b/>
                <w:color w:val="000000" w:themeColor="text1"/>
                <w:sz w:val="20"/>
                <w:szCs w:val="20"/>
              </w:rPr>
            </w:pPr>
            <w:r w:rsidRPr="00291E3E">
              <w:rPr>
                <w:rFonts w:ascii="Arial" w:eastAsia="Arial" w:hAnsi="Arial" w:cs="Arial"/>
                <w:b/>
                <w:color w:val="000000" w:themeColor="text1"/>
                <w:sz w:val="20"/>
                <w:szCs w:val="20"/>
              </w:rPr>
              <w:t>Товщина, см</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43EAF5F" w14:textId="77777777" w:rsidR="003C4E04" w:rsidRPr="00291E3E" w:rsidRDefault="001E748C" w:rsidP="003B320F">
            <w:pPr>
              <w:widowControl w:val="0"/>
              <w:spacing w:before="0" w:line="288" w:lineRule="auto"/>
              <w:ind w:firstLine="0"/>
              <w:contextualSpacing/>
              <w:jc w:val="center"/>
              <w:rPr>
                <w:rFonts w:ascii="Arial" w:eastAsia="Arial" w:hAnsi="Arial" w:cs="Arial"/>
                <w:b/>
                <w:i/>
                <w:color w:val="000000" w:themeColor="text1"/>
                <w:sz w:val="20"/>
                <w:szCs w:val="20"/>
              </w:rPr>
            </w:pPr>
            <w:r w:rsidRPr="00291E3E">
              <w:rPr>
                <w:rFonts w:ascii="Arial" w:eastAsia="Arial" w:hAnsi="Arial" w:cs="Arial"/>
                <w:b/>
                <w:i/>
                <w:color w:val="000000" w:themeColor="text1"/>
                <w:sz w:val="20"/>
                <w:szCs w:val="20"/>
              </w:rPr>
              <w:t>К</w:t>
            </w:r>
            <w:r w:rsidRPr="00291E3E">
              <w:rPr>
                <w:rFonts w:ascii="Arial" w:eastAsia="Arial" w:hAnsi="Arial" w:cs="Arial"/>
                <w:b/>
                <w:i/>
                <w:color w:val="000000" w:themeColor="text1"/>
                <w:sz w:val="20"/>
                <w:szCs w:val="20"/>
                <w:vertAlign w:val="subscript"/>
              </w:rPr>
              <w:t>N</w:t>
            </w:r>
          </w:p>
        </w:tc>
      </w:tr>
      <w:tr w:rsidR="00CA7C54" w:rsidRPr="00CA7C54" w14:paraId="629BECE2" w14:textId="77777777" w:rsidTr="00291E3E">
        <w:trPr>
          <w:trHeight w:hRule="exact" w:val="454"/>
        </w:trPr>
        <w:tc>
          <w:tcPr>
            <w:tcW w:w="2256" w:type="dxa"/>
            <w:vMerge w:val="restart"/>
            <w:tcBorders>
              <w:top w:val="single" w:sz="4" w:space="0" w:color="000000"/>
              <w:left w:val="single" w:sz="4" w:space="0" w:color="000000"/>
              <w:bottom w:val="single" w:sz="4" w:space="0" w:color="000000"/>
            </w:tcBorders>
            <w:shd w:val="clear" w:color="auto" w:fill="FFFFFF"/>
          </w:tcPr>
          <w:p w14:paraId="1FE5E0D6"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Пісок</w:t>
            </w:r>
          </w:p>
        </w:tc>
        <w:tc>
          <w:tcPr>
            <w:tcW w:w="2345" w:type="dxa"/>
            <w:vMerge w:val="restart"/>
            <w:tcBorders>
              <w:top w:val="single" w:sz="4" w:space="0" w:color="000000"/>
              <w:left w:val="single" w:sz="4" w:space="0" w:color="000000"/>
              <w:bottom w:val="single" w:sz="4" w:space="0" w:color="000000"/>
            </w:tcBorders>
            <w:shd w:val="clear" w:color="auto" w:fill="FFFFFF"/>
          </w:tcPr>
          <w:p w14:paraId="50EF321B"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1417" w:type="dxa"/>
            <w:vMerge w:val="restart"/>
            <w:tcBorders>
              <w:top w:val="single" w:sz="4" w:space="0" w:color="000000"/>
              <w:left w:val="single" w:sz="4" w:space="0" w:color="000000"/>
              <w:bottom w:val="single" w:sz="4" w:space="0" w:color="000000"/>
            </w:tcBorders>
            <w:shd w:val="clear" w:color="auto" w:fill="FFFFFF"/>
          </w:tcPr>
          <w:p w14:paraId="036210C7"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p>
        </w:tc>
        <w:tc>
          <w:tcPr>
            <w:tcW w:w="2348" w:type="dxa"/>
            <w:tcBorders>
              <w:top w:val="single" w:sz="4" w:space="0" w:color="000000"/>
              <w:left w:val="single" w:sz="4" w:space="0" w:color="000000"/>
              <w:bottom w:val="single" w:sz="4" w:space="0" w:color="000000"/>
            </w:tcBorders>
            <w:shd w:val="clear" w:color="auto" w:fill="FFFFFF"/>
          </w:tcPr>
          <w:p w14:paraId="642A4309"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45A9892"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06CD83DE"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12DB7DC2"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09744549"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4C92B1C6"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32BAD1DF"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35</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41222CA"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7481C4BE"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15487F04"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193D8C1B"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69349E81"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22B1ABA2"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35 до 50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512277E"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40118680"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165A12A"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22E490B7"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359088C2"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04DB50DF"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50 до 80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BA3F0B"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06DC25DF"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7B61BFED"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700CE8B9"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3A48E456"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196C9D13"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80 до 150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6D28F9B"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CA7C54" w:rsidRPr="00CA7C54" w14:paraId="037E9D32" w14:textId="77777777" w:rsidTr="00291E3E">
        <w:trPr>
          <w:trHeight w:hRule="exact" w:val="454"/>
        </w:trPr>
        <w:tc>
          <w:tcPr>
            <w:tcW w:w="2256" w:type="dxa"/>
            <w:vMerge w:val="restart"/>
            <w:tcBorders>
              <w:top w:val="single" w:sz="4" w:space="0" w:color="000000"/>
              <w:left w:val="single" w:sz="4" w:space="0" w:color="000000"/>
              <w:bottom w:val="single" w:sz="4" w:space="0" w:color="000000"/>
            </w:tcBorders>
            <w:shd w:val="clear" w:color="auto" w:fill="FFFFFF"/>
          </w:tcPr>
          <w:p w14:paraId="46A5998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Супісок</w:t>
            </w:r>
          </w:p>
        </w:tc>
        <w:tc>
          <w:tcPr>
            <w:tcW w:w="2345" w:type="dxa"/>
            <w:vMerge w:val="restart"/>
            <w:tcBorders>
              <w:top w:val="single" w:sz="4" w:space="0" w:color="000000"/>
              <w:left w:val="single" w:sz="4" w:space="0" w:color="000000"/>
              <w:bottom w:val="single" w:sz="4" w:space="0" w:color="000000"/>
            </w:tcBorders>
            <w:shd w:val="clear" w:color="auto" w:fill="FFFFFF"/>
          </w:tcPr>
          <w:p w14:paraId="59FFAEC0"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1417" w:type="dxa"/>
            <w:vMerge w:val="restart"/>
            <w:tcBorders>
              <w:top w:val="single" w:sz="4" w:space="0" w:color="000000"/>
              <w:left w:val="single" w:sz="4" w:space="0" w:color="000000"/>
              <w:bottom w:val="single" w:sz="4" w:space="0" w:color="000000"/>
            </w:tcBorders>
            <w:shd w:val="clear" w:color="auto" w:fill="FFFFFF"/>
          </w:tcPr>
          <w:p w14:paraId="40DFEC5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2348" w:type="dxa"/>
            <w:tcBorders>
              <w:top w:val="single" w:sz="4" w:space="0" w:color="000000"/>
              <w:left w:val="single" w:sz="4" w:space="0" w:color="000000"/>
              <w:bottom w:val="single" w:sz="4" w:space="0" w:color="000000"/>
            </w:tcBorders>
            <w:shd w:val="clear" w:color="auto" w:fill="FFFFFF"/>
          </w:tcPr>
          <w:p w14:paraId="697BAC36"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15</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88A7A32"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r>
      <w:tr w:rsidR="00CA7C54" w:rsidRPr="00CA7C54" w14:paraId="54FB17EE"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2B613027"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4A81095B"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5350C2F2"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5C53A46A"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15 до 30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D762EF"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2B5B2AAE"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FD1ECA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7370079F"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2BE159DF"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7F418445"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30 до 45</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7C371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408D710F"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6381123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69A4292F"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59CCD72D"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2267B0CB"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45 до 110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F60E3F"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68EC7EFC"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0D373521"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19FDDCF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3B122554"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422ED332"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110 до 150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968EA2D"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7E706B13" w14:textId="77777777" w:rsidTr="00291E3E">
        <w:trPr>
          <w:trHeight w:hRule="exact" w:val="454"/>
        </w:trPr>
        <w:tc>
          <w:tcPr>
            <w:tcW w:w="2256" w:type="dxa"/>
            <w:tcBorders>
              <w:top w:val="single" w:sz="4" w:space="0" w:color="000000"/>
              <w:left w:val="single" w:sz="4" w:space="0" w:color="000000"/>
              <w:bottom w:val="single" w:sz="4" w:space="0" w:color="000000"/>
            </w:tcBorders>
            <w:shd w:val="clear" w:color="auto" w:fill="FFFFFF"/>
          </w:tcPr>
          <w:p w14:paraId="53D0840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Суглинок</w:t>
            </w:r>
          </w:p>
        </w:tc>
        <w:tc>
          <w:tcPr>
            <w:tcW w:w="2345" w:type="dxa"/>
            <w:tcBorders>
              <w:top w:val="single" w:sz="4" w:space="0" w:color="000000"/>
              <w:left w:val="single" w:sz="4" w:space="0" w:color="000000"/>
              <w:bottom w:val="single" w:sz="4" w:space="0" w:color="000000"/>
            </w:tcBorders>
            <w:shd w:val="clear" w:color="auto" w:fill="FFFFFF"/>
          </w:tcPr>
          <w:p w14:paraId="0166E641"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1,95</w:t>
            </w:r>
          </w:p>
        </w:tc>
        <w:tc>
          <w:tcPr>
            <w:tcW w:w="1417" w:type="dxa"/>
            <w:tcBorders>
              <w:top w:val="single" w:sz="4" w:space="0" w:color="000000"/>
              <w:left w:val="single" w:sz="4" w:space="0" w:color="000000"/>
              <w:bottom w:val="single" w:sz="4" w:space="0" w:color="000000"/>
            </w:tcBorders>
            <w:shd w:val="clear" w:color="auto" w:fill="FFFFFF"/>
          </w:tcPr>
          <w:p w14:paraId="639C04E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w:t>
            </w:r>
          </w:p>
        </w:tc>
        <w:tc>
          <w:tcPr>
            <w:tcW w:w="2348" w:type="dxa"/>
            <w:tcBorders>
              <w:top w:val="single" w:sz="4" w:space="0" w:color="000000"/>
              <w:left w:val="single" w:sz="4" w:space="0" w:color="000000"/>
              <w:bottom w:val="single" w:sz="4" w:space="0" w:color="000000"/>
            </w:tcBorders>
            <w:shd w:val="clear" w:color="auto" w:fill="FFFFFF"/>
          </w:tcPr>
          <w:p w14:paraId="73761CF0"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40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5411FDF"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2D97BFD5" w14:textId="77777777" w:rsidTr="00291E3E">
        <w:trPr>
          <w:trHeight w:hRule="exact" w:val="454"/>
        </w:trPr>
        <w:tc>
          <w:tcPr>
            <w:tcW w:w="2256" w:type="dxa"/>
            <w:tcBorders>
              <w:top w:val="single" w:sz="4" w:space="0" w:color="000000"/>
              <w:left w:val="single" w:sz="4" w:space="0" w:color="000000"/>
              <w:bottom w:val="single" w:sz="4" w:space="0" w:color="000000"/>
            </w:tcBorders>
            <w:shd w:val="clear" w:color="auto" w:fill="FFFFFF"/>
          </w:tcPr>
          <w:p w14:paraId="39C8B98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Ліс</w:t>
            </w:r>
          </w:p>
        </w:tc>
        <w:tc>
          <w:tcPr>
            <w:tcW w:w="2345" w:type="dxa"/>
            <w:tcBorders>
              <w:top w:val="single" w:sz="4" w:space="0" w:color="000000"/>
              <w:left w:val="single" w:sz="4" w:space="0" w:color="000000"/>
              <w:bottom w:val="single" w:sz="4" w:space="0" w:color="000000"/>
            </w:tcBorders>
            <w:shd w:val="clear" w:color="auto" w:fill="FFFFFF"/>
          </w:tcPr>
          <w:p w14:paraId="6482532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w:t>
            </w:r>
          </w:p>
        </w:tc>
        <w:tc>
          <w:tcPr>
            <w:tcW w:w="1417" w:type="dxa"/>
            <w:tcBorders>
              <w:top w:val="single" w:sz="4" w:space="0" w:color="000000"/>
              <w:left w:val="single" w:sz="4" w:space="0" w:color="000000"/>
              <w:bottom w:val="single" w:sz="4" w:space="0" w:color="000000"/>
            </w:tcBorders>
            <w:shd w:val="clear" w:color="auto" w:fill="FFFFFF"/>
          </w:tcPr>
          <w:p w14:paraId="76BDA4B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w:t>
            </w:r>
          </w:p>
        </w:tc>
        <w:tc>
          <w:tcPr>
            <w:tcW w:w="2348" w:type="dxa"/>
            <w:tcBorders>
              <w:top w:val="single" w:sz="4" w:space="0" w:color="000000"/>
              <w:left w:val="single" w:sz="4" w:space="0" w:color="000000"/>
              <w:bottom w:val="single" w:sz="4" w:space="0" w:color="000000"/>
            </w:tcBorders>
            <w:shd w:val="clear" w:color="auto" w:fill="FFFFFF"/>
          </w:tcPr>
          <w:p w14:paraId="6465B3C2"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40 до 150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CAE163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649A521B" w14:textId="77777777" w:rsidTr="00291E3E">
        <w:trPr>
          <w:trHeight w:hRule="exact" w:val="454"/>
        </w:trPr>
        <w:tc>
          <w:tcPr>
            <w:tcW w:w="2256" w:type="dxa"/>
            <w:tcBorders>
              <w:top w:val="single" w:sz="4" w:space="0" w:color="000000"/>
              <w:left w:val="single" w:sz="4" w:space="0" w:color="000000"/>
              <w:bottom w:val="single" w:sz="4" w:space="0" w:color="000000"/>
            </w:tcBorders>
            <w:shd w:val="clear" w:color="auto" w:fill="FFFFFF"/>
          </w:tcPr>
          <w:p w14:paraId="31A72586"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Глина</w:t>
            </w:r>
          </w:p>
        </w:tc>
        <w:tc>
          <w:tcPr>
            <w:tcW w:w="2345" w:type="dxa"/>
            <w:tcBorders>
              <w:top w:val="single" w:sz="4" w:space="0" w:color="000000"/>
              <w:left w:val="single" w:sz="4" w:space="0" w:color="000000"/>
              <w:bottom w:val="single" w:sz="4" w:space="0" w:color="000000"/>
            </w:tcBorders>
            <w:shd w:val="clear" w:color="auto" w:fill="FFFFFF"/>
          </w:tcPr>
          <w:p w14:paraId="745742AB"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w:t>
            </w:r>
          </w:p>
        </w:tc>
        <w:tc>
          <w:tcPr>
            <w:tcW w:w="1417" w:type="dxa"/>
            <w:tcBorders>
              <w:top w:val="single" w:sz="4" w:space="0" w:color="000000"/>
              <w:left w:val="single" w:sz="4" w:space="0" w:color="000000"/>
              <w:bottom w:val="single" w:sz="4" w:space="0" w:color="000000"/>
            </w:tcBorders>
            <w:shd w:val="clear" w:color="auto" w:fill="FFFFFF"/>
          </w:tcPr>
          <w:p w14:paraId="52A594C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2360" w:type="dxa"/>
            <w:gridSpan w:val="2"/>
            <w:tcBorders>
              <w:top w:val="single" w:sz="4" w:space="0" w:color="000000"/>
              <w:left w:val="single" w:sz="4" w:space="0" w:color="000000"/>
              <w:bottom w:val="single" w:sz="4" w:space="0" w:color="000000"/>
            </w:tcBorders>
            <w:shd w:val="clear" w:color="auto" w:fill="FFFFFF"/>
          </w:tcPr>
          <w:p w14:paraId="35497D78"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40 до 150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5F5F4300"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7240C1F8" w14:textId="77777777" w:rsidTr="00291E3E">
        <w:trPr>
          <w:trHeight w:hRule="exact" w:val="454"/>
        </w:trPr>
        <w:tc>
          <w:tcPr>
            <w:tcW w:w="2256" w:type="dxa"/>
            <w:vMerge w:val="restart"/>
            <w:tcBorders>
              <w:top w:val="single" w:sz="4" w:space="0" w:color="000000"/>
              <w:left w:val="single" w:sz="4" w:space="0" w:color="000000"/>
              <w:bottom w:val="single" w:sz="4" w:space="0" w:color="000000"/>
            </w:tcBorders>
            <w:shd w:val="clear" w:color="auto" w:fill="FFFFFF"/>
          </w:tcPr>
          <w:p w14:paraId="0F4CC05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Бетон</w:t>
            </w:r>
          </w:p>
        </w:tc>
        <w:tc>
          <w:tcPr>
            <w:tcW w:w="2345" w:type="dxa"/>
            <w:vMerge w:val="restart"/>
            <w:tcBorders>
              <w:top w:val="single" w:sz="4" w:space="0" w:color="000000"/>
              <w:left w:val="single" w:sz="4" w:space="0" w:color="000000"/>
              <w:bottom w:val="single" w:sz="4" w:space="0" w:color="000000"/>
            </w:tcBorders>
            <w:shd w:val="clear" w:color="auto" w:fill="FFFFFF"/>
          </w:tcPr>
          <w:p w14:paraId="0E7C4824"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w:t>
            </w:r>
          </w:p>
        </w:tc>
        <w:tc>
          <w:tcPr>
            <w:tcW w:w="1417" w:type="dxa"/>
            <w:vMerge w:val="restart"/>
            <w:tcBorders>
              <w:top w:val="single" w:sz="4" w:space="0" w:color="000000"/>
              <w:left w:val="single" w:sz="4" w:space="0" w:color="000000"/>
              <w:bottom w:val="single" w:sz="4" w:space="0" w:color="000000"/>
            </w:tcBorders>
            <w:shd w:val="clear" w:color="auto" w:fill="FFFFFF"/>
          </w:tcPr>
          <w:p w14:paraId="50E841D4"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360" w:type="dxa"/>
            <w:gridSpan w:val="2"/>
            <w:tcBorders>
              <w:top w:val="single" w:sz="4" w:space="0" w:color="000000"/>
              <w:left w:val="single" w:sz="4" w:space="0" w:color="000000"/>
              <w:bottom w:val="single" w:sz="4" w:space="0" w:color="000000"/>
            </w:tcBorders>
            <w:shd w:val="clear" w:color="auto" w:fill="FFFFFF"/>
          </w:tcPr>
          <w:p w14:paraId="7932370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15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16771A83"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2604C0ED"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95E31A4"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6DA345CE"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2BB9D8E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13C2496B"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15 до 25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1F875641"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68C87640"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1F69F840"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3F6572E9"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31F62F4F"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4C81BB4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25 до 40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27FB2508"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44FEC0A8"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6D6D66FD"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1914EDC6"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52F29421"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3F298F9A"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40 до 65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3876EA14"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1C26675D"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7C31BA21"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1ABE80AC"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195B038E"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53A4137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65 до 150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588C5F0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CA7C54" w:rsidRPr="00CA7C54" w14:paraId="7DECAEA4" w14:textId="77777777" w:rsidTr="00291E3E">
        <w:trPr>
          <w:trHeight w:hRule="exact" w:val="454"/>
        </w:trPr>
        <w:tc>
          <w:tcPr>
            <w:tcW w:w="2256" w:type="dxa"/>
            <w:vMerge w:val="restart"/>
            <w:tcBorders>
              <w:top w:val="single" w:sz="4" w:space="0" w:color="000000"/>
              <w:left w:val="single" w:sz="4" w:space="0" w:color="000000"/>
              <w:bottom w:val="single" w:sz="4" w:space="0" w:color="000000"/>
            </w:tcBorders>
            <w:shd w:val="clear" w:color="auto" w:fill="FFFFFF"/>
          </w:tcPr>
          <w:p w14:paraId="085809C5"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Бетон</w:t>
            </w:r>
          </w:p>
        </w:tc>
        <w:tc>
          <w:tcPr>
            <w:tcW w:w="2345" w:type="dxa"/>
            <w:vMerge w:val="restart"/>
            <w:tcBorders>
              <w:top w:val="single" w:sz="4" w:space="0" w:color="000000"/>
              <w:left w:val="single" w:sz="4" w:space="0" w:color="000000"/>
              <w:bottom w:val="single" w:sz="4" w:space="0" w:color="000000"/>
            </w:tcBorders>
            <w:shd w:val="clear" w:color="auto" w:fill="FFFFFF"/>
          </w:tcPr>
          <w:p w14:paraId="347B79C6"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w:t>
            </w:r>
          </w:p>
        </w:tc>
        <w:tc>
          <w:tcPr>
            <w:tcW w:w="1417" w:type="dxa"/>
            <w:vMerge w:val="restart"/>
            <w:tcBorders>
              <w:top w:val="single" w:sz="4" w:space="0" w:color="000000"/>
              <w:left w:val="single" w:sz="4" w:space="0" w:color="000000"/>
              <w:bottom w:val="single" w:sz="4" w:space="0" w:color="000000"/>
            </w:tcBorders>
            <w:shd w:val="clear" w:color="auto" w:fill="FFFFFF"/>
          </w:tcPr>
          <w:p w14:paraId="7FFB6509"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2360" w:type="dxa"/>
            <w:gridSpan w:val="2"/>
            <w:tcBorders>
              <w:top w:val="single" w:sz="4" w:space="0" w:color="000000"/>
              <w:left w:val="single" w:sz="4" w:space="0" w:color="000000"/>
              <w:bottom w:val="single" w:sz="4" w:space="0" w:color="000000"/>
            </w:tcBorders>
            <w:shd w:val="clear" w:color="auto" w:fill="FFFFFF"/>
          </w:tcPr>
          <w:p w14:paraId="6A600EB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02226E43"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797C9D5F"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7BF4D385"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7A639584"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596BE110"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1AA6033F"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35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6DD758F5"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7F13223B"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CAE34C8"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022BAC75"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6083C92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3AC82C3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35 до 105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2C561FEA"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454D25A6"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1C15238D"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7201A446"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4407F948"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00F30FB5"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105 до 140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07AE5059"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4EAD0851"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BAA22F1"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090B3A3E"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0EC602F7"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5D6C782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140 до 150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254B23E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bl>
    <w:p w14:paraId="5F24FC7E" w14:textId="77777777" w:rsidR="00291E3E" w:rsidRDefault="00291E3E">
      <w:r>
        <w:br w:type="page"/>
      </w:r>
    </w:p>
    <w:tbl>
      <w:tblPr>
        <w:tblStyle w:val="afffffffffffffffffffffffffffffffff1"/>
        <w:tblW w:w="9634" w:type="dxa"/>
        <w:tblInd w:w="5" w:type="dxa"/>
        <w:tblLayout w:type="fixed"/>
        <w:tblLook w:val="0000" w:firstRow="0" w:lastRow="0" w:firstColumn="0" w:lastColumn="0" w:noHBand="0" w:noVBand="0"/>
      </w:tblPr>
      <w:tblGrid>
        <w:gridCol w:w="1695"/>
        <w:gridCol w:w="568"/>
        <w:gridCol w:w="2127"/>
        <w:gridCol w:w="1415"/>
        <w:gridCol w:w="2125"/>
        <w:gridCol w:w="1704"/>
      </w:tblGrid>
      <w:tr w:rsidR="00291E3E" w:rsidRPr="00CA7C54" w14:paraId="56F6A39A" w14:textId="77777777" w:rsidTr="00291E3E">
        <w:trPr>
          <w:trHeight w:hRule="exact" w:val="340"/>
        </w:trPr>
        <w:tc>
          <w:tcPr>
            <w:tcW w:w="9634" w:type="dxa"/>
            <w:gridSpan w:val="6"/>
            <w:tcBorders>
              <w:top w:val="nil"/>
              <w:bottom w:val="single" w:sz="4" w:space="0" w:color="000000"/>
            </w:tcBorders>
            <w:shd w:val="clear" w:color="auto" w:fill="FFFFFF"/>
          </w:tcPr>
          <w:p w14:paraId="28F74B49" w14:textId="77777777" w:rsidR="00291E3E" w:rsidRDefault="00291E3E" w:rsidP="00291E3E">
            <w:pPr>
              <w:widowControl w:val="0"/>
              <w:spacing w:before="0" w:line="288" w:lineRule="auto"/>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Г.4</w:t>
            </w:r>
          </w:p>
          <w:p w14:paraId="320FFD5F" w14:textId="77777777" w:rsidR="00291E3E" w:rsidRDefault="00291E3E" w:rsidP="00291E3E">
            <w:pPr>
              <w:widowControl w:val="0"/>
              <w:spacing w:before="0" w:line="288" w:lineRule="auto"/>
              <w:ind w:firstLine="0"/>
              <w:contextualSpacing/>
              <w:jc w:val="left"/>
              <w:rPr>
                <w:rFonts w:ascii="Arial" w:hAnsi="Arial" w:cs="Arial"/>
                <w:color w:val="000000" w:themeColor="text1"/>
                <w:sz w:val="21"/>
                <w:szCs w:val="21"/>
              </w:rPr>
            </w:pPr>
          </w:p>
          <w:p w14:paraId="2A77F4CA" w14:textId="77777777" w:rsidR="00291E3E" w:rsidRPr="00CA7C54" w:rsidRDefault="00291E3E" w:rsidP="00291E3E">
            <w:pPr>
              <w:widowControl w:val="0"/>
              <w:spacing w:before="0" w:line="288" w:lineRule="auto"/>
              <w:ind w:firstLine="0"/>
              <w:contextualSpacing/>
              <w:jc w:val="left"/>
              <w:rPr>
                <w:color w:val="000000" w:themeColor="text1"/>
                <w:sz w:val="21"/>
                <w:szCs w:val="21"/>
              </w:rPr>
            </w:pPr>
          </w:p>
        </w:tc>
      </w:tr>
      <w:tr w:rsidR="00291E3E" w:rsidRPr="00CA7C54" w14:paraId="1CF58781" w14:textId="77777777" w:rsidTr="00291E3E">
        <w:trPr>
          <w:trHeight w:hRule="exact" w:val="658"/>
        </w:trPr>
        <w:tc>
          <w:tcPr>
            <w:tcW w:w="2263" w:type="dxa"/>
            <w:gridSpan w:val="2"/>
            <w:tcBorders>
              <w:top w:val="nil"/>
              <w:left w:val="single" w:sz="4" w:space="0" w:color="auto"/>
              <w:bottom w:val="single" w:sz="4" w:space="0" w:color="000000"/>
              <w:right w:val="single" w:sz="4" w:space="0" w:color="auto"/>
            </w:tcBorders>
            <w:shd w:val="clear" w:color="auto" w:fill="FFFFFF"/>
            <w:vAlign w:val="center"/>
          </w:tcPr>
          <w:p w14:paraId="4EEF29F4" w14:textId="77777777" w:rsidR="00291E3E" w:rsidRPr="00CA7C54" w:rsidRDefault="00291E3E" w:rsidP="00291E3E">
            <w:pPr>
              <w:widowControl w:val="0"/>
              <w:spacing w:before="0" w:line="288" w:lineRule="auto"/>
              <w:ind w:firstLine="0"/>
              <w:contextualSpacing/>
              <w:jc w:val="left"/>
              <w:rPr>
                <w:color w:val="000000" w:themeColor="text1"/>
                <w:sz w:val="21"/>
                <w:szCs w:val="21"/>
              </w:rPr>
            </w:pPr>
            <w:r w:rsidRPr="00291E3E">
              <w:rPr>
                <w:rFonts w:ascii="Arial" w:eastAsia="Arial" w:hAnsi="Arial" w:cs="Arial"/>
                <w:b/>
                <w:color w:val="000000" w:themeColor="text1"/>
                <w:sz w:val="20"/>
                <w:szCs w:val="20"/>
              </w:rPr>
              <w:t>Матеріал</w:t>
            </w:r>
          </w:p>
        </w:tc>
        <w:tc>
          <w:tcPr>
            <w:tcW w:w="2127" w:type="dxa"/>
            <w:tcBorders>
              <w:top w:val="nil"/>
              <w:left w:val="single" w:sz="4" w:space="0" w:color="auto"/>
              <w:bottom w:val="single" w:sz="4" w:space="0" w:color="000000"/>
              <w:right w:val="single" w:sz="4" w:space="0" w:color="auto"/>
            </w:tcBorders>
            <w:shd w:val="clear" w:color="auto" w:fill="FFFFFF"/>
            <w:vAlign w:val="center"/>
          </w:tcPr>
          <w:p w14:paraId="48295BC5" w14:textId="77777777" w:rsidR="00291E3E" w:rsidRPr="00CA7C54" w:rsidRDefault="00291E3E" w:rsidP="00291E3E">
            <w:pPr>
              <w:widowControl w:val="0"/>
              <w:spacing w:before="0" w:line="288" w:lineRule="auto"/>
              <w:ind w:firstLine="0"/>
              <w:contextualSpacing/>
              <w:jc w:val="center"/>
              <w:rPr>
                <w:color w:val="000000" w:themeColor="text1"/>
                <w:sz w:val="21"/>
                <w:szCs w:val="21"/>
              </w:rPr>
            </w:pPr>
            <w:r w:rsidRPr="00291E3E">
              <w:rPr>
                <w:rFonts w:ascii="Arial" w:eastAsia="Arial" w:hAnsi="Arial" w:cs="Arial"/>
                <w:b/>
                <w:color w:val="000000" w:themeColor="text1"/>
                <w:sz w:val="20"/>
                <w:szCs w:val="20"/>
              </w:rPr>
              <w:t>Щільність матеріалу ρ, г/см</w:t>
            </w:r>
            <w:r w:rsidRPr="00291E3E">
              <w:rPr>
                <w:rFonts w:ascii="Arial" w:eastAsia="Arial" w:hAnsi="Arial" w:cs="Arial"/>
                <w:b/>
                <w:color w:val="000000" w:themeColor="text1"/>
                <w:sz w:val="20"/>
                <w:szCs w:val="20"/>
                <w:vertAlign w:val="superscript"/>
              </w:rPr>
              <w:t>3</w:t>
            </w:r>
          </w:p>
        </w:tc>
        <w:tc>
          <w:tcPr>
            <w:tcW w:w="1415" w:type="dxa"/>
            <w:tcBorders>
              <w:top w:val="nil"/>
              <w:left w:val="single" w:sz="4" w:space="0" w:color="auto"/>
              <w:bottom w:val="single" w:sz="4" w:space="0" w:color="000000"/>
              <w:right w:val="single" w:sz="4" w:space="0" w:color="auto"/>
            </w:tcBorders>
            <w:shd w:val="clear" w:color="auto" w:fill="FFFFFF"/>
            <w:vAlign w:val="center"/>
          </w:tcPr>
          <w:p w14:paraId="75B25E25" w14:textId="77777777" w:rsidR="00291E3E" w:rsidRPr="00CA7C54" w:rsidRDefault="00291E3E" w:rsidP="00291E3E">
            <w:pPr>
              <w:widowControl w:val="0"/>
              <w:spacing w:before="0" w:line="288" w:lineRule="auto"/>
              <w:ind w:firstLine="0"/>
              <w:contextualSpacing/>
              <w:jc w:val="center"/>
              <w:rPr>
                <w:color w:val="000000" w:themeColor="text1"/>
                <w:sz w:val="21"/>
                <w:szCs w:val="21"/>
              </w:rPr>
            </w:pPr>
            <w:r w:rsidRPr="00291E3E">
              <w:rPr>
                <w:rFonts w:ascii="Arial" w:eastAsia="Arial" w:hAnsi="Arial" w:cs="Arial"/>
                <w:b/>
                <w:color w:val="000000" w:themeColor="text1"/>
                <w:sz w:val="20"/>
                <w:szCs w:val="20"/>
              </w:rPr>
              <w:t>Вологість W, %</w:t>
            </w:r>
          </w:p>
        </w:tc>
        <w:tc>
          <w:tcPr>
            <w:tcW w:w="2125" w:type="dxa"/>
            <w:tcBorders>
              <w:top w:val="nil"/>
              <w:left w:val="single" w:sz="4" w:space="0" w:color="auto"/>
              <w:bottom w:val="single" w:sz="4" w:space="0" w:color="000000"/>
              <w:right w:val="single" w:sz="4" w:space="0" w:color="auto"/>
            </w:tcBorders>
            <w:shd w:val="clear" w:color="auto" w:fill="FFFFFF"/>
            <w:vAlign w:val="center"/>
          </w:tcPr>
          <w:p w14:paraId="56D29984" w14:textId="77777777" w:rsidR="00291E3E" w:rsidRPr="00CA7C54" w:rsidRDefault="00291E3E" w:rsidP="00291E3E">
            <w:pPr>
              <w:widowControl w:val="0"/>
              <w:spacing w:before="0" w:line="288" w:lineRule="auto"/>
              <w:ind w:firstLine="0"/>
              <w:contextualSpacing/>
              <w:jc w:val="left"/>
              <w:rPr>
                <w:color w:val="000000" w:themeColor="text1"/>
                <w:sz w:val="21"/>
                <w:szCs w:val="21"/>
              </w:rPr>
            </w:pPr>
            <w:r w:rsidRPr="00291E3E">
              <w:rPr>
                <w:rFonts w:ascii="Arial" w:eastAsia="Arial" w:hAnsi="Arial" w:cs="Arial"/>
                <w:b/>
                <w:color w:val="000000" w:themeColor="text1"/>
                <w:sz w:val="20"/>
                <w:szCs w:val="20"/>
              </w:rPr>
              <w:t>Товщина, см</w:t>
            </w:r>
          </w:p>
        </w:tc>
        <w:tc>
          <w:tcPr>
            <w:tcW w:w="1704" w:type="dxa"/>
            <w:tcBorders>
              <w:top w:val="nil"/>
              <w:left w:val="single" w:sz="4" w:space="0" w:color="auto"/>
              <w:bottom w:val="single" w:sz="4" w:space="0" w:color="000000"/>
              <w:right w:val="single" w:sz="4" w:space="0" w:color="auto"/>
            </w:tcBorders>
            <w:shd w:val="clear" w:color="auto" w:fill="FFFFFF"/>
            <w:vAlign w:val="center"/>
          </w:tcPr>
          <w:p w14:paraId="68584254" w14:textId="77777777" w:rsidR="00291E3E" w:rsidRPr="00CA7C54" w:rsidRDefault="00291E3E" w:rsidP="00291E3E">
            <w:pPr>
              <w:widowControl w:val="0"/>
              <w:spacing w:before="0" w:line="288" w:lineRule="auto"/>
              <w:ind w:firstLine="0"/>
              <w:contextualSpacing/>
              <w:jc w:val="left"/>
              <w:rPr>
                <w:color w:val="000000" w:themeColor="text1"/>
                <w:sz w:val="21"/>
                <w:szCs w:val="21"/>
              </w:rPr>
            </w:pPr>
            <w:r w:rsidRPr="00291E3E">
              <w:rPr>
                <w:rFonts w:ascii="Arial" w:eastAsia="Arial" w:hAnsi="Arial" w:cs="Arial"/>
                <w:b/>
                <w:i/>
                <w:color w:val="000000" w:themeColor="text1"/>
                <w:sz w:val="20"/>
                <w:szCs w:val="20"/>
              </w:rPr>
              <w:t>К</w:t>
            </w:r>
            <w:r w:rsidRPr="00291E3E">
              <w:rPr>
                <w:rFonts w:ascii="Arial" w:eastAsia="Arial" w:hAnsi="Arial" w:cs="Arial"/>
                <w:b/>
                <w:i/>
                <w:color w:val="000000" w:themeColor="text1"/>
                <w:sz w:val="20"/>
                <w:szCs w:val="20"/>
                <w:vertAlign w:val="subscript"/>
              </w:rPr>
              <w:t>N</w:t>
            </w:r>
          </w:p>
        </w:tc>
      </w:tr>
      <w:tr w:rsidR="00291E3E" w:rsidRPr="00CA7C54" w14:paraId="2049C11C" w14:textId="77777777" w:rsidTr="00291E3E">
        <w:trPr>
          <w:trHeight w:hRule="exact" w:val="454"/>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125C246D"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Кладка із глиняної повнотілої цегли</w:t>
            </w:r>
          </w:p>
        </w:tc>
        <w:tc>
          <w:tcPr>
            <w:tcW w:w="2127" w:type="dxa"/>
            <w:vMerge w:val="restart"/>
            <w:tcBorders>
              <w:top w:val="single" w:sz="4" w:space="0" w:color="000000"/>
              <w:left w:val="single" w:sz="4" w:space="0" w:color="000000"/>
              <w:bottom w:val="single" w:sz="4" w:space="0" w:color="000000"/>
            </w:tcBorders>
            <w:shd w:val="clear" w:color="auto" w:fill="FFFFFF"/>
          </w:tcPr>
          <w:p w14:paraId="73EE24C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1,84</w:t>
            </w:r>
          </w:p>
        </w:tc>
        <w:tc>
          <w:tcPr>
            <w:tcW w:w="1415" w:type="dxa"/>
            <w:vMerge w:val="restart"/>
            <w:tcBorders>
              <w:top w:val="single" w:sz="4" w:space="0" w:color="000000"/>
              <w:left w:val="single" w:sz="4" w:space="0" w:color="000000"/>
              <w:bottom w:val="single" w:sz="4" w:space="0" w:color="000000"/>
            </w:tcBorders>
            <w:shd w:val="clear" w:color="auto" w:fill="FFFFFF"/>
          </w:tcPr>
          <w:p w14:paraId="1206464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p>
        </w:tc>
        <w:tc>
          <w:tcPr>
            <w:tcW w:w="2125" w:type="dxa"/>
            <w:tcBorders>
              <w:top w:val="single" w:sz="4" w:space="0" w:color="000000"/>
              <w:left w:val="single" w:sz="4" w:space="0" w:color="000000"/>
              <w:bottom w:val="single" w:sz="4" w:space="0" w:color="000000"/>
            </w:tcBorders>
            <w:shd w:val="clear" w:color="auto" w:fill="FFFFFF"/>
          </w:tcPr>
          <w:p w14:paraId="15C2029C"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4EEAC9B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291E3E" w:rsidRPr="00CA7C54" w14:paraId="2533F636" w14:textId="77777777" w:rsidTr="00291E3E">
        <w:trPr>
          <w:trHeight w:hRule="exact" w:val="454"/>
        </w:trPr>
        <w:tc>
          <w:tcPr>
            <w:tcW w:w="2263" w:type="dxa"/>
            <w:gridSpan w:val="2"/>
            <w:vMerge/>
            <w:tcBorders>
              <w:top w:val="single" w:sz="4" w:space="0" w:color="000000"/>
              <w:left w:val="single" w:sz="4" w:space="0" w:color="000000"/>
              <w:bottom w:val="single" w:sz="4" w:space="0" w:color="000000"/>
            </w:tcBorders>
            <w:shd w:val="clear" w:color="auto" w:fill="FFFFFF"/>
          </w:tcPr>
          <w:p w14:paraId="48820F29"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408C7661"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67A642F3"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70634AB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35</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2C35C0D8"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291E3E" w:rsidRPr="00CA7C54" w14:paraId="066C73A4" w14:textId="77777777" w:rsidTr="00291E3E">
        <w:trPr>
          <w:trHeight w:hRule="exact" w:val="454"/>
        </w:trPr>
        <w:tc>
          <w:tcPr>
            <w:tcW w:w="2263" w:type="dxa"/>
            <w:gridSpan w:val="2"/>
            <w:vMerge/>
            <w:tcBorders>
              <w:top w:val="single" w:sz="4" w:space="0" w:color="000000"/>
              <w:left w:val="single" w:sz="4" w:space="0" w:color="000000"/>
              <w:bottom w:val="single" w:sz="4" w:space="0" w:color="000000"/>
            </w:tcBorders>
            <w:shd w:val="clear" w:color="auto" w:fill="FFFFFF"/>
          </w:tcPr>
          <w:p w14:paraId="557943FE"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283240F7"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2AF30778"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487241DD"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35 до 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625588C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291E3E" w:rsidRPr="00CA7C54" w14:paraId="22DFD4B9" w14:textId="77777777" w:rsidTr="00291E3E">
        <w:trPr>
          <w:trHeight w:hRule="exact" w:val="454"/>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099D030B"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Кладка із силікатної цегли</w:t>
            </w:r>
          </w:p>
        </w:tc>
        <w:tc>
          <w:tcPr>
            <w:tcW w:w="2127" w:type="dxa"/>
            <w:vMerge w:val="restart"/>
            <w:tcBorders>
              <w:top w:val="single" w:sz="4" w:space="0" w:color="000000"/>
              <w:left w:val="single" w:sz="4" w:space="0" w:color="000000"/>
              <w:bottom w:val="single" w:sz="4" w:space="0" w:color="000000"/>
            </w:tcBorders>
            <w:shd w:val="clear" w:color="auto" w:fill="FFFFFF"/>
          </w:tcPr>
          <w:p w14:paraId="678A73C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1415" w:type="dxa"/>
            <w:vMerge w:val="restart"/>
            <w:tcBorders>
              <w:top w:val="single" w:sz="4" w:space="0" w:color="000000"/>
              <w:left w:val="single" w:sz="4" w:space="0" w:color="000000"/>
              <w:bottom w:val="single" w:sz="4" w:space="0" w:color="000000"/>
            </w:tcBorders>
            <w:shd w:val="clear" w:color="auto" w:fill="FFFFFF"/>
          </w:tcPr>
          <w:p w14:paraId="45881DF0"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p>
        </w:tc>
        <w:tc>
          <w:tcPr>
            <w:tcW w:w="2125" w:type="dxa"/>
            <w:tcBorders>
              <w:top w:val="single" w:sz="4" w:space="0" w:color="000000"/>
              <w:left w:val="single" w:sz="4" w:space="0" w:color="000000"/>
              <w:bottom w:val="single" w:sz="4" w:space="0" w:color="000000"/>
            </w:tcBorders>
            <w:shd w:val="clear" w:color="auto" w:fill="FFFFFF"/>
          </w:tcPr>
          <w:p w14:paraId="11F1641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50 до 80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7498BEE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291E3E" w:rsidRPr="00CA7C54" w14:paraId="0FD8770D" w14:textId="77777777" w:rsidTr="00291E3E">
        <w:trPr>
          <w:trHeight w:hRule="exact" w:val="454"/>
        </w:trPr>
        <w:tc>
          <w:tcPr>
            <w:tcW w:w="2263" w:type="dxa"/>
            <w:gridSpan w:val="2"/>
            <w:vMerge/>
            <w:tcBorders>
              <w:top w:val="single" w:sz="4" w:space="0" w:color="000000"/>
              <w:left w:val="single" w:sz="4" w:space="0" w:color="000000"/>
              <w:bottom w:val="single" w:sz="4" w:space="0" w:color="000000"/>
            </w:tcBorders>
            <w:shd w:val="clear" w:color="auto" w:fill="FFFFFF"/>
          </w:tcPr>
          <w:p w14:paraId="7FF070FB"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462B3ABB"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0378E0FE"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4F5C279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80 до 100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1D66E7D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291E3E" w:rsidRPr="00CA7C54" w14:paraId="24076803" w14:textId="77777777" w:rsidTr="00291E3E">
        <w:trPr>
          <w:trHeight w:hRule="exact" w:val="396"/>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7E5BE8B0"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Керамзитобетон</w:t>
            </w:r>
          </w:p>
        </w:tc>
        <w:tc>
          <w:tcPr>
            <w:tcW w:w="2127" w:type="dxa"/>
            <w:vMerge w:val="restart"/>
            <w:tcBorders>
              <w:top w:val="single" w:sz="4" w:space="0" w:color="000000"/>
              <w:left w:val="single" w:sz="4" w:space="0" w:color="000000"/>
              <w:bottom w:val="single" w:sz="4" w:space="0" w:color="000000"/>
            </w:tcBorders>
            <w:shd w:val="clear" w:color="auto" w:fill="FFFFFF"/>
          </w:tcPr>
          <w:p w14:paraId="26FAA645"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1,35</w:t>
            </w:r>
          </w:p>
        </w:tc>
        <w:tc>
          <w:tcPr>
            <w:tcW w:w="1415" w:type="dxa"/>
            <w:vMerge w:val="restart"/>
            <w:tcBorders>
              <w:top w:val="single" w:sz="4" w:space="0" w:color="000000"/>
              <w:left w:val="single" w:sz="4" w:space="0" w:color="000000"/>
              <w:bottom w:val="single" w:sz="4" w:space="0" w:color="000000"/>
            </w:tcBorders>
            <w:shd w:val="clear" w:color="auto" w:fill="FFFFFF"/>
          </w:tcPr>
          <w:p w14:paraId="78C96221"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p>
        </w:tc>
        <w:tc>
          <w:tcPr>
            <w:tcW w:w="2125" w:type="dxa"/>
            <w:tcBorders>
              <w:top w:val="single" w:sz="4" w:space="0" w:color="000000"/>
              <w:left w:val="single" w:sz="4" w:space="0" w:color="000000"/>
              <w:bottom w:val="single" w:sz="4" w:space="0" w:color="000000"/>
            </w:tcBorders>
            <w:shd w:val="clear" w:color="auto" w:fill="FFFFFF"/>
          </w:tcPr>
          <w:p w14:paraId="60C68D9D"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3C33A32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r>
      <w:tr w:rsidR="00291E3E" w:rsidRPr="00CA7C54" w14:paraId="62456EFC"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4B2E0831"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3FFD161E"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6B466053"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05EA51C8"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30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0950226D"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291E3E" w:rsidRPr="00CA7C54" w14:paraId="3602ACDD"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1CBFAD04"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005D2269"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0FFDD337"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179C99E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30 до 65</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6DC83E15"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291E3E" w:rsidRPr="00CA7C54" w14:paraId="7C192CC9"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1FAE624B"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7FFDA013"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3FF2E805"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64BBF00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65 до 150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18F4A2E0"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291E3E" w:rsidRPr="00CA7C54" w14:paraId="62FFD835" w14:textId="77777777" w:rsidTr="00291E3E">
        <w:trPr>
          <w:trHeight w:hRule="exact" w:val="340"/>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6CD80ACF"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Поліетилен</w:t>
            </w:r>
          </w:p>
        </w:tc>
        <w:tc>
          <w:tcPr>
            <w:tcW w:w="2127" w:type="dxa"/>
            <w:vMerge w:val="restart"/>
            <w:tcBorders>
              <w:top w:val="single" w:sz="4" w:space="0" w:color="000000"/>
              <w:left w:val="single" w:sz="4" w:space="0" w:color="000000"/>
              <w:bottom w:val="single" w:sz="4" w:space="0" w:color="000000"/>
            </w:tcBorders>
            <w:shd w:val="clear" w:color="auto" w:fill="FFFFFF"/>
          </w:tcPr>
          <w:p w14:paraId="3723A7B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c>
          <w:tcPr>
            <w:tcW w:w="1415" w:type="dxa"/>
            <w:vMerge w:val="restart"/>
            <w:tcBorders>
              <w:top w:val="single" w:sz="4" w:space="0" w:color="000000"/>
              <w:left w:val="single" w:sz="4" w:space="0" w:color="000000"/>
              <w:bottom w:val="single" w:sz="4" w:space="0" w:color="000000"/>
            </w:tcBorders>
            <w:shd w:val="clear" w:color="auto" w:fill="FFFFFF"/>
          </w:tcPr>
          <w:p w14:paraId="6DE56BA5"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2125" w:type="dxa"/>
            <w:tcBorders>
              <w:top w:val="single" w:sz="4" w:space="0" w:color="000000"/>
              <w:left w:val="single" w:sz="4" w:space="0" w:color="000000"/>
              <w:bottom w:val="single" w:sz="4" w:space="0" w:color="000000"/>
            </w:tcBorders>
            <w:shd w:val="clear" w:color="auto" w:fill="FFFFFF"/>
          </w:tcPr>
          <w:p w14:paraId="155F8F2E"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0E04A378"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r>
      <w:tr w:rsidR="00291E3E" w:rsidRPr="00CA7C54" w14:paraId="2F1A436E"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0C164A24"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4E26F53C"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479AD471"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19D4BE2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150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118ED1FB"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w:t>
            </w:r>
          </w:p>
        </w:tc>
      </w:tr>
      <w:tr w:rsidR="00291E3E" w:rsidRPr="00CA7C54" w14:paraId="518729A4" w14:textId="77777777" w:rsidTr="00291E3E">
        <w:trPr>
          <w:trHeight w:hRule="exact" w:val="340"/>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1D99A41C"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Дерево</w:t>
            </w:r>
          </w:p>
        </w:tc>
        <w:tc>
          <w:tcPr>
            <w:tcW w:w="2127" w:type="dxa"/>
            <w:vMerge w:val="restart"/>
            <w:tcBorders>
              <w:top w:val="single" w:sz="4" w:space="0" w:color="000000"/>
              <w:left w:val="single" w:sz="4" w:space="0" w:color="000000"/>
              <w:bottom w:val="single" w:sz="4" w:space="0" w:color="000000"/>
            </w:tcBorders>
            <w:shd w:val="clear" w:color="auto" w:fill="FFFFFF"/>
          </w:tcPr>
          <w:p w14:paraId="2A399526"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c>
          <w:tcPr>
            <w:tcW w:w="1415" w:type="dxa"/>
            <w:vMerge w:val="restart"/>
            <w:tcBorders>
              <w:top w:val="single" w:sz="4" w:space="0" w:color="000000"/>
              <w:left w:val="single" w:sz="4" w:space="0" w:color="000000"/>
              <w:bottom w:val="single" w:sz="4" w:space="0" w:color="000000"/>
            </w:tcBorders>
            <w:shd w:val="clear" w:color="auto" w:fill="FFFFFF"/>
          </w:tcPr>
          <w:p w14:paraId="7E1B9783"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2125" w:type="dxa"/>
            <w:tcBorders>
              <w:top w:val="single" w:sz="4" w:space="0" w:color="000000"/>
              <w:left w:val="single" w:sz="4" w:space="0" w:color="000000"/>
              <w:bottom w:val="single" w:sz="4" w:space="0" w:color="000000"/>
            </w:tcBorders>
            <w:shd w:val="clear" w:color="auto" w:fill="FFFFFF"/>
          </w:tcPr>
          <w:p w14:paraId="03906C16"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15</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568F464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2,7</w:t>
            </w:r>
          </w:p>
        </w:tc>
      </w:tr>
      <w:tr w:rsidR="00291E3E" w:rsidRPr="00CA7C54" w14:paraId="4221C511"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49556659"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6C444224"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11AA48CE"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4CB7C5B3"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15 до 150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41284D1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w:t>
            </w:r>
          </w:p>
        </w:tc>
      </w:tr>
      <w:tr w:rsidR="00291E3E" w:rsidRPr="00CA7C54" w14:paraId="1FC2E202" w14:textId="77777777" w:rsidTr="00291E3E">
        <w:trPr>
          <w:trHeight w:hRule="exact" w:val="340"/>
        </w:trPr>
        <w:tc>
          <w:tcPr>
            <w:tcW w:w="2263" w:type="dxa"/>
            <w:gridSpan w:val="2"/>
            <w:tcBorders>
              <w:top w:val="single" w:sz="4" w:space="0" w:color="000000"/>
              <w:left w:val="single" w:sz="4" w:space="0" w:color="000000"/>
              <w:bottom w:val="single" w:sz="4" w:space="0" w:color="000000"/>
            </w:tcBorders>
            <w:shd w:val="clear" w:color="auto" w:fill="FFFFFF"/>
          </w:tcPr>
          <w:p w14:paraId="2491FDFC"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Сталь</w:t>
            </w:r>
          </w:p>
        </w:tc>
        <w:tc>
          <w:tcPr>
            <w:tcW w:w="2127" w:type="dxa"/>
            <w:tcBorders>
              <w:top w:val="single" w:sz="4" w:space="0" w:color="000000"/>
              <w:left w:val="single" w:sz="4" w:space="0" w:color="000000"/>
              <w:bottom w:val="single" w:sz="4" w:space="0" w:color="000000"/>
            </w:tcBorders>
            <w:shd w:val="clear" w:color="auto" w:fill="FFFFFF"/>
          </w:tcPr>
          <w:p w14:paraId="0FC97A1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7,8</w:t>
            </w:r>
          </w:p>
        </w:tc>
        <w:tc>
          <w:tcPr>
            <w:tcW w:w="1415" w:type="dxa"/>
            <w:tcBorders>
              <w:top w:val="single" w:sz="4" w:space="0" w:color="000000"/>
              <w:left w:val="single" w:sz="4" w:space="0" w:color="000000"/>
              <w:bottom w:val="single" w:sz="4" w:space="0" w:color="000000"/>
            </w:tcBorders>
            <w:shd w:val="clear" w:color="auto" w:fill="FFFFFF"/>
          </w:tcPr>
          <w:p w14:paraId="3F5DEAD9"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2125" w:type="dxa"/>
            <w:tcBorders>
              <w:top w:val="single" w:sz="4" w:space="0" w:color="000000"/>
              <w:left w:val="single" w:sz="4" w:space="0" w:color="000000"/>
              <w:bottom w:val="single" w:sz="4" w:space="0" w:color="000000"/>
            </w:tcBorders>
            <w:shd w:val="clear" w:color="auto" w:fill="FFFFFF"/>
          </w:tcPr>
          <w:p w14:paraId="1107518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10-150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60CFD247"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291E3E" w:rsidRPr="00CA7C54" w14:paraId="7F1399D7" w14:textId="77777777" w:rsidTr="00291E3E">
        <w:trPr>
          <w:trHeight w:val="622"/>
        </w:trPr>
        <w:tc>
          <w:tcPr>
            <w:tcW w:w="1695" w:type="dxa"/>
            <w:tcBorders>
              <w:top w:val="single" w:sz="4" w:space="0" w:color="000000"/>
              <w:left w:val="single" w:sz="4" w:space="0" w:color="000000"/>
            </w:tcBorders>
            <w:shd w:val="clear" w:color="auto" w:fill="FFFFFF"/>
          </w:tcPr>
          <w:p w14:paraId="12653601" w14:textId="77777777" w:rsidR="00291E3E" w:rsidRPr="00CA7C54" w:rsidRDefault="00291E3E" w:rsidP="00291E3E">
            <w:pPr>
              <w:widowControl w:val="0"/>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1.</w:t>
            </w:r>
          </w:p>
          <w:p w14:paraId="4FD57E95" w14:textId="77777777" w:rsidR="00291E3E" w:rsidRPr="00CA7C54" w:rsidRDefault="00291E3E" w:rsidP="00291E3E">
            <w:pPr>
              <w:widowControl w:val="0"/>
              <w:spacing w:before="0" w:line="240" w:lineRule="auto"/>
              <w:ind w:firstLine="0"/>
              <w:contextualSpacing/>
              <w:rPr>
                <w:rFonts w:ascii="Arial" w:eastAsia="Arial" w:hAnsi="Arial" w:cs="Arial"/>
                <w:color w:val="000000" w:themeColor="text1"/>
                <w:sz w:val="20"/>
                <w:szCs w:val="20"/>
              </w:rPr>
            </w:pPr>
          </w:p>
        </w:tc>
        <w:tc>
          <w:tcPr>
            <w:tcW w:w="7939" w:type="dxa"/>
            <w:gridSpan w:val="5"/>
            <w:tcBorders>
              <w:top w:val="single" w:sz="4" w:space="0" w:color="000000"/>
              <w:right w:val="single" w:sz="4" w:space="0" w:color="000000"/>
            </w:tcBorders>
            <w:shd w:val="clear" w:color="auto" w:fill="FFFFFF"/>
          </w:tcPr>
          <w:p w14:paraId="4C65F923" w14:textId="77777777" w:rsidR="00291E3E" w:rsidRPr="00CA7C54" w:rsidRDefault="00291E3E" w:rsidP="00291E3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Якщо огороджувальна конструкція, для якої визначаються коефіцієнти</w:t>
            </w:r>
            <w:r w:rsidRPr="00CA7C54">
              <w:rPr>
                <w:rFonts w:ascii="Arial" w:eastAsia="Arial" w:hAnsi="Arial" w:cs="Arial"/>
                <w:i/>
                <w:color w:val="000000" w:themeColor="text1"/>
                <w:sz w:val="20"/>
                <w:szCs w:val="20"/>
              </w:rPr>
              <w:t> К</w:t>
            </w:r>
            <w:r w:rsidRPr="00CA7C54">
              <w:rPr>
                <w:rFonts w:ascii="Arial" w:eastAsia="Arial" w:hAnsi="Arial" w:cs="Arial"/>
                <w:color w:val="000000" w:themeColor="text1"/>
                <w:sz w:val="20"/>
                <w:szCs w:val="20"/>
                <w:vertAlign w:val="subscript"/>
              </w:rPr>
              <w:t>γ</w:t>
            </w:r>
            <w:r w:rsidRPr="00CA7C54">
              <w:rPr>
                <w:rFonts w:ascii="Arial" w:eastAsia="Arial" w:hAnsi="Arial" w:cs="Arial"/>
                <w:color w:val="000000" w:themeColor="text1"/>
                <w:sz w:val="20"/>
                <w:szCs w:val="20"/>
              </w:rPr>
              <w:t xml:space="preserve"> і</w:t>
            </w:r>
            <w:r w:rsidRPr="00CA7C54">
              <w:rPr>
                <w:rFonts w:ascii="Arial" w:eastAsia="Arial" w:hAnsi="Arial" w:cs="Arial"/>
                <w:i/>
                <w:color w:val="000000" w:themeColor="text1"/>
                <w:sz w:val="20"/>
                <w:szCs w:val="20"/>
              </w:rPr>
              <w:t> К</w:t>
            </w:r>
            <w:r w:rsidRPr="00CA7C54">
              <w:rPr>
                <w:rFonts w:ascii="Arial" w:eastAsia="Arial" w:hAnsi="Arial" w:cs="Arial"/>
                <w:i/>
                <w:color w:val="000000" w:themeColor="text1"/>
                <w:sz w:val="20"/>
                <w:szCs w:val="20"/>
                <w:vertAlign w:val="subscript"/>
              </w:rPr>
              <w:t>n</w:t>
            </w:r>
            <w:r w:rsidRPr="00CA7C54">
              <w:rPr>
                <w:rFonts w:ascii="Arial" w:eastAsia="Arial" w:hAnsi="Arial" w:cs="Arial"/>
                <w:color w:val="000000" w:themeColor="text1"/>
                <w:sz w:val="20"/>
                <w:szCs w:val="20"/>
              </w:rPr>
              <w:t xml:space="preserve"> , складається з декількох шарів різних матеріалів, то коефіцієнт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N</w:t>
            </w:r>
            <w:r w:rsidRPr="00CA7C54">
              <w:rPr>
                <w:rFonts w:ascii="Arial" w:eastAsia="Arial" w:hAnsi="Arial" w:cs="Arial"/>
                <w:color w:val="000000" w:themeColor="text1"/>
                <w:sz w:val="20"/>
                <w:szCs w:val="20"/>
              </w:rPr>
              <w:t xml:space="preserve"> приймається по товщині шару одного матеріалу, для якого значення </w:t>
            </w:r>
            <w:r w:rsidRPr="00CA7C54">
              <w:rPr>
                <w:rFonts w:ascii="Arial" w:eastAsia="Arial" w:hAnsi="Arial" w:cs="Arial"/>
                <w:i/>
                <w:color w:val="000000" w:themeColor="text1"/>
                <w:sz w:val="20"/>
                <w:szCs w:val="20"/>
              </w:rPr>
              <w:t>K</w:t>
            </w:r>
            <w:r w:rsidRPr="00CA7C54">
              <w:rPr>
                <w:rFonts w:ascii="Arial" w:eastAsia="Arial" w:hAnsi="Arial" w:cs="Arial"/>
                <w:i/>
                <w:color w:val="000000" w:themeColor="text1"/>
                <w:sz w:val="20"/>
                <w:szCs w:val="20"/>
                <w:vertAlign w:val="subscript"/>
              </w:rPr>
              <w:t>N</w:t>
            </w:r>
            <w:r w:rsidRPr="00CA7C54">
              <w:rPr>
                <w:rFonts w:ascii="Arial" w:eastAsia="Arial" w:hAnsi="Arial" w:cs="Arial"/>
                <w:color w:val="000000" w:themeColor="text1"/>
                <w:sz w:val="20"/>
                <w:szCs w:val="20"/>
              </w:rPr>
              <w:t xml:space="preserve"> є найменшим.</w:t>
            </w:r>
          </w:p>
        </w:tc>
      </w:tr>
      <w:tr w:rsidR="00291E3E" w:rsidRPr="00CA7C54" w14:paraId="0919105F" w14:textId="77777777" w:rsidTr="00291E3E">
        <w:trPr>
          <w:trHeight w:val="732"/>
        </w:trPr>
        <w:tc>
          <w:tcPr>
            <w:tcW w:w="1695" w:type="dxa"/>
            <w:tcBorders>
              <w:left w:val="single" w:sz="4" w:space="0" w:color="000000"/>
              <w:bottom w:val="single" w:sz="4" w:space="0" w:color="000000"/>
            </w:tcBorders>
            <w:shd w:val="clear" w:color="auto" w:fill="FFFFFF"/>
          </w:tcPr>
          <w:p w14:paraId="2E01BD0D" w14:textId="77777777" w:rsidR="00291E3E" w:rsidRPr="00CA7C54" w:rsidRDefault="00291E3E" w:rsidP="00291E3E">
            <w:pPr>
              <w:widowControl w:val="0"/>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2.</w:t>
            </w:r>
          </w:p>
        </w:tc>
        <w:tc>
          <w:tcPr>
            <w:tcW w:w="7939" w:type="dxa"/>
            <w:gridSpan w:val="5"/>
            <w:tcBorders>
              <w:bottom w:val="single" w:sz="4" w:space="0" w:color="000000"/>
              <w:right w:val="single" w:sz="4" w:space="0" w:color="000000"/>
            </w:tcBorders>
            <w:shd w:val="clear" w:color="auto" w:fill="FFFFFF"/>
          </w:tcPr>
          <w:p w14:paraId="13BE5D96" w14:textId="77777777" w:rsidR="00291E3E" w:rsidRPr="00CA7C54" w:rsidRDefault="00291E3E" w:rsidP="00291E3E">
            <w:pPr>
              <w:widowControl w:val="0"/>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Для матеріалів, з товщиною шару, яка більша зазначеної в таблиці, значення коефіцієнта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N</w:t>
            </w:r>
            <w:r w:rsidRPr="00CA7C54">
              <w:rPr>
                <w:rFonts w:ascii="Arial" w:eastAsia="Arial" w:hAnsi="Arial" w:cs="Arial"/>
                <w:color w:val="000000" w:themeColor="text1"/>
                <w:sz w:val="20"/>
                <w:szCs w:val="20"/>
              </w:rPr>
              <w:t xml:space="preserve"> пропорційно зменшується на 0,1 по відношенню до кожних додаткових 10 см шару.</w:t>
            </w:r>
          </w:p>
        </w:tc>
      </w:tr>
    </w:tbl>
    <w:p w14:paraId="2195CDED" w14:textId="77777777" w:rsidR="00144AEF" w:rsidRPr="00CA7C54" w:rsidRDefault="00144AEF" w:rsidP="003B320F">
      <w:pPr>
        <w:keepNext/>
        <w:spacing w:before="0" w:line="288" w:lineRule="auto"/>
        <w:contextualSpacing/>
        <w:rPr>
          <w:b/>
          <w:color w:val="000000" w:themeColor="text1"/>
          <w:sz w:val="21"/>
          <w:szCs w:val="21"/>
        </w:rPr>
      </w:pPr>
    </w:p>
    <w:p w14:paraId="0B09C688" w14:textId="77777777" w:rsidR="003C4E04" w:rsidRPr="00CA7C54" w:rsidRDefault="001E748C" w:rsidP="003B320F">
      <w:pPr>
        <w:keepNext/>
        <w:spacing w:before="0" w:line="288" w:lineRule="auto"/>
        <w:contextualSpacing/>
        <w:rPr>
          <w:b/>
          <w:color w:val="000000" w:themeColor="text1"/>
          <w:sz w:val="21"/>
          <w:szCs w:val="21"/>
        </w:rPr>
      </w:pPr>
      <w:r w:rsidRPr="00CA7C54">
        <w:rPr>
          <w:b/>
          <w:color w:val="000000" w:themeColor="text1"/>
          <w:sz w:val="21"/>
          <w:szCs w:val="21"/>
        </w:rPr>
        <w:t>Г.2 ПРУ та СПП із захисними властивостями ПРУ</w:t>
      </w:r>
    </w:p>
    <w:p w14:paraId="1112032F"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b/>
          <w:color w:val="000000" w:themeColor="text1"/>
          <w:sz w:val="21"/>
          <w:szCs w:val="21"/>
        </w:rPr>
        <w:t>Г.2.1</w:t>
      </w:r>
      <w:r w:rsidRPr="00CA7C54">
        <w:rPr>
          <w:color w:val="000000" w:themeColor="text1"/>
          <w:sz w:val="21"/>
          <w:szCs w:val="21"/>
        </w:rPr>
        <w:t xml:space="preserve"> Нормативний коефіцієнт послаблення радіаційного впливу (коефіцієнт захисту) - К</w:t>
      </w:r>
      <w:r w:rsidRPr="00CA7C54">
        <w:rPr>
          <w:color w:val="000000" w:themeColor="text1"/>
          <w:sz w:val="21"/>
          <w:szCs w:val="21"/>
          <w:vertAlign w:val="subscript"/>
        </w:rPr>
        <w:t xml:space="preserve">З </w:t>
      </w:r>
      <w:r w:rsidRPr="00CA7C54">
        <w:rPr>
          <w:color w:val="000000" w:themeColor="text1"/>
          <w:sz w:val="21"/>
          <w:szCs w:val="21"/>
        </w:rPr>
        <w:t xml:space="preserve">ПРУ чи СПП вважається досягненим при виконання нерівності: </w:t>
      </w:r>
    </w:p>
    <w:p w14:paraId="7B10E941" w14:textId="77777777" w:rsidR="00144AEF" w:rsidRPr="00CA7C54" w:rsidRDefault="00144AEF" w:rsidP="003B320F">
      <w:pPr>
        <w:pBdr>
          <w:top w:val="nil"/>
          <w:left w:val="nil"/>
          <w:bottom w:val="nil"/>
          <w:right w:val="nil"/>
          <w:between w:val="nil"/>
        </w:pBdr>
        <w:spacing w:before="0" w:line="288" w:lineRule="auto"/>
        <w:ind w:right="69"/>
        <w:contextualSpacing/>
        <w:rPr>
          <w:color w:val="000000" w:themeColor="text1"/>
          <w:sz w:val="21"/>
          <w:szCs w:val="21"/>
        </w:rPr>
      </w:pPr>
    </w:p>
    <w:p w14:paraId="52D151E2" w14:textId="77777777" w:rsidR="003C4E04" w:rsidRPr="00CA7C54" w:rsidRDefault="001E748C" w:rsidP="003B320F">
      <w:pPr>
        <w:pBdr>
          <w:top w:val="nil"/>
          <w:left w:val="nil"/>
          <w:bottom w:val="nil"/>
          <w:right w:val="nil"/>
          <w:between w:val="nil"/>
        </w:pBdr>
        <w:spacing w:before="0" w:line="288" w:lineRule="auto"/>
        <w:ind w:right="69"/>
        <w:contextualSpacing/>
        <w:jc w:val="right"/>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w:t>
      </w:r>
      <w:sdt>
        <w:sdtPr>
          <w:rPr>
            <w:color w:val="000000" w:themeColor="text1"/>
            <w:sz w:val="21"/>
            <w:szCs w:val="21"/>
          </w:rPr>
          <w:tag w:val="goog_rdk_118"/>
          <w:id w:val="-1469112432"/>
        </w:sdtPr>
        <w:sdtEndPr/>
        <w:sdtContent>
          <w:r w:rsidRPr="00CA7C54">
            <w:rPr>
              <w:rFonts w:eastAsia="Arial Unicode MS"/>
              <w:i/>
              <w:color w:val="000000" w:themeColor="text1"/>
              <w:sz w:val="21"/>
              <w:szCs w:val="21"/>
            </w:rPr>
            <w:t xml:space="preserve"> ≤  К</w:t>
          </w:r>
        </w:sdtContent>
      </w:sdt>
      <w:r w:rsidRPr="00CA7C54">
        <w:rPr>
          <w:i/>
          <w:color w:val="000000" w:themeColor="text1"/>
          <w:sz w:val="21"/>
          <w:szCs w:val="21"/>
          <w:vertAlign w:val="subscript"/>
        </w:rPr>
        <w:t>зф</w:t>
      </w:r>
      <w:r w:rsidRPr="00CA7C54">
        <w:rPr>
          <w:color w:val="000000" w:themeColor="text1"/>
          <w:sz w:val="21"/>
          <w:szCs w:val="21"/>
        </w:rPr>
        <w:t xml:space="preserve">                                                                        (Г.5)</w:t>
      </w:r>
    </w:p>
    <w:p w14:paraId="433F1AE6"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де: </w:t>
      </w:r>
    </w:p>
    <w:p w14:paraId="66F7D48D"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w:t>
      </w:r>
      <w:r w:rsidRPr="00CA7C54">
        <w:rPr>
          <w:color w:val="000000" w:themeColor="text1"/>
          <w:sz w:val="21"/>
          <w:szCs w:val="21"/>
        </w:rPr>
        <w:t xml:space="preserve"> – </w:t>
      </w:r>
      <w:r w:rsidRPr="00CA7C54">
        <w:rPr>
          <w:color w:val="000000" w:themeColor="text1"/>
          <w:spacing w:val="-4"/>
          <w:sz w:val="21"/>
          <w:szCs w:val="21"/>
        </w:rPr>
        <w:t>нормативний коефіцієнт послаблення, який приймається згідно з таблицею А.2 додатк</w:t>
      </w:r>
      <w:r w:rsidR="00C258AB" w:rsidRPr="00CA7C54">
        <w:rPr>
          <w:color w:val="000000" w:themeColor="text1"/>
          <w:spacing w:val="-4"/>
          <w:sz w:val="21"/>
          <w:szCs w:val="21"/>
        </w:rPr>
        <w:t>а</w:t>
      </w:r>
      <w:r w:rsidRPr="00CA7C54">
        <w:rPr>
          <w:color w:val="000000" w:themeColor="text1"/>
          <w:sz w:val="21"/>
          <w:szCs w:val="21"/>
        </w:rPr>
        <w:t xml:space="preserve">А цих </w:t>
      </w:r>
      <w:r w:rsidR="00C258AB" w:rsidRPr="00CA7C54">
        <w:rPr>
          <w:color w:val="000000" w:themeColor="text1"/>
          <w:sz w:val="21"/>
          <w:szCs w:val="21"/>
        </w:rPr>
        <w:t>н</w:t>
      </w:r>
      <w:r w:rsidRPr="00CA7C54">
        <w:rPr>
          <w:color w:val="000000" w:themeColor="text1"/>
          <w:sz w:val="21"/>
          <w:szCs w:val="21"/>
        </w:rPr>
        <w:t xml:space="preserve">ормзалежно від групи укриття; </w:t>
      </w:r>
    </w:p>
    <w:p w14:paraId="4CA20DBF"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розрахунковий коефіцієнт послаблення.</w:t>
      </w:r>
    </w:p>
    <w:p w14:paraId="7FF64122"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При визначенні розрахункового коефіцієнта послаблення радіаційного впливу – </w:t>
      </w: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приймається припущення, що радіоактивні опади рівномірно розподілені на горизонтальних поверхнях та горизонтальних про</w:t>
      </w:r>
      <w:r w:rsidR="00DC5135" w:rsidRPr="00CA7C54">
        <w:rPr>
          <w:color w:val="000000" w:themeColor="text1"/>
          <w:sz w:val="21"/>
          <w:szCs w:val="21"/>
        </w:rPr>
        <w:t>є</w:t>
      </w:r>
      <w:r w:rsidRPr="00CA7C54">
        <w:rPr>
          <w:color w:val="000000" w:themeColor="text1"/>
          <w:sz w:val="21"/>
          <w:szCs w:val="21"/>
        </w:rPr>
        <w:t>кціях похилих та криволінійних поверхонь. Зараження вертикальних поверхонь (стін) не враховується.</w:t>
      </w:r>
    </w:p>
    <w:p w14:paraId="252DB302"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Конструктив стін та покриттів тамбурів, форкамер, захисних екранів та інших просторів ПРУ чи СПП, які мають безпосереднє сполучення з навколишнім середовищем чи простором  </w:t>
      </w:r>
      <w:r w:rsidRPr="00CA7C54">
        <w:rPr>
          <w:color w:val="000000" w:themeColor="text1"/>
          <w:sz w:val="21"/>
          <w:szCs w:val="21"/>
        </w:rPr>
        <w:lastRenderedPageBreak/>
        <w:t xml:space="preserve">будівлі, в яку вони вбудовані, за показниками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w:t>
      </w:r>
      <w:r w:rsidRPr="00CA7C54">
        <w:rPr>
          <w:i/>
          <w:color w:val="000000" w:themeColor="text1"/>
          <w:sz w:val="21"/>
          <w:szCs w:val="21"/>
        </w:rPr>
        <w:t>К</w:t>
      </w:r>
      <w:r w:rsidRPr="00CA7C54">
        <w:rPr>
          <w:i/>
          <w:color w:val="000000" w:themeColor="text1"/>
          <w:sz w:val="21"/>
          <w:szCs w:val="21"/>
          <w:vertAlign w:val="subscript"/>
        </w:rPr>
        <w:t>пер</w:t>
      </w:r>
      <w:r w:rsidRPr="00CA7C54">
        <w:rPr>
          <w:color w:val="000000" w:themeColor="text1"/>
          <w:sz w:val="21"/>
          <w:szCs w:val="21"/>
        </w:rPr>
        <w:t xml:space="preserve"> та </w:t>
      </w:r>
      <w:r w:rsidRPr="00CA7C54">
        <w:rPr>
          <w:i/>
          <w:color w:val="000000" w:themeColor="text1"/>
          <w:sz w:val="21"/>
          <w:szCs w:val="21"/>
        </w:rPr>
        <w:t>К</w:t>
      </w:r>
      <w:r w:rsidRPr="00CA7C54">
        <w:rPr>
          <w:i/>
          <w:color w:val="000000" w:themeColor="text1"/>
          <w:sz w:val="21"/>
          <w:szCs w:val="21"/>
          <w:vertAlign w:val="subscript"/>
        </w:rPr>
        <w:t>п</w:t>
      </w:r>
      <w:r w:rsidRPr="00CA7C54">
        <w:rPr>
          <w:color w:val="000000" w:themeColor="text1"/>
          <w:sz w:val="21"/>
          <w:szCs w:val="21"/>
        </w:rPr>
        <w:t xml:space="preserve"> має відповідати значенню, прийнятому в розрахунках, за умови, що за їх результатом К</w:t>
      </w:r>
      <w:r w:rsidRPr="00CA7C54">
        <w:rPr>
          <w:color w:val="000000" w:themeColor="text1"/>
          <w:sz w:val="21"/>
          <w:szCs w:val="21"/>
          <w:vertAlign w:val="subscript"/>
        </w:rPr>
        <w:t>з</w:t>
      </w:r>
      <w:sdt>
        <w:sdtPr>
          <w:rPr>
            <w:color w:val="000000" w:themeColor="text1"/>
            <w:sz w:val="21"/>
            <w:szCs w:val="21"/>
          </w:rPr>
          <w:tag w:val="goog_rdk_119"/>
          <w:id w:val="609707078"/>
        </w:sdtPr>
        <w:sdtEndPr/>
        <w:sdtContent>
          <w:r w:rsidRPr="00CA7C54">
            <w:rPr>
              <w:rFonts w:eastAsia="Arial Unicode MS"/>
              <w:color w:val="000000" w:themeColor="text1"/>
              <w:sz w:val="21"/>
              <w:szCs w:val="21"/>
            </w:rPr>
            <w:t xml:space="preserve"> ≤ К</w:t>
          </w:r>
        </w:sdtContent>
      </w:sdt>
      <w:r w:rsidRPr="00CA7C54">
        <w:rPr>
          <w:color w:val="000000" w:themeColor="text1"/>
          <w:sz w:val="21"/>
          <w:szCs w:val="21"/>
          <w:vertAlign w:val="subscript"/>
        </w:rPr>
        <w:t>зф</w:t>
      </w:r>
      <w:r w:rsidRPr="00CA7C54">
        <w:rPr>
          <w:color w:val="000000" w:themeColor="text1"/>
          <w:sz w:val="21"/>
          <w:szCs w:val="21"/>
        </w:rPr>
        <w:t>.</w:t>
      </w:r>
    </w:p>
    <w:p w14:paraId="65391EBA"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0"/>
          <w:szCs w:val="20"/>
        </w:rPr>
      </w:pPr>
      <w:r w:rsidRPr="00CA7C54">
        <w:rPr>
          <w:b/>
          <w:color w:val="000000" w:themeColor="text1"/>
          <w:sz w:val="20"/>
          <w:szCs w:val="20"/>
        </w:rPr>
        <w:t xml:space="preserve">Примітка 1. </w:t>
      </w:r>
      <w:r w:rsidRPr="00CA7C54">
        <w:rPr>
          <w:color w:val="000000" w:themeColor="text1"/>
          <w:sz w:val="20"/>
          <w:szCs w:val="20"/>
        </w:rPr>
        <w:t>Точність результатів отриманих розрахунків, за наведеними нижче формулами з точністю до третього знаку після коми (точність 0,001).</w:t>
      </w:r>
    </w:p>
    <w:p w14:paraId="5B5CBEF4" w14:textId="77777777" w:rsidR="003C4E04" w:rsidRPr="00CA7C54" w:rsidRDefault="003C4E04" w:rsidP="003B320F">
      <w:pPr>
        <w:pBdr>
          <w:top w:val="nil"/>
          <w:left w:val="nil"/>
          <w:bottom w:val="nil"/>
          <w:right w:val="nil"/>
          <w:between w:val="nil"/>
        </w:pBdr>
        <w:spacing w:before="0" w:line="288" w:lineRule="auto"/>
        <w:ind w:right="69"/>
        <w:contextualSpacing/>
        <w:rPr>
          <w:color w:val="000000" w:themeColor="text1"/>
          <w:sz w:val="20"/>
          <w:szCs w:val="20"/>
        </w:rPr>
      </w:pPr>
    </w:p>
    <w:p w14:paraId="10167A60"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b/>
          <w:color w:val="000000" w:themeColor="text1"/>
          <w:sz w:val="21"/>
          <w:szCs w:val="21"/>
        </w:rPr>
        <w:t>Г.2.2</w:t>
      </w:r>
      <w:r w:rsidRPr="00CA7C54">
        <w:rPr>
          <w:color w:val="000000" w:themeColor="text1"/>
          <w:sz w:val="21"/>
          <w:szCs w:val="21"/>
        </w:rPr>
        <w:t xml:space="preserve"> Розрахунковий коефіцієнт послаблення радіаційного впливу </w:t>
      </w: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xml:space="preserve"> для наземних необвалованих окремо розташованих ПРУ чи СПП, або вбудованих у перші поверхи будівель, визначається за формулою:</w:t>
      </w:r>
    </w:p>
    <w:p w14:paraId="49615F49" w14:textId="77777777" w:rsidR="003C4E04" w:rsidRPr="00CA7C54" w:rsidRDefault="001E748C" w:rsidP="00C35057">
      <w:pPr>
        <w:pBdr>
          <w:top w:val="nil"/>
          <w:left w:val="nil"/>
          <w:bottom w:val="nil"/>
          <w:right w:val="nil"/>
          <w:between w:val="nil"/>
        </w:pBdr>
        <w:tabs>
          <w:tab w:val="left" w:pos="8931"/>
        </w:tabs>
        <w:spacing w:before="0" w:line="288" w:lineRule="auto"/>
        <w:ind w:right="142" w:firstLine="284"/>
        <w:contextualSpacing/>
        <w:jc w:val="left"/>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зф</w:t>
      </w:r>
      <w:r w:rsidRPr="00CA7C54">
        <w:rPr>
          <w:i/>
          <w:color w:val="000000" w:themeColor="text1"/>
          <w:sz w:val="21"/>
          <w:szCs w:val="21"/>
        </w:rPr>
        <w:t xml:space="preserve"> = [0,65 × К</w:t>
      </w:r>
      <w:r w:rsidRPr="00CA7C54">
        <w:rPr>
          <w:i/>
          <w:color w:val="000000" w:themeColor="text1"/>
          <w:sz w:val="21"/>
          <w:szCs w:val="21"/>
          <w:vertAlign w:val="subscript"/>
        </w:rPr>
        <w:t>1</w:t>
      </w:r>
      <w:r w:rsidRPr="00CA7C54">
        <w:rPr>
          <w:i/>
          <w:color w:val="000000" w:themeColor="text1"/>
          <w:sz w:val="21"/>
          <w:szCs w:val="21"/>
        </w:rPr>
        <w:t xml:space="preserve"> × К</w:t>
      </w:r>
      <w:r w:rsidRPr="00CA7C54">
        <w:rPr>
          <w:i/>
          <w:color w:val="000000" w:themeColor="text1"/>
          <w:sz w:val="21"/>
          <w:szCs w:val="21"/>
          <w:vertAlign w:val="subscript"/>
        </w:rPr>
        <w:t>ст</w:t>
      </w:r>
      <w:r w:rsidRPr="00CA7C54">
        <w:rPr>
          <w:i/>
          <w:color w:val="000000" w:themeColor="text1"/>
          <w:sz w:val="21"/>
          <w:szCs w:val="21"/>
        </w:rPr>
        <w:t xml:space="preserve"> × K</w:t>
      </w:r>
      <w:r w:rsidRPr="00CA7C54">
        <w:rPr>
          <w:i/>
          <w:color w:val="000000" w:themeColor="text1"/>
          <w:sz w:val="21"/>
          <w:szCs w:val="21"/>
          <w:vertAlign w:val="subscript"/>
        </w:rPr>
        <w:t>пер</w:t>
      </w:r>
      <w:r w:rsidRPr="00CA7C54">
        <w:rPr>
          <w:i/>
          <w:color w:val="000000" w:themeColor="text1"/>
          <w:sz w:val="21"/>
          <w:szCs w:val="21"/>
        </w:rPr>
        <w:t xml:space="preserve"> / (V</w:t>
      </w:r>
      <w:r w:rsidRPr="00CA7C54">
        <w:rPr>
          <w:i/>
          <w:color w:val="000000" w:themeColor="text1"/>
          <w:sz w:val="21"/>
          <w:szCs w:val="21"/>
          <w:vertAlign w:val="subscript"/>
        </w:rPr>
        <w:t>1</w:t>
      </w:r>
      <w:r w:rsidRPr="00CA7C54">
        <w:rPr>
          <w:i/>
          <w:color w:val="000000" w:themeColor="text1"/>
          <w:sz w:val="21"/>
          <w:szCs w:val="21"/>
        </w:rPr>
        <w:t xml:space="preserve"> × К</w:t>
      </w:r>
      <w:r w:rsidRPr="00CA7C54">
        <w:rPr>
          <w:i/>
          <w:color w:val="000000" w:themeColor="text1"/>
          <w:sz w:val="21"/>
          <w:szCs w:val="21"/>
          <w:vertAlign w:val="subscript"/>
        </w:rPr>
        <w:t>ст</w:t>
      </w:r>
      <w:r w:rsidRPr="00CA7C54">
        <w:rPr>
          <w:i/>
          <w:color w:val="000000" w:themeColor="text1"/>
          <w:sz w:val="21"/>
          <w:szCs w:val="21"/>
        </w:rPr>
        <w:t xml:space="preserve"> × К</w:t>
      </w:r>
      <w:r w:rsidRPr="00CA7C54">
        <w:rPr>
          <w:i/>
          <w:color w:val="000000" w:themeColor="text1"/>
          <w:sz w:val="21"/>
          <w:szCs w:val="21"/>
          <w:vertAlign w:val="subscript"/>
        </w:rPr>
        <w:t>1</w:t>
      </w:r>
      <w:r w:rsidRPr="00CA7C54">
        <w:rPr>
          <w:i/>
          <w:color w:val="000000" w:themeColor="text1"/>
          <w:sz w:val="21"/>
          <w:szCs w:val="21"/>
        </w:rPr>
        <w:t xml:space="preserve"> + (1 - K</w:t>
      </w:r>
      <w:r w:rsidRPr="00CA7C54">
        <w:rPr>
          <w:i/>
          <w:color w:val="000000" w:themeColor="text1"/>
          <w:sz w:val="21"/>
          <w:szCs w:val="21"/>
          <w:vertAlign w:val="subscript"/>
        </w:rPr>
        <w:t>ш</w:t>
      </w:r>
      <w:r w:rsidRPr="00CA7C54">
        <w:rPr>
          <w:i/>
          <w:color w:val="000000" w:themeColor="text1"/>
          <w:sz w:val="21"/>
          <w:szCs w:val="21"/>
        </w:rPr>
        <w:t>) × (К</w:t>
      </w:r>
      <w:r w:rsidRPr="00CA7C54">
        <w:rPr>
          <w:i/>
          <w:color w:val="000000" w:themeColor="text1"/>
          <w:sz w:val="21"/>
          <w:szCs w:val="21"/>
          <w:vertAlign w:val="subscript"/>
        </w:rPr>
        <w:t>о</w:t>
      </w:r>
      <w:r w:rsidRPr="00CA7C54">
        <w:rPr>
          <w:i/>
          <w:color w:val="000000" w:themeColor="text1"/>
          <w:sz w:val="21"/>
          <w:szCs w:val="21"/>
        </w:rPr>
        <w:t xml:space="preserve"> × К</w:t>
      </w:r>
      <w:r w:rsidRPr="00CA7C54">
        <w:rPr>
          <w:i/>
          <w:color w:val="000000" w:themeColor="text1"/>
          <w:sz w:val="21"/>
          <w:szCs w:val="21"/>
          <w:vertAlign w:val="subscript"/>
        </w:rPr>
        <w:t xml:space="preserve"> ст</w:t>
      </w:r>
      <w:r w:rsidRPr="00CA7C54">
        <w:rPr>
          <w:i/>
          <w:color w:val="000000" w:themeColor="text1"/>
          <w:sz w:val="21"/>
          <w:szCs w:val="21"/>
        </w:rPr>
        <w:t xml:space="preserve"> + 1) × K</w:t>
      </w:r>
      <w:r w:rsidRPr="00CA7C54">
        <w:rPr>
          <w:i/>
          <w:color w:val="000000" w:themeColor="text1"/>
          <w:sz w:val="21"/>
          <w:szCs w:val="21"/>
          <w:vertAlign w:val="subscript"/>
        </w:rPr>
        <w:t>пер</w:t>
      </w:r>
      <w:r w:rsidRPr="00CA7C54">
        <w:rPr>
          <w:i/>
          <w:color w:val="000000" w:themeColor="text1"/>
          <w:sz w:val="21"/>
          <w:szCs w:val="21"/>
        </w:rPr>
        <w:t xml:space="preserve"> × K</w:t>
      </w:r>
      <w:r w:rsidRPr="00CA7C54">
        <w:rPr>
          <w:i/>
          <w:color w:val="000000" w:themeColor="text1"/>
          <w:sz w:val="21"/>
          <w:szCs w:val="21"/>
          <w:vertAlign w:val="subscript"/>
        </w:rPr>
        <w:t>м</w:t>
      </w:r>
      <w:r w:rsidRPr="00CA7C54">
        <w:rPr>
          <w:i/>
          <w:color w:val="000000" w:themeColor="text1"/>
          <w:sz w:val="21"/>
          <w:szCs w:val="21"/>
        </w:rPr>
        <w:t xml:space="preserve">)] </w:t>
      </w:r>
      <w:r w:rsidRPr="00077AE4">
        <w:rPr>
          <w:i/>
          <w:color w:val="000000" w:themeColor="text1"/>
          <w:sz w:val="21"/>
          <w:szCs w:val="21"/>
        </w:rPr>
        <w:t>K</w:t>
      </w:r>
      <w:r w:rsidR="00AD393B" w:rsidRPr="00077AE4">
        <w:rPr>
          <w:i/>
          <w:color w:val="000000" w:themeColor="text1"/>
          <w:sz w:val="21"/>
          <w:szCs w:val="21"/>
          <w:vertAlign w:val="subscript"/>
        </w:rPr>
        <w:t>НЗ</w:t>
      </w:r>
      <w:r w:rsidR="00C35057">
        <w:rPr>
          <w:i/>
          <w:color w:val="000000" w:themeColor="text1"/>
          <w:sz w:val="21"/>
          <w:szCs w:val="21"/>
          <w:vertAlign w:val="subscript"/>
        </w:rPr>
        <w:t>,</w:t>
      </w:r>
      <w:r w:rsidR="00C35057" w:rsidRPr="00C35057">
        <w:rPr>
          <w:i/>
          <w:color w:val="000000" w:themeColor="text1"/>
          <w:sz w:val="21"/>
          <w:szCs w:val="21"/>
          <w:lang w:val="ru-RU"/>
        </w:rPr>
        <w:tab/>
      </w:r>
      <w:r w:rsidRPr="00CA7C54">
        <w:rPr>
          <w:color w:val="000000" w:themeColor="text1"/>
          <w:sz w:val="21"/>
          <w:szCs w:val="21"/>
        </w:rPr>
        <w:t>(Г.6)</w:t>
      </w:r>
    </w:p>
    <w:p w14:paraId="37914604"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 xml:space="preserve">Розрахунковий коефіцієнт послаблення радіаційного впливу </w:t>
      </w: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xml:space="preserve"> для вбудованих ПРУ чи СПП, які розташовані на відмітках, що відповідають цокольним, підвальним та підземним поверхам, визначається за формулою: </w:t>
      </w:r>
    </w:p>
    <w:p w14:paraId="5B37E0C4" w14:textId="77777777" w:rsidR="003C4E04" w:rsidRPr="00CA7C54" w:rsidRDefault="001E748C" w:rsidP="00C35057">
      <w:pPr>
        <w:pBdr>
          <w:top w:val="nil"/>
          <w:left w:val="nil"/>
          <w:bottom w:val="nil"/>
          <w:right w:val="nil"/>
          <w:between w:val="nil"/>
        </w:pBdr>
        <w:tabs>
          <w:tab w:val="left" w:pos="8931"/>
        </w:tabs>
        <w:spacing w:before="0" w:line="288" w:lineRule="auto"/>
        <w:ind w:right="-1" w:firstLine="284"/>
        <w:contextualSpacing/>
        <w:jc w:val="left"/>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зф</w:t>
      </w:r>
      <w:r w:rsidRPr="00CA7C54">
        <w:rPr>
          <w:i/>
          <w:color w:val="000000" w:themeColor="text1"/>
          <w:sz w:val="21"/>
          <w:szCs w:val="21"/>
        </w:rPr>
        <w:t xml:space="preserve"> = [0,77 × К</w:t>
      </w:r>
      <w:r w:rsidRPr="00CA7C54">
        <w:rPr>
          <w:i/>
          <w:color w:val="000000" w:themeColor="text1"/>
          <w:sz w:val="21"/>
          <w:szCs w:val="21"/>
          <w:vertAlign w:val="subscript"/>
        </w:rPr>
        <w:t>1</w:t>
      </w:r>
      <w:r w:rsidRPr="00CA7C54">
        <w:rPr>
          <w:i/>
          <w:color w:val="000000" w:themeColor="text1"/>
          <w:sz w:val="21"/>
          <w:szCs w:val="21"/>
        </w:rPr>
        <w:t xml:space="preserve">  × К</w:t>
      </w:r>
      <w:r w:rsidRPr="00CA7C54">
        <w:rPr>
          <w:i/>
          <w:color w:val="000000" w:themeColor="text1"/>
          <w:sz w:val="21"/>
          <w:szCs w:val="21"/>
          <w:vertAlign w:val="subscript"/>
        </w:rPr>
        <w:t xml:space="preserve"> ст</w:t>
      </w:r>
      <w:r w:rsidRPr="00CA7C54">
        <w:rPr>
          <w:i/>
          <w:color w:val="000000" w:themeColor="text1"/>
          <w:sz w:val="21"/>
          <w:szCs w:val="21"/>
        </w:rPr>
        <w:t xml:space="preserve">  × К</w:t>
      </w:r>
      <w:r w:rsidRPr="00CA7C54">
        <w:rPr>
          <w:i/>
          <w:color w:val="000000" w:themeColor="text1"/>
          <w:sz w:val="21"/>
          <w:szCs w:val="21"/>
          <w:vertAlign w:val="subscript"/>
        </w:rPr>
        <w:t>п</w:t>
      </w:r>
      <w:r w:rsidRPr="00CA7C54">
        <w:rPr>
          <w:i/>
          <w:color w:val="000000" w:themeColor="text1"/>
          <w:sz w:val="21"/>
          <w:szCs w:val="21"/>
        </w:rPr>
        <w:t xml:space="preserve"> / ((1-К</w:t>
      </w:r>
      <w:r w:rsidRPr="00CA7C54">
        <w:rPr>
          <w:i/>
          <w:color w:val="000000" w:themeColor="text1"/>
          <w:sz w:val="21"/>
          <w:szCs w:val="21"/>
          <w:vertAlign w:val="subscript"/>
        </w:rPr>
        <w:t>ш</w:t>
      </w:r>
      <w:r w:rsidRPr="00CA7C54">
        <w:rPr>
          <w:i/>
          <w:color w:val="000000" w:themeColor="text1"/>
          <w:sz w:val="21"/>
          <w:szCs w:val="21"/>
        </w:rPr>
        <w:t>) ×  ((К’</w:t>
      </w:r>
      <w:r w:rsidRPr="00CA7C54">
        <w:rPr>
          <w:i/>
          <w:color w:val="000000" w:themeColor="text1"/>
          <w:sz w:val="21"/>
          <w:szCs w:val="21"/>
          <w:vertAlign w:val="subscript"/>
        </w:rPr>
        <w:t>о</w:t>
      </w:r>
      <w:r w:rsidRPr="00CA7C54">
        <w:rPr>
          <w:i/>
          <w:color w:val="000000" w:themeColor="text1"/>
          <w:sz w:val="21"/>
          <w:szCs w:val="21"/>
        </w:rPr>
        <w:t xml:space="preserve"> × К</w:t>
      </w:r>
      <w:r w:rsidRPr="00CA7C54">
        <w:rPr>
          <w:i/>
          <w:color w:val="000000" w:themeColor="text1"/>
          <w:sz w:val="21"/>
          <w:szCs w:val="21"/>
          <w:vertAlign w:val="subscript"/>
        </w:rPr>
        <w:t>ст</w:t>
      </w:r>
      <w:r w:rsidRPr="00CA7C54">
        <w:rPr>
          <w:i/>
          <w:color w:val="000000" w:themeColor="text1"/>
          <w:sz w:val="21"/>
          <w:szCs w:val="21"/>
        </w:rPr>
        <w:t xml:space="preserve"> +1) + К</w:t>
      </w:r>
      <w:r w:rsidRPr="00CA7C54">
        <w:rPr>
          <w:i/>
          <w:color w:val="000000" w:themeColor="text1"/>
          <w:sz w:val="21"/>
          <w:szCs w:val="21"/>
          <w:vertAlign w:val="subscript"/>
        </w:rPr>
        <w:t>п</w:t>
      </w:r>
      <w:r w:rsidRPr="00CA7C54">
        <w:rPr>
          <w:i/>
          <w:color w:val="000000" w:themeColor="text1"/>
          <w:sz w:val="21"/>
          <w:szCs w:val="21"/>
        </w:rPr>
        <w:t xml:space="preserve"> × (К</w:t>
      </w:r>
      <w:r w:rsidRPr="00CA7C54">
        <w:rPr>
          <w:i/>
          <w:color w:val="000000" w:themeColor="text1"/>
          <w:sz w:val="21"/>
          <w:szCs w:val="21"/>
          <w:vertAlign w:val="subscript"/>
        </w:rPr>
        <w:t>о</w:t>
      </w:r>
      <w:r w:rsidRPr="00CA7C54">
        <w:rPr>
          <w:i/>
          <w:color w:val="000000" w:themeColor="text1"/>
          <w:sz w:val="21"/>
          <w:szCs w:val="21"/>
        </w:rPr>
        <w:t xml:space="preserve"> × К</w:t>
      </w:r>
      <w:r w:rsidRPr="00CA7C54">
        <w:rPr>
          <w:i/>
          <w:color w:val="000000" w:themeColor="text1"/>
          <w:sz w:val="21"/>
          <w:szCs w:val="21"/>
          <w:vertAlign w:val="subscript"/>
        </w:rPr>
        <w:t xml:space="preserve"> ст</w:t>
      </w:r>
      <w:r w:rsidRPr="00CA7C54">
        <w:rPr>
          <w:i/>
          <w:color w:val="000000" w:themeColor="text1"/>
          <w:sz w:val="21"/>
          <w:szCs w:val="21"/>
        </w:rPr>
        <w:t xml:space="preserve"> +1)) × К</w:t>
      </w:r>
      <w:r w:rsidRPr="00CA7C54">
        <w:rPr>
          <w:i/>
          <w:color w:val="000000" w:themeColor="text1"/>
          <w:sz w:val="21"/>
          <w:szCs w:val="21"/>
          <w:vertAlign w:val="subscript"/>
        </w:rPr>
        <w:t xml:space="preserve"> м</w:t>
      </w:r>
      <w:r w:rsidRPr="00CA7C54">
        <w:rPr>
          <w:i/>
          <w:color w:val="000000" w:themeColor="text1"/>
          <w:sz w:val="21"/>
          <w:szCs w:val="21"/>
        </w:rPr>
        <w:t>)] × K</w:t>
      </w:r>
      <w:r w:rsidRPr="00CA7C54">
        <w:rPr>
          <w:i/>
          <w:color w:val="000000" w:themeColor="text1"/>
          <w:sz w:val="21"/>
          <w:szCs w:val="21"/>
          <w:vertAlign w:val="subscript"/>
        </w:rPr>
        <w:t>НЗ</w:t>
      </w:r>
      <w:r w:rsidR="00C35057">
        <w:rPr>
          <w:color w:val="000000" w:themeColor="text1"/>
          <w:sz w:val="21"/>
          <w:szCs w:val="21"/>
        </w:rPr>
        <w:t>,</w:t>
      </w:r>
      <w:r w:rsidR="00C35057">
        <w:rPr>
          <w:color w:val="000000" w:themeColor="text1"/>
          <w:sz w:val="21"/>
          <w:szCs w:val="21"/>
        </w:rPr>
        <w:tab/>
      </w:r>
      <w:r w:rsidRPr="00CA7C54">
        <w:rPr>
          <w:color w:val="000000" w:themeColor="text1"/>
          <w:sz w:val="21"/>
          <w:szCs w:val="21"/>
        </w:rPr>
        <w:t>(Г.7)</w:t>
      </w:r>
    </w:p>
    <w:p w14:paraId="09B6ACD4" w14:textId="77777777" w:rsidR="003C4E04" w:rsidRPr="00CA7C54" w:rsidRDefault="001E748C" w:rsidP="003B320F">
      <w:pPr>
        <w:spacing w:before="0" w:line="288" w:lineRule="auto"/>
        <w:ind w:right="69"/>
        <w:contextualSpacing/>
        <w:rPr>
          <w:color w:val="000000" w:themeColor="text1"/>
          <w:spacing w:val="-4"/>
          <w:sz w:val="21"/>
          <w:szCs w:val="21"/>
        </w:rPr>
      </w:pPr>
      <w:r w:rsidRPr="00CA7C54">
        <w:rPr>
          <w:color w:val="000000" w:themeColor="text1"/>
          <w:spacing w:val="-4"/>
          <w:sz w:val="21"/>
          <w:szCs w:val="21"/>
        </w:rPr>
        <w:t>Для вбудованих ПРУ чи СПП з відміткою підлоги, що заглиблена менше ніж на 1,7 м відносно планувальної відмітки землі, розрахунок коефіцієнта послаблення здійснюється згідно формули Г.6.</w:t>
      </w:r>
    </w:p>
    <w:p w14:paraId="4010EA87" w14:textId="77777777" w:rsidR="003C4E04" w:rsidRPr="00CA7C54" w:rsidRDefault="001E748C" w:rsidP="003B320F">
      <w:pPr>
        <w:spacing w:before="0" w:line="288" w:lineRule="auto"/>
        <w:ind w:right="69"/>
        <w:contextualSpacing/>
        <w:rPr>
          <w:color w:val="000000" w:themeColor="text1"/>
          <w:sz w:val="21"/>
          <w:szCs w:val="21"/>
        </w:rPr>
      </w:pPr>
      <w:r w:rsidRPr="00CA7C54">
        <w:rPr>
          <w:color w:val="000000" w:themeColor="text1"/>
          <w:sz w:val="21"/>
          <w:szCs w:val="21"/>
        </w:rPr>
        <w:t>Якщо огороджувальні конструкції вбудованого ПРУ чи СПП виступають за габарити  будівлі, в яку вони вбудовані, розрахунок коефіцієнта послаблення здійснюється згідно формули Г.6.</w:t>
      </w:r>
    </w:p>
    <w:p w14:paraId="640208A5" w14:textId="77777777" w:rsidR="003C4E04" w:rsidRPr="00CA7C54" w:rsidRDefault="001E748C" w:rsidP="003B320F">
      <w:pPr>
        <w:pBdr>
          <w:top w:val="nil"/>
          <w:left w:val="nil"/>
          <w:bottom w:val="nil"/>
          <w:right w:val="nil"/>
          <w:between w:val="nil"/>
        </w:pBdr>
        <w:tabs>
          <w:tab w:val="left" w:pos="567"/>
          <w:tab w:val="left" w:pos="1276"/>
        </w:tabs>
        <w:spacing w:before="0" w:line="288" w:lineRule="auto"/>
        <w:ind w:right="142"/>
        <w:contextualSpacing/>
        <w:rPr>
          <w:color w:val="000000" w:themeColor="text1"/>
          <w:sz w:val="21"/>
          <w:szCs w:val="21"/>
        </w:rPr>
      </w:pPr>
      <w:r w:rsidRPr="00CA7C54">
        <w:rPr>
          <w:b/>
          <w:color w:val="000000" w:themeColor="text1"/>
          <w:sz w:val="21"/>
          <w:szCs w:val="21"/>
        </w:rPr>
        <w:t xml:space="preserve">Г.2.3 </w:t>
      </w:r>
      <w:r w:rsidRPr="00CA7C54">
        <w:rPr>
          <w:color w:val="000000" w:themeColor="text1"/>
          <w:sz w:val="21"/>
          <w:szCs w:val="21"/>
        </w:rPr>
        <w:t>У формулах (Г.6) та (Г.7) вжито такі математичні та фізичні величини:</w:t>
      </w:r>
    </w:p>
    <w:p w14:paraId="3D128659"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1</w:t>
      </w:r>
      <w:r w:rsidRPr="00CA7C54">
        <w:rPr>
          <w:i/>
          <w:color w:val="000000" w:themeColor="text1"/>
          <w:sz w:val="21"/>
          <w:szCs w:val="21"/>
        </w:rPr>
        <w:t xml:space="preserve"> – </w:t>
      </w:r>
      <w:r w:rsidRPr="00CA7C54">
        <w:rPr>
          <w:color w:val="000000" w:themeColor="text1"/>
          <w:sz w:val="21"/>
          <w:szCs w:val="21"/>
        </w:rPr>
        <w:t>коефіцієнт, що враховує частку радіації, яка проникає крізь стіни ПРУ чи СПП та розраховується за формулою Г.8, з урахуванням положень  Г.2.5;</w:t>
      </w:r>
    </w:p>
    <w:p w14:paraId="0AB8C719"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ст</w:t>
      </w:r>
      <w:r w:rsidRPr="00CA7C54">
        <w:rPr>
          <w:i/>
          <w:color w:val="000000" w:themeColor="text1"/>
          <w:sz w:val="21"/>
          <w:szCs w:val="21"/>
        </w:rPr>
        <w:t xml:space="preserve"> – </w:t>
      </w:r>
      <w:r w:rsidRPr="00CA7C54">
        <w:rPr>
          <w:color w:val="000000" w:themeColor="text1"/>
          <w:sz w:val="21"/>
          <w:szCs w:val="21"/>
        </w:rPr>
        <w:t>кратність послаблення стінами ПРУ чи СПП первинного випромінювання в залежності від ваги огороджувальної конструкції по вертикалі, Н/м</w:t>
      </w:r>
      <w:r w:rsidR="005A4604" w:rsidRPr="00CA7C54">
        <w:rPr>
          <w:color w:val="000000" w:themeColor="text1"/>
          <w:sz w:val="21"/>
          <w:szCs w:val="21"/>
          <w:vertAlign w:val="superscript"/>
        </w:rPr>
        <w:t>2</w:t>
      </w:r>
      <w:r w:rsidRPr="00CA7C54">
        <w:rPr>
          <w:color w:val="000000" w:themeColor="text1"/>
          <w:sz w:val="21"/>
          <w:szCs w:val="21"/>
        </w:rPr>
        <w:t xml:space="preserve"> (кг/м</w:t>
      </w:r>
      <w:r w:rsidR="005A4604" w:rsidRPr="00CA7C54">
        <w:rPr>
          <w:color w:val="000000" w:themeColor="text1"/>
          <w:sz w:val="21"/>
          <w:szCs w:val="21"/>
          <w:vertAlign w:val="superscript"/>
        </w:rPr>
        <w:t>2</w:t>
      </w:r>
      <w:r w:rsidRPr="00CA7C54">
        <w:rPr>
          <w:color w:val="000000" w:themeColor="text1"/>
          <w:sz w:val="21"/>
          <w:szCs w:val="21"/>
        </w:rPr>
        <w:t>) (в тому числі багатошарової), яка визначається за таблицею Г.5, з урахуванням положень  Г.2.6;</w:t>
      </w:r>
    </w:p>
    <w:p w14:paraId="6DBAB77C"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пер</w:t>
      </w:r>
      <w:r w:rsidRPr="00CA7C54">
        <w:rPr>
          <w:i/>
          <w:color w:val="000000" w:themeColor="text1"/>
          <w:sz w:val="21"/>
          <w:szCs w:val="21"/>
        </w:rPr>
        <w:t xml:space="preserve"> – </w:t>
      </w:r>
      <w:r w:rsidRPr="00CA7C54">
        <w:rPr>
          <w:color w:val="000000" w:themeColor="text1"/>
          <w:sz w:val="21"/>
          <w:szCs w:val="21"/>
        </w:rPr>
        <w:t>кратність послаблення первинного випромінювання покриттям ПРУ чи СПП, в залежності від ваги огороджувальної конструкції, Н/м</w:t>
      </w:r>
      <w:r w:rsidR="005A4604" w:rsidRPr="00CA7C54">
        <w:rPr>
          <w:color w:val="000000" w:themeColor="text1"/>
          <w:sz w:val="21"/>
          <w:szCs w:val="21"/>
          <w:vertAlign w:val="superscript"/>
        </w:rPr>
        <w:t>2</w:t>
      </w:r>
      <w:r w:rsidRPr="00CA7C54">
        <w:rPr>
          <w:color w:val="000000" w:themeColor="text1"/>
          <w:sz w:val="21"/>
          <w:szCs w:val="21"/>
        </w:rPr>
        <w:t xml:space="preserve"> (кг/м</w:t>
      </w:r>
      <w:r w:rsidR="005A4604" w:rsidRPr="00CA7C54">
        <w:rPr>
          <w:color w:val="000000" w:themeColor="text1"/>
          <w:sz w:val="21"/>
          <w:szCs w:val="21"/>
          <w:vertAlign w:val="superscript"/>
        </w:rPr>
        <w:t>2</w:t>
      </w:r>
      <w:r w:rsidRPr="00CA7C54">
        <w:rPr>
          <w:color w:val="000000" w:themeColor="text1"/>
          <w:sz w:val="21"/>
          <w:szCs w:val="21"/>
        </w:rPr>
        <w:t>) (в тому числі багатошарової), яка визначається за таблицею Г.5, з урахуванням положень  Г.2.7;</w:t>
      </w:r>
    </w:p>
    <w:p w14:paraId="2F1E1319"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п</w:t>
      </w:r>
      <w:r w:rsidRPr="00CA7C54">
        <w:rPr>
          <w:i/>
          <w:color w:val="000000" w:themeColor="text1"/>
          <w:sz w:val="21"/>
          <w:szCs w:val="21"/>
        </w:rPr>
        <w:t xml:space="preserve"> – </w:t>
      </w:r>
      <w:r w:rsidRPr="00CA7C54">
        <w:rPr>
          <w:color w:val="000000" w:themeColor="text1"/>
          <w:sz w:val="21"/>
          <w:szCs w:val="21"/>
        </w:rPr>
        <w:t>кратність послаблення покриттям ПРУ чи СПП вторинного випромінювання, розсіяного у приміщенні поверху, над укриттям, що визначається залежно від ваги огороджувальної конструкції, Н/м</w:t>
      </w:r>
      <w:r w:rsidR="005A4604" w:rsidRPr="00CA7C54">
        <w:rPr>
          <w:color w:val="000000" w:themeColor="text1"/>
          <w:sz w:val="21"/>
          <w:szCs w:val="21"/>
          <w:vertAlign w:val="superscript"/>
        </w:rPr>
        <w:t>2</w:t>
      </w:r>
      <w:r w:rsidRPr="00CA7C54">
        <w:rPr>
          <w:color w:val="000000" w:themeColor="text1"/>
          <w:sz w:val="21"/>
          <w:szCs w:val="21"/>
        </w:rPr>
        <w:t xml:space="preserve"> (кг/м</w:t>
      </w:r>
      <w:r w:rsidR="005A4604" w:rsidRPr="00CA7C54">
        <w:rPr>
          <w:color w:val="000000" w:themeColor="text1"/>
          <w:sz w:val="21"/>
          <w:szCs w:val="21"/>
          <w:vertAlign w:val="superscript"/>
        </w:rPr>
        <w:t>2</w:t>
      </w:r>
      <w:r w:rsidRPr="00CA7C54">
        <w:rPr>
          <w:color w:val="000000" w:themeColor="text1"/>
          <w:sz w:val="21"/>
          <w:szCs w:val="21"/>
        </w:rPr>
        <w:t>) (в тому числі багатошарової), яка визначається за таблицею Г.5, з урахуванням положень  Г.2.7;</w:t>
      </w:r>
    </w:p>
    <w:p w14:paraId="2FCF7415"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V</w:t>
      </w:r>
      <w:r w:rsidRPr="00CA7C54">
        <w:rPr>
          <w:i/>
          <w:color w:val="000000" w:themeColor="text1"/>
          <w:sz w:val="21"/>
          <w:szCs w:val="21"/>
          <w:vertAlign w:val="subscript"/>
        </w:rPr>
        <w:t>1 </w:t>
      </w:r>
      <w:r w:rsidRPr="00CA7C54">
        <w:rPr>
          <w:i/>
          <w:color w:val="000000" w:themeColor="text1"/>
          <w:sz w:val="21"/>
          <w:szCs w:val="21"/>
        </w:rPr>
        <w:t xml:space="preserve">– </w:t>
      </w:r>
      <w:r w:rsidRPr="00CA7C54">
        <w:rPr>
          <w:color w:val="000000" w:themeColor="text1"/>
          <w:sz w:val="21"/>
          <w:szCs w:val="21"/>
        </w:rPr>
        <w:t>коефіцієнт, який залежить від висоти та ширини ПРУ чи СПП та приймається за таблицею Г.6, з урахуванням примітки;</w:t>
      </w:r>
    </w:p>
    <w:p w14:paraId="44A526D7"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о</w:t>
      </w:r>
      <w:r w:rsidRPr="00CA7C54">
        <w:rPr>
          <w:i/>
          <w:color w:val="000000" w:themeColor="text1"/>
          <w:sz w:val="21"/>
          <w:szCs w:val="21"/>
        </w:rPr>
        <w:t xml:space="preserve"> – </w:t>
      </w:r>
      <w:r w:rsidRPr="00CA7C54">
        <w:rPr>
          <w:color w:val="000000" w:themeColor="text1"/>
          <w:sz w:val="21"/>
          <w:szCs w:val="21"/>
        </w:rPr>
        <w:t>коефіцієнт, який враховує безпосереднє проникнення в ПРУ чи СПП випромінювання, крізь отвори в огороджувальних конструкціях, і визначається згідно формул Г.13 – Г.15, з урахуванням положень  Г.2.8;</w:t>
      </w:r>
    </w:p>
    <w:p w14:paraId="0ECFDE73"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м</w:t>
      </w:r>
      <w:r w:rsidRPr="00CA7C54">
        <w:rPr>
          <w:color w:val="000000" w:themeColor="text1"/>
          <w:sz w:val="21"/>
          <w:szCs w:val="21"/>
        </w:rPr>
        <w:t> </w:t>
      </w:r>
      <w:r w:rsidRPr="00CA7C54">
        <w:rPr>
          <w:i/>
          <w:color w:val="000000" w:themeColor="text1"/>
          <w:sz w:val="21"/>
          <w:szCs w:val="21"/>
        </w:rPr>
        <w:t xml:space="preserve">– </w:t>
      </w:r>
      <w:r w:rsidRPr="00CA7C54">
        <w:rPr>
          <w:color w:val="000000" w:themeColor="text1"/>
          <w:sz w:val="21"/>
          <w:szCs w:val="21"/>
        </w:rPr>
        <w:t>коефіцієнт, що враховує  зниження  дози  радіації  в ПРУ чи СПП,  розташованих  у  районі забудови, від екрануючої дії сусідніх споруд, який приймається за таблицею Г.7;</w:t>
      </w:r>
    </w:p>
    <w:p w14:paraId="57959B2C"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ш</w:t>
      </w:r>
      <w:r w:rsidRPr="00CA7C54">
        <w:rPr>
          <w:i/>
          <w:color w:val="000000" w:themeColor="text1"/>
          <w:sz w:val="21"/>
          <w:szCs w:val="21"/>
        </w:rPr>
        <w:t xml:space="preserve"> – </w:t>
      </w:r>
      <w:r w:rsidRPr="00CA7C54">
        <w:rPr>
          <w:color w:val="000000" w:themeColor="text1"/>
          <w:sz w:val="21"/>
          <w:szCs w:val="21"/>
        </w:rPr>
        <w:t>коефіцієнт, який залежить від ширини ПРУ чи СПП та приймається за таблицею Г.6;</w:t>
      </w:r>
    </w:p>
    <w:p w14:paraId="216EC612"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perscript"/>
        </w:rPr>
        <w:t>’</w:t>
      </w:r>
      <w:r w:rsidRPr="00CA7C54">
        <w:rPr>
          <w:i/>
          <w:color w:val="000000" w:themeColor="text1"/>
          <w:sz w:val="21"/>
          <w:szCs w:val="21"/>
          <w:vertAlign w:val="subscript"/>
        </w:rPr>
        <w:t>о</w:t>
      </w:r>
      <w:r w:rsidRPr="00CA7C54">
        <w:rPr>
          <w:i/>
          <w:color w:val="000000" w:themeColor="text1"/>
          <w:sz w:val="21"/>
          <w:szCs w:val="21"/>
        </w:rPr>
        <w:t xml:space="preserve"> – </w:t>
      </w:r>
      <w:r w:rsidRPr="00CA7C54">
        <w:rPr>
          <w:color w:val="000000" w:themeColor="text1"/>
          <w:sz w:val="21"/>
          <w:szCs w:val="21"/>
        </w:rPr>
        <w:t>коефіцієнт отворів у стінах поверху будівлі, нижче планувальної відмітки якого вбудовано ПРУ чи СПП, приймається рівним: 1;</w:t>
      </w:r>
    </w:p>
    <w:p w14:paraId="31B16746" w14:textId="77777777" w:rsidR="003C4E04" w:rsidRPr="00CA7C54" w:rsidRDefault="001E748C" w:rsidP="003B320F">
      <w:pPr>
        <w:spacing w:before="0" w:line="288" w:lineRule="auto"/>
        <w:ind w:firstLine="0"/>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НЗ</w:t>
      </w:r>
      <w:r w:rsidRPr="00CA7C54">
        <w:rPr>
          <w:i/>
          <w:color w:val="000000" w:themeColor="text1"/>
          <w:sz w:val="21"/>
          <w:szCs w:val="21"/>
        </w:rPr>
        <w:t xml:space="preserve"> – </w:t>
      </w:r>
      <w:r w:rsidRPr="00CA7C54">
        <w:rPr>
          <w:color w:val="000000" w:themeColor="text1"/>
          <w:sz w:val="21"/>
          <w:szCs w:val="21"/>
        </w:rPr>
        <w:t>коефіцієнт, що враховує невідворотність зараження радіоактивними опадами конструкцій покриття ПРУ чи СПП, приймається:</w:t>
      </w:r>
    </w:p>
    <w:p w14:paraId="7DD3ADE3" w14:textId="77777777" w:rsidR="003C4E04" w:rsidRPr="00CA7C54" w:rsidRDefault="001E748C" w:rsidP="003B320F">
      <w:pPr>
        <w:numPr>
          <w:ilvl w:val="0"/>
          <w:numId w:val="1"/>
        </w:numPr>
        <w:tabs>
          <w:tab w:val="left" w:pos="404"/>
        </w:tabs>
        <w:spacing w:before="0" w:line="288" w:lineRule="auto"/>
        <w:ind w:left="1134" w:hanging="283"/>
        <w:contextualSpacing/>
        <w:rPr>
          <w:color w:val="000000" w:themeColor="text1"/>
          <w:sz w:val="21"/>
          <w:szCs w:val="21"/>
        </w:rPr>
      </w:pPr>
      <w:r w:rsidRPr="00CA7C54">
        <w:rPr>
          <w:color w:val="000000" w:themeColor="text1"/>
          <w:sz w:val="21"/>
          <w:szCs w:val="21"/>
        </w:rPr>
        <w:t>для наземних ПРУ чи СПП, які розміщені окремо, вбудовані в одноповерхові будівлі чи прибудовані до будь-яких будівель: 0,45;</w:t>
      </w:r>
    </w:p>
    <w:p w14:paraId="3CC2C5EA" w14:textId="77777777" w:rsidR="003C4E04" w:rsidRPr="00CA7C54" w:rsidRDefault="001E748C" w:rsidP="003B320F">
      <w:pPr>
        <w:numPr>
          <w:ilvl w:val="0"/>
          <w:numId w:val="1"/>
        </w:numPr>
        <w:tabs>
          <w:tab w:val="left" w:pos="404"/>
        </w:tabs>
        <w:spacing w:before="0" w:line="288" w:lineRule="auto"/>
        <w:ind w:left="1134" w:hanging="283"/>
        <w:contextualSpacing/>
        <w:rPr>
          <w:color w:val="000000" w:themeColor="text1"/>
          <w:sz w:val="21"/>
          <w:szCs w:val="21"/>
        </w:rPr>
      </w:pPr>
      <w:r w:rsidRPr="00CA7C54">
        <w:rPr>
          <w:color w:val="000000" w:themeColor="text1"/>
          <w:sz w:val="21"/>
          <w:szCs w:val="21"/>
        </w:rPr>
        <w:t>для вбудованих ПРУ чи СПП у багатоповерхові будівлі, а також розміщених на відмітках цокольного, підвального та підземного поверху будівлі зі штучних кам’яних матеріалів та залізобетонним перекриттям над 1-м поверхом: 0,8;</w:t>
      </w:r>
    </w:p>
    <w:p w14:paraId="172F83F1" w14:textId="77777777" w:rsidR="003C4E04" w:rsidRPr="00CA7C54" w:rsidRDefault="001E748C" w:rsidP="003B320F">
      <w:pPr>
        <w:numPr>
          <w:ilvl w:val="0"/>
          <w:numId w:val="1"/>
        </w:numPr>
        <w:tabs>
          <w:tab w:val="left" w:pos="404"/>
        </w:tabs>
        <w:spacing w:before="0" w:line="288" w:lineRule="auto"/>
        <w:ind w:left="1134" w:hanging="283"/>
        <w:contextualSpacing/>
        <w:rPr>
          <w:color w:val="000000" w:themeColor="text1"/>
          <w:sz w:val="21"/>
          <w:szCs w:val="21"/>
        </w:rPr>
      </w:pPr>
      <w:r w:rsidRPr="00CA7C54">
        <w:rPr>
          <w:color w:val="000000" w:themeColor="text1"/>
          <w:sz w:val="21"/>
          <w:szCs w:val="21"/>
        </w:rPr>
        <w:t>для вбудованих ПРУ чи СПП, які розміщені на відмітці підземного поверху, якщо покриття ПРУ чи СПП не являється конструкцією, яка в тому числі утворює підлогу 1-</w:t>
      </w:r>
      <w:r w:rsidRPr="00CA7C54">
        <w:rPr>
          <w:color w:val="000000" w:themeColor="text1"/>
          <w:sz w:val="21"/>
          <w:szCs w:val="21"/>
        </w:rPr>
        <w:lastRenderedPageBreak/>
        <w:t>го поверху (між ПРУ чи СПП та підлогою 1-го поверху, знаходиться додатковий поверх, в тому числі технічний): 1.</w:t>
      </w:r>
    </w:p>
    <w:p w14:paraId="14E5778A" w14:textId="77777777" w:rsidR="003C4E04" w:rsidRPr="00CA7C54" w:rsidRDefault="001E748C" w:rsidP="006A22A5">
      <w:pPr>
        <w:pBdr>
          <w:top w:val="nil"/>
          <w:left w:val="nil"/>
          <w:bottom w:val="nil"/>
          <w:right w:val="nil"/>
          <w:between w:val="nil"/>
        </w:pBdr>
        <w:spacing w:before="0" w:line="288" w:lineRule="auto"/>
        <w:ind w:right="141"/>
        <w:contextualSpacing/>
        <w:rPr>
          <w:color w:val="000000" w:themeColor="text1"/>
          <w:sz w:val="21"/>
          <w:szCs w:val="21"/>
        </w:rPr>
      </w:pPr>
      <w:r w:rsidRPr="00CA7C54">
        <w:rPr>
          <w:b/>
          <w:color w:val="000000" w:themeColor="text1"/>
          <w:sz w:val="21"/>
          <w:szCs w:val="21"/>
        </w:rPr>
        <w:t>Г.2.4</w:t>
      </w:r>
      <w:r w:rsidRPr="00CA7C54">
        <w:rPr>
          <w:color w:val="000000" w:themeColor="text1"/>
          <w:sz w:val="21"/>
          <w:szCs w:val="21"/>
        </w:rPr>
        <w:t xml:space="preserve"> Для окремо розташованих повністю заглиблених у ґрунт ПРУ чи СПП, або повністю обвалованих споруд (укриттів) незалежно від планувальної відмітки, фактичний (розрахунковий) коефіцієнт послаблення радіаційного впливу </w:t>
      </w:r>
      <w:r w:rsidRPr="00CA7C54">
        <w:rPr>
          <w:i/>
          <w:color w:val="000000" w:themeColor="text1"/>
          <w:sz w:val="21"/>
          <w:szCs w:val="21"/>
        </w:rPr>
        <w:t>К</w:t>
      </w:r>
      <w:r w:rsidRPr="00CA7C54">
        <w:rPr>
          <w:i/>
          <w:color w:val="000000" w:themeColor="text1"/>
          <w:sz w:val="21"/>
          <w:szCs w:val="21"/>
          <w:vertAlign w:val="subscript"/>
        </w:rPr>
        <w:t>зф</w:t>
      </w:r>
      <w:r w:rsidRPr="00CA7C54">
        <w:rPr>
          <w:i/>
          <w:color w:val="000000" w:themeColor="text1"/>
          <w:sz w:val="21"/>
          <w:szCs w:val="21"/>
        </w:rPr>
        <w:t xml:space="preserve"> = А</w:t>
      </w:r>
      <w:r w:rsidRPr="00CA7C54">
        <w:rPr>
          <w:i/>
          <w:color w:val="000000" w:themeColor="text1"/>
          <w:sz w:val="21"/>
          <w:szCs w:val="21"/>
          <w:vertAlign w:val="subscript"/>
        </w:rPr>
        <w:t>зф</w:t>
      </w:r>
      <w:r w:rsidRPr="00CA7C54">
        <w:rPr>
          <w:color w:val="000000" w:themeColor="text1"/>
          <w:sz w:val="21"/>
          <w:szCs w:val="21"/>
        </w:rPr>
        <w:t>, і відповідно визначається за формулою Г.1 цього Додатк</w:t>
      </w:r>
      <w:r w:rsidR="00DC106E" w:rsidRPr="00CA7C54">
        <w:rPr>
          <w:color w:val="000000" w:themeColor="text1"/>
          <w:sz w:val="21"/>
          <w:szCs w:val="21"/>
        </w:rPr>
        <w:t>а</w:t>
      </w:r>
      <w:r w:rsidRPr="00CA7C54">
        <w:rPr>
          <w:color w:val="000000" w:themeColor="text1"/>
          <w:sz w:val="21"/>
          <w:szCs w:val="21"/>
        </w:rPr>
        <w:t>.</w:t>
      </w:r>
    </w:p>
    <w:p w14:paraId="4227AB72" w14:textId="77777777" w:rsidR="003C4E04" w:rsidRPr="00CA7C54" w:rsidRDefault="001E748C" w:rsidP="003B320F">
      <w:pPr>
        <w:pBdr>
          <w:top w:val="nil"/>
          <w:left w:val="nil"/>
          <w:bottom w:val="nil"/>
          <w:right w:val="nil"/>
          <w:between w:val="nil"/>
        </w:pBdr>
        <w:spacing w:before="0" w:line="288" w:lineRule="auto"/>
        <w:ind w:right="69"/>
        <w:contextualSpacing/>
        <w:rPr>
          <w:strike/>
          <w:color w:val="000000" w:themeColor="text1"/>
          <w:sz w:val="21"/>
          <w:szCs w:val="21"/>
        </w:rPr>
      </w:pPr>
      <w:r w:rsidRPr="00CA7C54">
        <w:rPr>
          <w:b/>
          <w:color w:val="000000" w:themeColor="text1"/>
          <w:sz w:val="21"/>
          <w:szCs w:val="21"/>
        </w:rPr>
        <w:t xml:space="preserve">Г.2.5 </w:t>
      </w:r>
      <w:r w:rsidRPr="00CA7C54">
        <w:rPr>
          <w:color w:val="000000" w:themeColor="text1"/>
          <w:sz w:val="21"/>
          <w:szCs w:val="21"/>
        </w:rPr>
        <w:t xml:space="preserve">Коефіцієнт </w:t>
      </w:r>
      <w:r w:rsidRPr="00CA7C54">
        <w:rPr>
          <w:i/>
          <w:color w:val="000000" w:themeColor="text1"/>
          <w:sz w:val="21"/>
          <w:szCs w:val="21"/>
        </w:rPr>
        <w:t>К</w:t>
      </w:r>
      <w:r w:rsidRPr="00CA7C54">
        <w:rPr>
          <w:i/>
          <w:color w:val="000000" w:themeColor="text1"/>
          <w:sz w:val="21"/>
          <w:szCs w:val="21"/>
          <w:vertAlign w:val="subscript"/>
        </w:rPr>
        <w:t>1</w:t>
      </w:r>
      <w:r w:rsidRPr="00CA7C54">
        <w:rPr>
          <w:color w:val="000000" w:themeColor="text1"/>
          <w:sz w:val="21"/>
          <w:szCs w:val="21"/>
        </w:rPr>
        <w:t>, що  враховує  частку  радіації,  яка проникає крізь стіни ПРУ чи СПП, визначається за формулою:</w:t>
      </w:r>
    </w:p>
    <w:p w14:paraId="06E904BE" w14:textId="77777777" w:rsidR="003C4E04" w:rsidRPr="00CA7C54" w:rsidRDefault="001E748C" w:rsidP="00901EF3">
      <w:pPr>
        <w:pBdr>
          <w:top w:val="nil"/>
          <w:left w:val="nil"/>
          <w:bottom w:val="nil"/>
          <w:right w:val="nil"/>
          <w:between w:val="nil"/>
        </w:pBdr>
        <w:spacing w:before="0" w:line="288" w:lineRule="auto"/>
        <w:ind w:left="3447" w:right="141" w:firstLine="0"/>
        <w:contextualSpacing/>
        <w:jc w:val="center"/>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1</w:t>
      </w:r>
      <w:r w:rsidRPr="00CA7C54">
        <w:rPr>
          <w:i/>
          <w:color w:val="000000" w:themeColor="text1"/>
          <w:sz w:val="21"/>
          <w:szCs w:val="21"/>
        </w:rPr>
        <w:t xml:space="preserve"> = 360</w:t>
      </w:r>
      <w:r w:rsidRPr="00CA7C54">
        <w:rPr>
          <w:i/>
          <w:color w:val="000000" w:themeColor="text1"/>
          <w:sz w:val="21"/>
          <w:szCs w:val="21"/>
          <w:vertAlign w:val="superscript"/>
        </w:rPr>
        <w:t>о</w:t>
      </w:r>
      <w:r w:rsidRPr="00CA7C54">
        <w:rPr>
          <w:i/>
          <w:color w:val="000000" w:themeColor="text1"/>
          <w:sz w:val="21"/>
          <w:szCs w:val="21"/>
        </w:rPr>
        <w:t xml:space="preserve"> / (36</w:t>
      </w:r>
      <w:r w:rsidRPr="00CA7C54">
        <w:rPr>
          <w:i/>
          <w:color w:val="000000" w:themeColor="text1"/>
          <w:sz w:val="21"/>
          <w:szCs w:val="21"/>
          <w:vertAlign w:val="superscript"/>
        </w:rPr>
        <w:t>о</w:t>
      </w:r>
      <w:sdt>
        <w:sdtPr>
          <w:rPr>
            <w:color w:val="000000" w:themeColor="text1"/>
            <w:sz w:val="21"/>
            <w:szCs w:val="21"/>
          </w:rPr>
          <w:tag w:val="goog_rdk_120"/>
          <w:id w:val="1004021527"/>
        </w:sdtPr>
        <w:sdtEndPr/>
        <w:sdtContent>
          <w:r w:rsidRPr="00CA7C54">
            <w:rPr>
              <w:rFonts w:eastAsia="Arial Unicode MS"/>
              <w:i/>
              <w:color w:val="000000" w:themeColor="text1"/>
              <w:sz w:val="21"/>
              <w:szCs w:val="21"/>
            </w:rPr>
            <w:t xml:space="preserve"> + ∑ α</w:t>
          </w:r>
        </w:sdtContent>
      </w:sdt>
      <w:r w:rsidRPr="00CA7C54">
        <w:rPr>
          <w:i/>
          <w:color w:val="000000" w:themeColor="text1"/>
          <w:sz w:val="21"/>
          <w:szCs w:val="21"/>
          <w:vertAlign w:val="subscript"/>
        </w:rPr>
        <w:t xml:space="preserve"> і</w:t>
      </w:r>
      <w:r w:rsidRPr="00CA7C54">
        <w:rPr>
          <w:i/>
          <w:color w:val="000000" w:themeColor="text1"/>
          <w:sz w:val="21"/>
          <w:szCs w:val="21"/>
        </w:rPr>
        <w:t>)</w:t>
      </w:r>
      <w:r w:rsidRPr="00CA7C54">
        <w:rPr>
          <w:color w:val="000000" w:themeColor="text1"/>
          <w:sz w:val="21"/>
          <w:szCs w:val="21"/>
        </w:rPr>
        <w:t>,                                                         (Г.8)</w:t>
      </w:r>
    </w:p>
    <w:p w14:paraId="346795B6"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де</w:t>
      </w:r>
    </w:p>
    <w:p w14:paraId="04E732CC" w14:textId="77777777" w:rsidR="003C4E04" w:rsidRPr="00B670E4" w:rsidRDefault="001E748C" w:rsidP="003B320F">
      <w:pPr>
        <w:widowControl w:val="0"/>
        <w:pBdr>
          <w:top w:val="nil"/>
          <w:left w:val="nil"/>
          <w:bottom w:val="nil"/>
          <w:right w:val="nil"/>
          <w:between w:val="nil"/>
        </w:pBdr>
        <w:spacing w:before="0" w:line="288" w:lineRule="auto"/>
        <w:contextualSpacing/>
        <w:rPr>
          <w:color w:val="000000" w:themeColor="text1"/>
          <w:spacing w:val="-4"/>
          <w:sz w:val="21"/>
          <w:szCs w:val="21"/>
        </w:rPr>
      </w:pPr>
      <w:r w:rsidRPr="00CA7C54">
        <w:rPr>
          <w:i/>
          <w:color w:val="000000" w:themeColor="text1"/>
          <w:sz w:val="21"/>
          <w:szCs w:val="21"/>
        </w:rPr>
        <w:t>α</w:t>
      </w:r>
      <w:r w:rsidRPr="00CA7C54">
        <w:rPr>
          <w:i/>
          <w:color w:val="000000" w:themeColor="text1"/>
          <w:sz w:val="21"/>
          <w:szCs w:val="21"/>
          <w:vertAlign w:val="subscript"/>
        </w:rPr>
        <w:t>і</w:t>
      </w:r>
      <w:r w:rsidRPr="00CA7C54">
        <w:rPr>
          <w:color w:val="000000" w:themeColor="text1"/>
          <w:sz w:val="21"/>
          <w:szCs w:val="21"/>
        </w:rPr>
        <w:t xml:space="preserve"> – </w:t>
      </w:r>
      <w:r w:rsidRPr="00B670E4">
        <w:rPr>
          <w:color w:val="000000" w:themeColor="text1"/>
          <w:spacing w:val="-4"/>
          <w:sz w:val="21"/>
          <w:szCs w:val="21"/>
        </w:rPr>
        <w:t xml:space="preserve">кут з вершиною у центрі ПРУ чи СПП, проти якого  розташована </w:t>
      </w:r>
      <w:r w:rsidRPr="00B670E4">
        <w:rPr>
          <w:i/>
          <w:color w:val="000000" w:themeColor="text1"/>
          <w:spacing w:val="-4"/>
          <w:sz w:val="21"/>
          <w:szCs w:val="21"/>
        </w:rPr>
        <w:t>і</w:t>
      </w:r>
      <w:r w:rsidRPr="00B670E4">
        <w:rPr>
          <w:color w:val="000000" w:themeColor="text1"/>
          <w:spacing w:val="-4"/>
          <w:sz w:val="21"/>
          <w:szCs w:val="21"/>
        </w:rPr>
        <w:t xml:space="preserve">-та стіна укриття, градусів. </w:t>
      </w:r>
    </w:p>
    <w:p w14:paraId="3494811F"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При розрахунку розрахункового коефіцієнта послаблення радіаційного впливу (коефіцієнта  захисту) </w:t>
      </w: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приймається припущення, що випромінювання крізь будь-яку стіну ПРУ чи СПП (за винятком споруд, що розглядаються в  Г.2.4) пропорційне плоскому куту, який описує цю стіну з  розрахункової точки у центрі приміщення. При прямокутному обрисі ПРУ чи СПП чотири плоских кути утворюються від перетину діагоналей.</w:t>
      </w:r>
    </w:p>
    <w:p w14:paraId="402A40E7"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Кути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 xml:space="preserve">  визначаються графічним методом на плані ПРУ чи СПП з урахуванням наведеного вище припущення шляхом нанесення діагоналей та формування відповідної схеми кутів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w:t>
      </w:r>
    </w:p>
    <w:p w14:paraId="3008B210" w14:textId="77777777" w:rsidR="003C4E04" w:rsidRPr="00CA7C54" w:rsidRDefault="001E748C" w:rsidP="003B320F">
      <w:pPr>
        <w:pBdr>
          <w:top w:val="nil"/>
          <w:left w:val="nil"/>
          <w:bottom w:val="nil"/>
          <w:right w:val="nil"/>
          <w:between w:val="nil"/>
        </w:pBdr>
        <w:spacing w:before="0" w:line="288" w:lineRule="auto"/>
        <w:ind w:right="69" w:firstLine="64"/>
        <w:contextualSpacing/>
        <w:jc w:val="center"/>
        <w:rPr>
          <w:color w:val="000000" w:themeColor="text1"/>
          <w:sz w:val="21"/>
          <w:szCs w:val="21"/>
        </w:rPr>
      </w:pPr>
      <w:r w:rsidRPr="00CA7C54">
        <w:rPr>
          <w:noProof/>
          <w:color w:val="000000" w:themeColor="text1"/>
          <w:sz w:val="21"/>
          <w:szCs w:val="21"/>
          <w:lang w:eastAsia="uk-UA"/>
        </w:rPr>
        <w:drawing>
          <wp:inline distT="0" distB="0" distL="0" distR="0" wp14:anchorId="0CC88221" wp14:editId="0334F6D8">
            <wp:extent cx="4635502" cy="3289032"/>
            <wp:effectExtent l="0" t="0" r="0" b="0"/>
            <wp:docPr id="213052447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6"/>
                    <a:srcRect/>
                    <a:stretch>
                      <a:fillRect/>
                    </a:stretch>
                  </pic:blipFill>
                  <pic:spPr>
                    <a:xfrm>
                      <a:off x="0" y="0"/>
                      <a:ext cx="4635502" cy="3289032"/>
                    </a:xfrm>
                    <a:prstGeom prst="rect">
                      <a:avLst/>
                    </a:prstGeom>
                    <a:ln/>
                  </pic:spPr>
                </pic:pic>
              </a:graphicData>
            </a:graphic>
          </wp:inline>
        </w:drawing>
      </w:r>
    </w:p>
    <w:p w14:paraId="58A3E8FA" w14:textId="77777777" w:rsidR="003C4E04" w:rsidRPr="00CA7C54" w:rsidRDefault="003C4E04" w:rsidP="003B320F">
      <w:pPr>
        <w:pBdr>
          <w:top w:val="nil"/>
          <w:left w:val="nil"/>
          <w:bottom w:val="nil"/>
          <w:right w:val="nil"/>
          <w:between w:val="nil"/>
        </w:pBdr>
        <w:spacing w:before="0" w:line="288" w:lineRule="auto"/>
        <w:ind w:right="69"/>
        <w:contextualSpacing/>
        <w:rPr>
          <w:color w:val="000000" w:themeColor="text1"/>
          <w:sz w:val="21"/>
          <w:szCs w:val="21"/>
        </w:rPr>
      </w:pPr>
    </w:p>
    <w:p w14:paraId="232D9E81" w14:textId="77777777" w:rsidR="003C4E04" w:rsidRPr="00CA7C54" w:rsidRDefault="001E748C" w:rsidP="003B320F">
      <w:pPr>
        <w:pBdr>
          <w:top w:val="nil"/>
          <w:left w:val="nil"/>
          <w:bottom w:val="nil"/>
          <w:right w:val="nil"/>
          <w:between w:val="nil"/>
        </w:pBdr>
        <w:spacing w:before="0" w:line="288" w:lineRule="auto"/>
        <w:ind w:right="69"/>
        <w:contextualSpacing/>
        <w:jc w:val="center"/>
        <w:rPr>
          <w:color w:val="000000" w:themeColor="text1"/>
          <w:sz w:val="21"/>
          <w:szCs w:val="21"/>
        </w:rPr>
      </w:pPr>
      <w:r w:rsidRPr="00CA7C54">
        <w:rPr>
          <w:b/>
          <w:color w:val="000000" w:themeColor="text1"/>
          <w:sz w:val="21"/>
          <w:szCs w:val="21"/>
        </w:rPr>
        <w:t>Рисунок Г.2.1</w:t>
      </w:r>
      <w:r w:rsidRPr="00CA7C54">
        <w:rPr>
          <w:color w:val="000000" w:themeColor="text1"/>
          <w:sz w:val="21"/>
          <w:szCs w:val="21"/>
        </w:rPr>
        <w:t xml:space="preserve"> –  Приклад схеми побудови кутів на плані умовного ПРУ чи СПП</w:t>
      </w:r>
      <w:r w:rsidRPr="00CA7C54">
        <w:rPr>
          <w:color w:val="000000" w:themeColor="text1"/>
          <w:sz w:val="21"/>
          <w:szCs w:val="21"/>
        </w:rPr>
        <w:br/>
        <w:t>(без внутрішніх планувальних рішень)</w:t>
      </w:r>
    </w:p>
    <w:p w14:paraId="282692FB" w14:textId="77777777" w:rsidR="003C4E04" w:rsidRPr="00CA7C54" w:rsidRDefault="003C4E04" w:rsidP="003B320F">
      <w:pPr>
        <w:pBdr>
          <w:top w:val="nil"/>
          <w:left w:val="nil"/>
          <w:bottom w:val="nil"/>
          <w:right w:val="nil"/>
          <w:between w:val="nil"/>
        </w:pBdr>
        <w:spacing w:before="0" w:line="288" w:lineRule="auto"/>
        <w:ind w:right="69"/>
        <w:contextualSpacing/>
        <w:rPr>
          <w:color w:val="000000" w:themeColor="text1"/>
          <w:sz w:val="21"/>
          <w:szCs w:val="21"/>
        </w:rPr>
      </w:pPr>
    </w:p>
    <w:p w14:paraId="6AE17209" w14:textId="77777777" w:rsidR="003C4E04" w:rsidRPr="000930AB" w:rsidRDefault="001E748C" w:rsidP="003B320F">
      <w:pPr>
        <w:pBdr>
          <w:top w:val="nil"/>
          <w:left w:val="nil"/>
          <w:bottom w:val="nil"/>
          <w:right w:val="nil"/>
          <w:between w:val="nil"/>
        </w:pBdr>
        <w:spacing w:before="0" w:line="288" w:lineRule="auto"/>
        <w:ind w:right="69"/>
        <w:contextualSpacing/>
        <w:rPr>
          <w:color w:val="000000" w:themeColor="text1"/>
          <w:spacing w:val="-2"/>
          <w:sz w:val="21"/>
          <w:szCs w:val="21"/>
        </w:rPr>
      </w:pPr>
      <w:r w:rsidRPr="00CA7C54">
        <w:rPr>
          <w:color w:val="000000" w:themeColor="text1"/>
          <w:sz w:val="21"/>
          <w:szCs w:val="21"/>
        </w:rPr>
        <w:t xml:space="preserve">Для проведення подальших розрахунків та визначення кількості кутів, які  потрібно </w:t>
      </w:r>
      <w:r w:rsidRPr="000930AB">
        <w:rPr>
          <w:color w:val="000000" w:themeColor="text1"/>
          <w:spacing w:val="-2"/>
          <w:sz w:val="21"/>
          <w:szCs w:val="21"/>
        </w:rPr>
        <w:t xml:space="preserve">враховувати під час розрахунку за формулою Г.8, визначається вага кожної стіни навпроти </w:t>
      </w:r>
      <w:r w:rsidRPr="000930AB">
        <w:rPr>
          <w:i/>
          <w:color w:val="000000" w:themeColor="text1"/>
          <w:spacing w:val="-2"/>
          <w:sz w:val="21"/>
          <w:szCs w:val="21"/>
        </w:rPr>
        <w:t>і</w:t>
      </w:r>
      <w:r w:rsidRPr="000930AB">
        <w:rPr>
          <w:color w:val="000000" w:themeColor="text1"/>
          <w:spacing w:val="-2"/>
          <w:sz w:val="21"/>
          <w:szCs w:val="21"/>
        </w:rPr>
        <w:t>-го кута.</w:t>
      </w:r>
    </w:p>
    <w:p w14:paraId="65E0AEB7"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Визначення ваги 1 м.кв. кожної </w:t>
      </w:r>
      <w:r w:rsidRPr="00CA7C54">
        <w:rPr>
          <w:i/>
          <w:color w:val="000000" w:themeColor="text1"/>
          <w:sz w:val="21"/>
          <w:szCs w:val="21"/>
        </w:rPr>
        <w:t>і</w:t>
      </w:r>
      <w:r w:rsidRPr="00CA7C54">
        <w:rPr>
          <w:color w:val="000000" w:themeColor="text1"/>
          <w:sz w:val="21"/>
          <w:szCs w:val="21"/>
        </w:rPr>
        <w:t>-тої стіни G</w:t>
      </w:r>
      <w:r w:rsidRPr="00CA7C54">
        <w:rPr>
          <w:color w:val="000000" w:themeColor="text1"/>
          <w:sz w:val="21"/>
          <w:szCs w:val="21"/>
          <w:vertAlign w:val="subscript"/>
        </w:rPr>
        <w:t>і</w:t>
      </w:r>
      <w:r w:rsidRPr="00CA7C54">
        <w:rPr>
          <w:color w:val="000000" w:themeColor="text1"/>
          <w:sz w:val="21"/>
          <w:szCs w:val="21"/>
        </w:rPr>
        <w:t xml:space="preserve">, кг, навпроти кожного кута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 здійснюється за формулою:</w:t>
      </w:r>
    </w:p>
    <w:p w14:paraId="779B8E99" w14:textId="77777777" w:rsidR="003C4E04" w:rsidRPr="00CA7C54" w:rsidRDefault="001E748C" w:rsidP="003B320F">
      <w:pPr>
        <w:pBdr>
          <w:top w:val="nil"/>
          <w:left w:val="nil"/>
          <w:bottom w:val="nil"/>
          <w:right w:val="nil"/>
          <w:between w:val="nil"/>
        </w:pBdr>
        <w:spacing w:before="0" w:line="288" w:lineRule="auto"/>
        <w:ind w:right="141"/>
        <w:contextualSpacing/>
        <w:jc w:val="right"/>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i</w:t>
      </w:r>
      <w:r w:rsidRPr="00CA7C54">
        <w:rPr>
          <w:i/>
          <w:color w:val="000000" w:themeColor="text1"/>
          <w:sz w:val="21"/>
          <w:szCs w:val="21"/>
        </w:rPr>
        <w:t xml:space="preserve"> = ρ</w:t>
      </w:r>
      <w:r w:rsidRPr="00CA7C54">
        <w:rPr>
          <w:i/>
          <w:color w:val="000000" w:themeColor="text1"/>
          <w:sz w:val="21"/>
          <w:szCs w:val="21"/>
          <w:vertAlign w:val="subscript"/>
        </w:rPr>
        <w:t>і</w:t>
      </w:r>
      <w:r w:rsidRPr="00CA7C54">
        <w:rPr>
          <w:i/>
          <w:color w:val="000000" w:themeColor="text1"/>
          <w:sz w:val="21"/>
          <w:szCs w:val="21"/>
        </w:rPr>
        <w:t xml:space="preserve"> × у</w:t>
      </w:r>
      <w:r w:rsidRPr="00CA7C54">
        <w:rPr>
          <w:i/>
          <w:color w:val="000000" w:themeColor="text1"/>
          <w:sz w:val="21"/>
          <w:szCs w:val="21"/>
          <w:vertAlign w:val="subscript"/>
        </w:rPr>
        <w:t>і</w:t>
      </w:r>
      <w:r w:rsidRPr="00CA7C54">
        <w:rPr>
          <w:color w:val="000000" w:themeColor="text1"/>
          <w:sz w:val="21"/>
          <w:szCs w:val="21"/>
        </w:rPr>
        <w:t xml:space="preserve">                                                                      (Г.9)</w:t>
      </w:r>
    </w:p>
    <w:p w14:paraId="25BA87E8"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7FFCA0BA" w14:textId="77777777" w:rsidR="003C4E04" w:rsidRPr="00CA7C54" w:rsidRDefault="001E748C" w:rsidP="003B320F">
      <w:pPr>
        <w:widowControl w:val="0"/>
        <w:pBdr>
          <w:top w:val="nil"/>
          <w:left w:val="nil"/>
          <w:bottom w:val="nil"/>
          <w:right w:val="nil"/>
          <w:between w:val="nil"/>
        </w:pBdr>
        <w:spacing w:before="0" w:line="288" w:lineRule="auto"/>
        <w:ind w:left="1064" w:hanging="425"/>
        <w:contextualSpacing/>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i</w:t>
      </w:r>
      <w:r w:rsidRPr="00CA7C54">
        <w:rPr>
          <w:color w:val="000000" w:themeColor="text1"/>
          <w:sz w:val="21"/>
          <w:szCs w:val="21"/>
        </w:rPr>
        <w:t>– вага огороджувальної конструкції (стіни), без отворів, кг/м</w:t>
      </w:r>
      <w:r w:rsidR="001D4D50" w:rsidRPr="00CA7C54">
        <w:rPr>
          <w:color w:val="000000" w:themeColor="text1"/>
          <w:sz w:val="21"/>
          <w:szCs w:val="21"/>
          <w:vertAlign w:val="superscript"/>
        </w:rPr>
        <w:t>2</w:t>
      </w:r>
    </w:p>
    <w:p w14:paraId="19AEEA6C" w14:textId="77777777" w:rsidR="003C4E04" w:rsidRPr="00CA7C54" w:rsidRDefault="001E748C" w:rsidP="003B320F">
      <w:pPr>
        <w:widowControl w:val="0"/>
        <w:pBdr>
          <w:top w:val="nil"/>
          <w:left w:val="nil"/>
          <w:bottom w:val="nil"/>
          <w:right w:val="nil"/>
          <w:between w:val="nil"/>
        </w:pBdr>
        <w:spacing w:before="0" w:line="288" w:lineRule="auto"/>
        <w:ind w:left="1064" w:hanging="425"/>
        <w:contextualSpacing/>
        <w:rPr>
          <w:color w:val="000000" w:themeColor="text1"/>
          <w:sz w:val="21"/>
          <w:szCs w:val="21"/>
          <w:vertAlign w:val="superscript"/>
        </w:rPr>
      </w:pPr>
      <w:r w:rsidRPr="00CA7C54">
        <w:rPr>
          <w:i/>
          <w:color w:val="000000" w:themeColor="text1"/>
          <w:sz w:val="21"/>
          <w:szCs w:val="21"/>
        </w:rPr>
        <w:t>ρ</w:t>
      </w:r>
      <w:r w:rsidRPr="00CA7C54">
        <w:rPr>
          <w:i/>
          <w:color w:val="000000" w:themeColor="text1"/>
          <w:sz w:val="21"/>
          <w:szCs w:val="21"/>
          <w:vertAlign w:val="subscript"/>
        </w:rPr>
        <w:t>і</w:t>
      </w:r>
      <w:r w:rsidRPr="00CA7C54">
        <w:rPr>
          <w:color w:val="000000" w:themeColor="text1"/>
          <w:sz w:val="21"/>
          <w:szCs w:val="21"/>
        </w:rPr>
        <w:t xml:space="preserve"> – щільність </w:t>
      </w:r>
      <w:r w:rsidRPr="00CA7C54">
        <w:rPr>
          <w:i/>
          <w:color w:val="000000" w:themeColor="text1"/>
          <w:sz w:val="21"/>
          <w:szCs w:val="21"/>
        </w:rPr>
        <w:t>і</w:t>
      </w:r>
      <w:r w:rsidRPr="00CA7C54">
        <w:rPr>
          <w:color w:val="000000" w:themeColor="text1"/>
          <w:sz w:val="21"/>
          <w:szCs w:val="21"/>
        </w:rPr>
        <w:t xml:space="preserve">-того матеріалу </w:t>
      </w:r>
      <w:r w:rsidRPr="00CA7C54">
        <w:rPr>
          <w:i/>
          <w:color w:val="000000" w:themeColor="text1"/>
          <w:sz w:val="21"/>
          <w:szCs w:val="21"/>
        </w:rPr>
        <w:t>і</w:t>
      </w:r>
      <w:r w:rsidRPr="00CA7C54">
        <w:rPr>
          <w:color w:val="000000" w:themeColor="text1"/>
          <w:sz w:val="21"/>
          <w:szCs w:val="21"/>
        </w:rPr>
        <w:t>-тої огороджуючої конструкції (стіни), кг/м</w:t>
      </w:r>
      <w:r w:rsidR="001D4D50" w:rsidRPr="00CA7C54">
        <w:rPr>
          <w:color w:val="000000" w:themeColor="text1"/>
          <w:sz w:val="21"/>
          <w:szCs w:val="21"/>
          <w:vertAlign w:val="superscript"/>
        </w:rPr>
        <w:t>3</w:t>
      </w:r>
    </w:p>
    <w:p w14:paraId="6663E59B" w14:textId="77777777" w:rsidR="003C4E04" w:rsidRPr="00CA7C54" w:rsidRDefault="001E748C" w:rsidP="003B320F">
      <w:pPr>
        <w:widowControl w:val="0"/>
        <w:pBdr>
          <w:top w:val="nil"/>
          <w:left w:val="nil"/>
          <w:bottom w:val="nil"/>
          <w:right w:val="nil"/>
          <w:between w:val="nil"/>
        </w:pBdr>
        <w:spacing w:before="0" w:line="288" w:lineRule="auto"/>
        <w:ind w:left="1064" w:hanging="425"/>
        <w:contextualSpacing/>
        <w:rPr>
          <w:color w:val="000000" w:themeColor="text1"/>
          <w:sz w:val="21"/>
          <w:szCs w:val="21"/>
        </w:rPr>
      </w:pPr>
      <w:r w:rsidRPr="00CA7C54">
        <w:rPr>
          <w:i/>
          <w:color w:val="000000" w:themeColor="text1"/>
          <w:sz w:val="21"/>
          <w:szCs w:val="21"/>
        </w:rPr>
        <w:t>y</w:t>
      </w:r>
      <w:r w:rsidRPr="00CA7C54">
        <w:rPr>
          <w:i/>
          <w:color w:val="000000" w:themeColor="text1"/>
          <w:sz w:val="21"/>
          <w:szCs w:val="21"/>
          <w:vertAlign w:val="subscript"/>
        </w:rPr>
        <w:t>і</w:t>
      </w:r>
      <w:r w:rsidRPr="00CA7C54">
        <w:rPr>
          <w:color w:val="000000" w:themeColor="text1"/>
          <w:sz w:val="21"/>
          <w:szCs w:val="21"/>
        </w:rPr>
        <w:t xml:space="preserve">– товщина шару і-того матеріалу </w:t>
      </w:r>
      <w:r w:rsidRPr="00CA7C54">
        <w:rPr>
          <w:i/>
          <w:color w:val="000000" w:themeColor="text1"/>
          <w:sz w:val="21"/>
          <w:szCs w:val="21"/>
        </w:rPr>
        <w:t>і</w:t>
      </w:r>
      <w:r w:rsidRPr="00CA7C54">
        <w:rPr>
          <w:color w:val="000000" w:themeColor="text1"/>
          <w:sz w:val="21"/>
          <w:szCs w:val="21"/>
        </w:rPr>
        <w:t>-ї огороджуючої конструкції (стіни), м;</w:t>
      </w:r>
    </w:p>
    <w:p w14:paraId="216C6A3D"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lastRenderedPageBreak/>
        <w:t>У разі використання багатошарових конструкції з різних матеріалів, значення їх ваги сумується.</w:t>
      </w:r>
    </w:p>
    <w:p w14:paraId="57347476"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Під час розрахунку ваги огороджувальної конструкції в межах одного кута, враховуються лише стіни ПРУ чи СПП, без урахування огороджувальних конструкцій будівель/споруд, в які вони вбудовані чи до яких вони прибудовані. </w:t>
      </w:r>
    </w:p>
    <w:p w14:paraId="1264A597"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Для вбудованих ПРУ чи СПП, які розташовані на відмітках підземних поверхів, для стін, які суміжні з ґрунтом навколишньої території, вагу 1 м</w:t>
      </w:r>
      <w:r w:rsidR="001D4D50" w:rsidRPr="00CA7C54">
        <w:rPr>
          <w:color w:val="000000" w:themeColor="text1"/>
          <w:sz w:val="21"/>
          <w:szCs w:val="21"/>
          <w:vertAlign w:val="superscript"/>
        </w:rPr>
        <w:t>2</w:t>
      </w:r>
      <w:r w:rsidRPr="00CA7C54">
        <w:rPr>
          <w:color w:val="000000" w:themeColor="text1"/>
          <w:sz w:val="21"/>
          <w:szCs w:val="21"/>
        </w:rPr>
        <w:t xml:space="preserve"> стіни у сумі з вагою ґрунту, в розрахунках необхідно приймати не більше 11000 Н (1100 кг).</w:t>
      </w:r>
    </w:p>
    <w:p w14:paraId="3A3159B6"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Визначення ваги 1 м</w:t>
      </w:r>
      <w:r w:rsidR="005A4604" w:rsidRPr="00CA7C54">
        <w:rPr>
          <w:color w:val="000000" w:themeColor="text1"/>
          <w:sz w:val="21"/>
          <w:szCs w:val="21"/>
          <w:vertAlign w:val="superscript"/>
        </w:rPr>
        <w:t>2</w:t>
      </w:r>
      <w:r w:rsidRPr="00CA7C54">
        <w:rPr>
          <w:i/>
          <w:color w:val="000000" w:themeColor="text1"/>
          <w:sz w:val="21"/>
          <w:szCs w:val="21"/>
        </w:rPr>
        <w:t>і</w:t>
      </w:r>
      <w:r w:rsidRPr="00CA7C54">
        <w:rPr>
          <w:color w:val="000000" w:themeColor="text1"/>
          <w:sz w:val="21"/>
          <w:szCs w:val="21"/>
        </w:rPr>
        <w:t xml:space="preserve">-тої стіни, кг, з отворами (прорізами), навпроти кожного кута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 здійснюється за формулою:</w:t>
      </w:r>
    </w:p>
    <w:p w14:paraId="124B7C61" w14:textId="77777777" w:rsidR="003C4E04" w:rsidRPr="00CA7C54" w:rsidRDefault="001E748C" w:rsidP="003B320F">
      <w:pPr>
        <w:pBdr>
          <w:top w:val="nil"/>
          <w:left w:val="nil"/>
          <w:bottom w:val="nil"/>
          <w:right w:val="nil"/>
          <w:between w:val="nil"/>
        </w:pBdr>
        <w:spacing w:before="0" w:line="288" w:lineRule="auto"/>
        <w:ind w:right="141"/>
        <w:contextualSpacing/>
        <w:jc w:val="right"/>
        <w:rPr>
          <w:b/>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іо</w:t>
      </w:r>
      <w:r w:rsidRPr="00CA7C54">
        <w:rPr>
          <w:i/>
          <w:color w:val="000000" w:themeColor="text1"/>
          <w:sz w:val="21"/>
          <w:szCs w:val="21"/>
        </w:rPr>
        <w:t xml:space="preserve"> = ρ</w:t>
      </w:r>
      <w:r w:rsidRPr="00CA7C54">
        <w:rPr>
          <w:i/>
          <w:color w:val="000000" w:themeColor="text1"/>
          <w:sz w:val="21"/>
          <w:szCs w:val="21"/>
          <w:vertAlign w:val="subscript"/>
        </w:rPr>
        <w:t>і</w:t>
      </w:r>
      <w:r w:rsidRPr="00CA7C54">
        <w:rPr>
          <w:i/>
          <w:color w:val="000000" w:themeColor="text1"/>
          <w:sz w:val="21"/>
          <w:szCs w:val="21"/>
        </w:rPr>
        <w:t xml:space="preserve"> × у</w:t>
      </w:r>
      <w:r w:rsidRPr="00CA7C54">
        <w:rPr>
          <w:i/>
          <w:color w:val="000000" w:themeColor="text1"/>
          <w:sz w:val="21"/>
          <w:szCs w:val="21"/>
          <w:vertAlign w:val="subscript"/>
        </w:rPr>
        <w:t xml:space="preserve">і </w:t>
      </w:r>
      <w:r w:rsidRPr="00CA7C54">
        <w:rPr>
          <w:i/>
          <w:color w:val="000000" w:themeColor="text1"/>
          <w:sz w:val="21"/>
          <w:szCs w:val="21"/>
        </w:rPr>
        <w:t xml:space="preserve">× (1 – (S </w:t>
      </w:r>
      <w:r w:rsidRPr="00CA7C54">
        <w:rPr>
          <w:i/>
          <w:color w:val="000000" w:themeColor="text1"/>
          <w:sz w:val="21"/>
          <w:szCs w:val="21"/>
          <w:vertAlign w:val="subscript"/>
        </w:rPr>
        <w:t xml:space="preserve">o </w:t>
      </w:r>
      <w:r w:rsidRPr="00CA7C54">
        <w:rPr>
          <w:i/>
          <w:color w:val="000000" w:themeColor="text1"/>
          <w:sz w:val="21"/>
          <w:szCs w:val="21"/>
        </w:rPr>
        <w:t xml:space="preserve">/ S </w:t>
      </w:r>
      <w:r w:rsidRPr="00CA7C54">
        <w:rPr>
          <w:i/>
          <w:color w:val="000000" w:themeColor="text1"/>
          <w:sz w:val="21"/>
          <w:szCs w:val="21"/>
          <w:vertAlign w:val="subscript"/>
        </w:rPr>
        <w:t>ст</w:t>
      </w:r>
      <w:r w:rsidRPr="00CA7C54">
        <w:rPr>
          <w:i/>
          <w:color w:val="000000" w:themeColor="text1"/>
          <w:sz w:val="21"/>
          <w:szCs w:val="21"/>
        </w:rPr>
        <w:t>))</w:t>
      </w:r>
      <w:r w:rsidRPr="00CA7C54">
        <w:rPr>
          <w:color w:val="000000" w:themeColor="text1"/>
          <w:sz w:val="21"/>
          <w:szCs w:val="21"/>
        </w:rPr>
        <w:t xml:space="preserve">,                                                      (Г.10) </w:t>
      </w:r>
    </w:p>
    <w:p w14:paraId="74EF3FDF"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1972356A"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iо</w:t>
      </w:r>
      <w:r w:rsidRPr="00CA7C54">
        <w:rPr>
          <w:color w:val="000000" w:themeColor="text1"/>
          <w:sz w:val="21"/>
          <w:szCs w:val="21"/>
        </w:rPr>
        <w:t xml:space="preserve"> – вага огороджувальної конструкції (стіни), з отворами, кг/м</w:t>
      </w:r>
      <w:r w:rsidR="001D4D50" w:rsidRPr="00CA7C54">
        <w:rPr>
          <w:color w:val="000000" w:themeColor="text1"/>
          <w:sz w:val="21"/>
          <w:szCs w:val="21"/>
          <w:vertAlign w:val="superscript"/>
        </w:rPr>
        <w:t>2</w:t>
      </w:r>
      <w:r w:rsidRPr="00CA7C54">
        <w:rPr>
          <w:color w:val="000000" w:themeColor="text1"/>
          <w:sz w:val="21"/>
          <w:szCs w:val="21"/>
        </w:rPr>
        <w:t>;</w:t>
      </w:r>
    </w:p>
    <w:p w14:paraId="4D77F075" w14:textId="77777777" w:rsidR="003C4E04" w:rsidRPr="00CA7C54" w:rsidRDefault="001E748C" w:rsidP="003B320F">
      <w:pPr>
        <w:pBdr>
          <w:top w:val="nil"/>
          <w:left w:val="nil"/>
          <w:bottom w:val="nil"/>
          <w:right w:val="nil"/>
          <w:between w:val="nil"/>
        </w:pBdr>
        <w:spacing w:before="0" w:line="288" w:lineRule="auto"/>
        <w:ind w:right="141" w:firstLine="631"/>
        <w:contextualSpacing/>
        <w:rPr>
          <w:color w:val="000000" w:themeColor="text1"/>
          <w:sz w:val="21"/>
          <w:szCs w:val="21"/>
        </w:rPr>
      </w:pPr>
      <w:r w:rsidRPr="00CA7C54">
        <w:rPr>
          <w:i/>
          <w:color w:val="000000" w:themeColor="text1"/>
          <w:sz w:val="21"/>
          <w:szCs w:val="21"/>
        </w:rPr>
        <w:t>S</w:t>
      </w:r>
      <w:r w:rsidRPr="00CA7C54">
        <w:rPr>
          <w:i/>
          <w:color w:val="000000" w:themeColor="text1"/>
          <w:sz w:val="21"/>
          <w:szCs w:val="21"/>
          <w:vertAlign w:val="subscript"/>
        </w:rPr>
        <w:t>o</w:t>
      </w:r>
      <w:r w:rsidRPr="00CA7C54">
        <w:rPr>
          <w:color w:val="000000" w:themeColor="text1"/>
          <w:sz w:val="21"/>
          <w:szCs w:val="21"/>
        </w:rPr>
        <w:t xml:space="preserve">  – площа отворів (прорізів) у зовнішніх огороджуючих конструкціях-стінах (дверних, віконних, отворів з клапанами, тощо), м</w:t>
      </w:r>
      <w:r w:rsidR="001D4D50" w:rsidRPr="00CA7C54">
        <w:rPr>
          <w:color w:val="000000" w:themeColor="text1"/>
          <w:sz w:val="21"/>
          <w:szCs w:val="21"/>
          <w:vertAlign w:val="superscript"/>
        </w:rPr>
        <w:t>2</w:t>
      </w:r>
    </w:p>
    <w:p w14:paraId="0D50A740" w14:textId="77777777" w:rsidR="003C4E04" w:rsidRPr="00CA7C54" w:rsidRDefault="001E748C" w:rsidP="003B320F">
      <w:pPr>
        <w:pBdr>
          <w:top w:val="nil"/>
          <w:left w:val="nil"/>
          <w:bottom w:val="nil"/>
          <w:right w:val="nil"/>
          <w:between w:val="nil"/>
        </w:pBdr>
        <w:spacing w:before="0" w:line="288" w:lineRule="auto"/>
        <w:ind w:right="141" w:firstLine="631"/>
        <w:contextualSpacing/>
        <w:rPr>
          <w:color w:val="000000" w:themeColor="text1"/>
          <w:sz w:val="21"/>
          <w:szCs w:val="21"/>
        </w:rPr>
      </w:pPr>
      <w:r w:rsidRPr="00CA7C54">
        <w:rPr>
          <w:i/>
          <w:color w:val="000000" w:themeColor="text1"/>
          <w:sz w:val="21"/>
          <w:szCs w:val="21"/>
        </w:rPr>
        <w:t>S</w:t>
      </w:r>
      <w:r w:rsidRPr="00CA7C54">
        <w:rPr>
          <w:i/>
          <w:color w:val="000000" w:themeColor="text1"/>
          <w:sz w:val="21"/>
          <w:szCs w:val="21"/>
          <w:vertAlign w:val="subscript"/>
        </w:rPr>
        <w:t>ст</w:t>
      </w:r>
      <w:r w:rsidRPr="00CA7C54">
        <w:rPr>
          <w:color w:val="000000" w:themeColor="text1"/>
          <w:sz w:val="21"/>
          <w:szCs w:val="21"/>
        </w:rPr>
        <w:t xml:space="preserve">  – площа стіни, м</w:t>
      </w:r>
      <w:r w:rsidR="005A4604" w:rsidRPr="00CA7C54">
        <w:rPr>
          <w:color w:val="000000" w:themeColor="text1"/>
          <w:sz w:val="21"/>
          <w:szCs w:val="21"/>
          <w:vertAlign w:val="superscript"/>
        </w:rPr>
        <w:t>2</w:t>
      </w:r>
      <w:r w:rsidRPr="00CA7C54">
        <w:rPr>
          <w:color w:val="000000" w:themeColor="text1"/>
          <w:sz w:val="21"/>
          <w:szCs w:val="21"/>
        </w:rPr>
        <w:t xml:space="preserve"> для якої розраховується вага. </w:t>
      </w:r>
    </w:p>
    <w:p w14:paraId="6A2D078E"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 xml:space="preserve">У розрахунку коефіцієнта </w:t>
      </w:r>
      <w:r w:rsidRPr="00CA7C54">
        <w:rPr>
          <w:i/>
          <w:color w:val="000000" w:themeColor="text1"/>
          <w:sz w:val="21"/>
          <w:szCs w:val="21"/>
        </w:rPr>
        <w:t>К</w:t>
      </w:r>
      <w:r w:rsidRPr="00CA7C54">
        <w:rPr>
          <w:i/>
          <w:color w:val="000000" w:themeColor="text1"/>
          <w:sz w:val="21"/>
          <w:szCs w:val="21"/>
          <w:vertAlign w:val="subscript"/>
        </w:rPr>
        <w:t>1</w:t>
      </w:r>
      <w:r w:rsidRPr="00CA7C54">
        <w:rPr>
          <w:color w:val="000000" w:themeColor="text1"/>
          <w:sz w:val="21"/>
          <w:szCs w:val="21"/>
        </w:rPr>
        <w:t xml:space="preserve"> за формулою Г.8 враховуються лише ті кути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 xml:space="preserve">, навпроти яких </w:t>
      </w:r>
      <w:r w:rsidRPr="00CA7C54">
        <w:rPr>
          <w:color w:val="000000" w:themeColor="text1"/>
          <w:spacing w:val="6"/>
          <w:sz w:val="21"/>
          <w:szCs w:val="21"/>
        </w:rPr>
        <w:t xml:space="preserve">огороджувальні конструкції ПРУ чи СПП: мають сумарну вагу 1 м² (навпроти </w:t>
      </w:r>
      <w:r w:rsidRPr="00CA7C54">
        <w:rPr>
          <w:i/>
          <w:color w:val="000000" w:themeColor="text1"/>
          <w:spacing w:val="6"/>
          <w:sz w:val="21"/>
          <w:szCs w:val="21"/>
        </w:rPr>
        <w:t>і</w:t>
      </w:r>
      <w:r w:rsidRPr="00CA7C54">
        <w:rPr>
          <w:color w:val="000000" w:themeColor="text1"/>
          <w:spacing w:val="6"/>
          <w:sz w:val="21"/>
          <w:szCs w:val="21"/>
        </w:rPr>
        <w:t>-го кута) менше 10000</w:t>
      </w:r>
      <w:r w:rsidRPr="00CA7C54">
        <w:rPr>
          <w:color w:val="000000" w:themeColor="text1"/>
          <w:sz w:val="21"/>
          <w:szCs w:val="21"/>
        </w:rPr>
        <w:t xml:space="preserve"> Н (1000 кг).</w:t>
      </w:r>
    </w:p>
    <w:p w14:paraId="5C87D376"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У випадку, коли вага 1 м</w:t>
      </w:r>
      <w:r w:rsidR="001D4D50" w:rsidRPr="00CA7C54">
        <w:rPr>
          <w:color w:val="000000" w:themeColor="text1"/>
          <w:sz w:val="21"/>
          <w:szCs w:val="21"/>
          <w:vertAlign w:val="superscript"/>
        </w:rPr>
        <w:t>2</w:t>
      </w:r>
      <w:r w:rsidRPr="00CA7C54">
        <w:rPr>
          <w:color w:val="000000" w:themeColor="text1"/>
          <w:sz w:val="21"/>
          <w:szCs w:val="21"/>
        </w:rPr>
        <w:t xml:space="preserve">огороджувальних конструкцій, розташованих в межах усіх кутів </w:t>
      </w:r>
      <w:r w:rsidRPr="00CA7C54">
        <w:rPr>
          <w:i/>
          <w:color w:val="000000" w:themeColor="text1"/>
          <w:sz w:val="21"/>
          <w:szCs w:val="21"/>
        </w:rPr>
        <w:t>α</w:t>
      </w:r>
      <w:r w:rsidRPr="00CA7C54">
        <w:rPr>
          <w:i/>
          <w:color w:val="000000" w:themeColor="text1"/>
          <w:sz w:val="21"/>
          <w:szCs w:val="21"/>
          <w:vertAlign w:val="subscript"/>
        </w:rPr>
        <w:t>і</w:t>
      </w:r>
      <w:r w:rsidRPr="00CA7C54">
        <w:rPr>
          <w:color w:val="000000" w:themeColor="text1"/>
          <w:sz w:val="21"/>
          <w:szCs w:val="21"/>
        </w:rPr>
        <w:t xml:space="preserve">, буде рівна 10000 Н (1000 кг) і більше, коефіцієнт становить </w:t>
      </w:r>
      <w:r w:rsidRPr="00CA7C54">
        <w:rPr>
          <w:i/>
          <w:color w:val="000000" w:themeColor="text1"/>
          <w:sz w:val="21"/>
          <w:szCs w:val="21"/>
        </w:rPr>
        <w:t>К</w:t>
      </w:r>
      <w:r w:rsidRPr="00CA7C54">
        <w:rPr>
          <w:i/>
          <w:color w:val="000000" w:themeColor="text1"/>
          <w:sz w:val="21"/>
          <w:szCs w:val="21"/>
          <w:vertAlign w:val="subscript"/>
        </w:rPr>
        <w:t xml:space="preserve"> 1</w:t>
      </w:r>
      <w:r w:rsidRPr="00CA7C54">
        <w:rPr>
          <w:color w:val="000000" w:themeColor="text1"/>
          <w:sz w:val="21"/>
          <w:szCs w:val="21"/>
        </w:rPr>
        <w:t>= 10.</w:t>
      </w:r>
    </w:p>
    <w:p w14:paraId="61C83FE4"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b/>
          <w:color w:val="000000" w:themeColor="text1"/>
          <w:sz w:val="21"/>
          <w:szCs w:val="21"/>
        </w:rPr>
        <w:t xml:space="preserve">Г.2.6 </w:t>
      </w:r>
      <w:r w:rsidRPr="00CA7C54">
        <w:rPr>
          <w:color w:val="000000" w:themeColor="text1"/>
          <w:sz w:val="21"/>
          <w:szCs w:val="21"/>
        </w:rPr>
        <w:t xml:space="preserve">Коефіцієнт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визначається згідно таблиці Г.5, виходячи з ваги 1м² стіни (огороджувальної конструкції), Н (кг).</w:t>
      </w:r>
    </w:p>
    <w:p w14:paraId="5A47E87D"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Вага 1 м</w:t>
      </w:r>
      <w:r w:rsidR="005A4604" w:rsidRPr="00CA7C54">
        <w:rPr>
          <w:color w:val="000000" w:themeColor="text1"/>
          <w:sz w:val="21"/>
          <w:szCs w:val="21"/>
          <w:vertAlign w:val="superscript"/>
        </w:rPr>
        <w:t>2</w:t>
      </w:r>
      <w:r w:rsidRPr="00CA7C54">
        <w:rPr>
          <w:color w:val="000000" w:themeColor="text1"/>
          <w:sz w:val="21"/>
          <w:szCs w:val="21"/>
        </w:rPr>
        <w:t xml:space="preserve"> стіни, для визначення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розраховується виходячи з ваги огороджувальних конструкцій, що передбачаються навпроти кожного </w:t>
      </w:r>
      <w:r w:rsidRPr="00CA7C54">
        <w:rPr>
          <w:i/>
          <w:color w:val="000000" w:themeColor="text1"/>
          <w:sz w:val="21"/>
          <w:szCs w:val="21"/>
        </w:rPr>
        <w:t>і</w:t>
      </w:r>
      <w:r w:rsidRPr="00CA7C54">
        <w:rPr>
          <w:color w:val="000000" w:themeColor="text1"/>
          <w:sz w:val="21"/>
          <w:szCs w:val="21"/>
        </w:rPr>
        <w:t xml:space="preserve">-того кута </w:t>
      </w:r>
      <w:r w:rsidRPr="00CA7C54">
        <w:rPr>
          <w:i/>
          <w:color w:val="000000" w:themeColor="text1"/>
          <w:sz w:val="21"/>
          <w:szCs w:val="21"/>
        </w:rPr>
        <w:t>α</w:t>
      </w:r>
      <w:r w:rsidRPr="00CA7C54">
        <w:rPr>
          <w:i/>
          <w:color w:val="000000" w:themeColor="text1"/>
          <w:sz w:val="21"/>
          <w:szCs w:val="21"/>
          <w:vertAlign w:val="subscript"/>
        </w:rPr>
        <w:t>і</w:t>
      </w:r>
      <w:r w:rsidRPr="00CA7C54">
        <w:rPr>
          <w:color w:val="000000" w:themeColor="text1"/>
          <w:sz w:val="21"/>
          <w:szCs w:val="21"/>
        </w:rPr>
        <w:t>.</w:t>
      </w:r>
    </w:p>
    <w:p w14:paraId="13AEFB60"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Якщо вага 1 м</w:t>
      </w:r>
      <w:r w:rsidR="005A4604" w:rsidRPr="00CA7C54">
        <w:rPr>
          <w:color w:val="000000" w:themeColor="text1"/>
          <w:sz w:val="21"/>
          <w:szCs w:val="21"/>
          <w:vertAlign w:val="superscript"/>
        </w:rPr>
        <w:t>2</w:t>
      </w:r>
      <w:r w:rsidRPr="00CA7C54">
        <w:rPr>
          <w:color w:val="000000" w:themeColor="text1"/>
          <w:sz w:val="21"/>
          <w:szCs w:val="21"/>
        </w:rPr>
        <w:t xml:space="preserve"> будь-якої стіни перевищує значення 11000 Н (1100 кг), в розрахунках за формулами Г.11 та Г.12, вага </w:t>
      </w:r>
      <w:r w:rsidRPr="00CA7C54">
        <w:rPr>
          <w:i/>
          <w:color w:val="000000" w:themeColor="text1"/>
          <w:sz w:val="21"/>
          <w:szCs w:val="21"/>
        </w:rPr>
        <w:t>і</w:t>
      </w:r>
      <w:r w:rsidRPr="00CA7C54">
        <w:rPr>
          <w:color w:val="000000" w:themeColor="text1"/>
          <w:sz w:val="21"/>
          <w:szCs w:val="21"/>
        </w:rPr>
        <w:t>-тої стіни приймається рівною 11000 Н (1100 кг).</w:t>
      </w:r>
    </w:p>
    <w:p w14:paraId="3AEE3DEF" w14:textId="77777777" w:rsidR="003C4E04" w:rsidRPr="00CA7C54" w:rsidRDefault="001E748C" w:rsidP="003B320F">
      <w:pPr>
        <w:pBdr>
          <w:top w:val="nil"/>
          <w:left w:val="nil"/>
          <w:bottom w:val="nil"/>
          <w:right w:val="nil"/>
          <w:between w:val="nil"/>
        </w:pBdr>
        <w:spacing w:before="0" w:line="288" w:lineRule="auto"/>
        <w:ind w:right="29" w:firstLine="638"/>
        <w:contextualSpacing/>
        <w:rPr>
          <w:color w:val="000000" w:themeColor="text1"/>
          <w:sz w:val="21"/>
          <w:szCs w:val="21"/>
        </w:rPr>
      </w:pPr>
      <w:r w:rsidRPr="00CA7C54">
        <w:rPr>
          <w:color w:val="000000" w:themeColor="text1"/>
          <w:sz w:val="21"/>
          <w:szCs w:val="21"/>
        </w:rPr>
        <w:t>Якщо сумарна вага стін у кожному куті α</w:t>
      </w:r>
      <w:r w:rsidRPr="00CA7C54">
        <w:rPr>
          <w:color w:val="000000" w:themeColor="text1"/>
          <w:sz w:val="21"/>
          <w:szCs w:val="21"/>
          <w:vertAlign w:val="subscript"/>
        </w:rPr>
        <w:t xml:space="preserve"> і</w:t>
      </w:r>
      <w:r w:rsidRPr="00CA7C54">
        <w:rPr>
          <w:color w:val="000000" w:themeColor="text1"/>
          <w:sz w:val="21"/>
          <w:szCs w:val="21"/>
        </w:rPr>
        <w:t xml:space="preserve"> різниться одна від одної менше ніж на 2000 Н/м</w:t>
      </w:r>
      <w:r w:rsidR="00D966DC" w:rsidRPr="00CA7C54">
        <w:rPr>
          <w:color w:val="000000" w:themeColor="text1"/>
          <w:sz w:val="21"/>
          <w:szCs w:val="21"/>
          <w:vertAlign w:val="superscript"/>
        </w:rPr>
        <w:t>2</w:t>
      </w:r>
      <w:r w:rsidRPr="00CA7C54">
        <w:rPr>
          <w:color w:val="000000" w:themeColor="text1"/>
          <w:sz w:val="21"/>
          <w:szCs w:val="21"/>
        </w:rPr>
        <w:t>. (200 кгс/м</w:t>
      </w:r>
      <w:r w:rsidR="00D966DC" w:rsidRPr="00CA7C54">
        <w:rPr>
          <w:color w:val="000000" w:themeColor="text1"/>
          <w:sz w:val="21"/>
          <w:szCs w:val="21"/>
          <w:vertAlign w:val="superscript"/>
        </w:rPr>
        <w:t>2</w:t>
      </w:r>
      <w:r w:rsidRPr="00CA7C54">
        <w:rPr>
          <w:color w:val="000000" w:themeColor="text1"/>
          <w:sz w:val="21"/>
          <w:szCs w:val="21"/>
        </w:rPr>
        <w:t xml:space="preserve">), величина кратності послаблення випромінення стінами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визначається відповідно до середньої ваги стін </w:t>
      </w:r>
      <w:r w:rsidRPr="00CA7C54">
        <w:rPr>
          <w:i/>
          <w:color w:val="000000" w:themeColor="text1"/>
          <w:sz w:val="21"/>
          <w:szCs w:val="21"/>
        </w:rPr>
        <w:t>G</w:t>
      </w:r>
      <w:r w:rsidRPr="00CA7C54">
        <w:rPr>
          <w:i/>
          <w:color w:val="000000" w:themeColor="text1"/>
          <w:sz w:val="21"/>
          <w:szCs w:val="21"/>
          <w:vertAlign w:val="subscript"/>
        </w:rPr>
        <w:t>сер</w:t>
      </w:r>
      <w:r w:rsidRPr="00CA7C54">
        <w:rPr>
          <w:color w:val="000000" w:themeColor="text1"/>
          <w:sz w:val="21"/>
          <w:szCs w:val="21"/>
        </w:rPr>
        <w:t>, яка розраховується за формулою:</w:t>
      </w:r>
    </w:p>
    <w:p w14:paraId="60CACC2B" w14:textId="77777777" w:rsidR="003C4E04" w:rsidRPr="00CA7C54" w:rsidRDefault="001E748C" w:rsidP="003B320F">
      <w:pPr>
        <w:pBdr>
          <w:top w:val="nil"/>
          <w:left w:val="nil"/>
          <w:bottom w:val="nil"/>
          <w:right w:val="nil"/>
          <w:between w:val="nil"/>
        </w:pBdr>
        <w:spacing w:before="0" w:line="288" w:lineRule="auto"/>
        <w:ind w:right="142" w:firstLine="3544"/>
        <w:contextualSpacing/>
        <w:jc w:val="left"/>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сер</w:t>
      </w:r>
      <w:r w:rsidRPr="00CA7C54">
        <w:rPr>
          <w:i/>
          <w:color w:val="000000" w:themeColor="text1"/>
          <w:sz w:val="21"/>
          <w:szCs w:val="21"/>
        </w:rPr>
        <w:t xml:space="preserve"> = Σ (α</w:t>
      </w:r>
      <w:r w:rsidRPr="00CA7C54">
        <w:rPr>
          <w:i/>
          <w:color w:val="000000" w:themeColor="text1"/>
          <w:sz w:val="21"/>
          <w:szCs w:val="21"/>
          <w:vertAlign w:val="subscript"/>
        </w:rPr>
        <w:t xml:space="preserve"> і</w:t>
      </w:r>
      <w:r w:rsidRPr="00CA7C54">
        <w:rPr>
          <w:i/>
          <w:color w:val="000000" w:themeColor="text1"/>
          <w:sz w:val="21"/>
          <w:szCs w:val="21"/>
        </w:rPr>
        <w:t xml:space="preserve"> × G</w:t>
      </w:r>
      <w:r w:rsidRPr="00CA7C54">
        <w:rPr>
          <w:i/>
          <w:color w:val="000000" w:themeColor="text1"/>
          <w:sz w:val="21"/>
          <w:szCs w:val="21"/>
          <w:vertAlign w:val="subscript"/>
        </w:rPr>
        <w:t>і</w:t>
      </w:r>
      <w:r w:rsidRPr="00CA7C54">
        <w:rPr>
          <w:i/>
          <w:color w:val="000000" w:themeColor="text1"/>
          <w:sz w:val="21"/>
          <w:szCs w:val="21"/>
        </w:rPr>
        <w:t xml:space="preserve"> ) / Σ α </w:t>
      </w:r>
      <w:r w:rsidRPr="00CA7C54">
        <w:rPr>
          <w:i/>
          <w:color w:val="000000" w:themeColor="text1"/>
          <w:sz w:val="21"/>
          <w:szCs w:val="21"/>
          <w:vertAlign w:val="subscript"/>
        </w:rPr>
        <w:t>і</w:t>
      </w:r>
      <w:r w:rsidRPr="00CA7C54">
        <w:rPr>
          <w:color w:val="000000" w:themeColor="text1"/>
          <w:sz w:val="21"/>
          <w:szCs w:val="21"/>
        </w:rPr>
        <w:t xml:space="preserve">                                                     (Г.11)</w:t>
      </w:r>
    </w:p>
    <w:p w14:paraId="5F077F5C" w14:textId="77777777" w:rsidR="003C4E04" w:rsidRPr="00CA7C54" w:rsidRDefault="001E748C" w:rsidP="003B320F">
      <w:pPr>
        <w:widowControl w:val="0"/>
        <w:pBdr>
          <w:top w:val="nil"/>
          <w:left w:val="nil"/>
          <w:bottom w:val="nil"/>
          <w:right w:val="nil"/>
          <w:between w:val="nil"/>
        </w:pBdr>
        <w:spacing w:before="0" w:line="288" w:lineRule="auto"/>
        <w:ind w:left="1064" w:hanging="425"/>
        <w:contextualSpacing/>
        <w:rPr>
          <w:color w:val="000000" w:themeColor="text1"/>
          <w:sz w:val="21"/>
          <w:szCs w:val="21"/>
        </w:rPr>
      </w:pPr>
      <w:r w:rsidRPr="00CA7C54">
        <w:rPr>
          <w:color w:val="000000" w:themeColor="text1"/>
          <w:sz w:val="21"/>
          <w:szCs w:val="21"/>
        </w:rPr>
        <w:t xml:space="preserve">де </w:t>
      </w:r>
    </w:p>
    <w:p w14:paraId="3DADE249" w14:textId="77777777" w:rsidR="003C4E04" w:rsidRPr="00CA7C54" w:rsidRDefault="001E748C" w:rsidP="003B320F">
      <w:pPr>
        <w:widowControl w:val="0"/>
        <w:pBdr>
          <w:top w:val="nil"/>
          <w:left w:val="nil"/>
          <w:bottom w:val="nil"/>
          <w:right w:val="nil"/>
          <w:between w:val="nil"/>
        </w:pBdr>
        <w:spacing w:before="0" w:line="288" w:lineRule="auto"/>
        <w:ind w:firstLine="639"/>
        <w:contextualSpacing/>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і</w:t>
      </w:r>
      <w:r w:rsidRPr="00CA7C54">
        <w:rPr>
          <w:color w:val="000000" w:themeColor="text1"/>
          <w:sz w:val="21"/>
          <w:szCs w:val="21"/>
        </w:rPr>
        <w:t xml:space="preserve"> - вага огороджувальної конструкції (стіни), що визначається за формулою Г.9 та Г.10, кг/м</w:t>
      </w:r>
      <w:r w:rsidR="00D966DC" w:rsidRPr="00CA7C54">
        <w:rPr>
          <w:color w:val="000000" w:themeColor="text1"/>
          <w:sz w:val="21"/>
          <w:szCs w:val="21"/>
          <w:vertAlign w:val="superscript"/>
        </w:rPr>
        <w:t>2</w:t>
      </w:r>
      <w:r w:rsidRPr="00CA7C54">
        <w:rPr>
          <w:color w:val="000000" w:themeColor="text1"/>
          <w:sz w:val="21"/>
          <w:szCs w:val="21"/>
        </w:rPr>
        <w:t>;</w:t>
      </w:r>
    </w:p>
    <w:p w14:paraId="52CED9A5"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У разі, якщо вага огороджувальних конструкцій (стін) у кожному куті різниться одна від одної більше, ніж на 2000  Н/м</w:t>
      </w:r>
      <w:r w:rsidRPr="00CA7C54">
        <w:rPr>
          <w:color w:val="000000" w:themeColor="text1"/>
          <w:sz w:val="21"/>
          <w:szCs w:val="21"/>
          <w:vertAlign w:val="superscript"/>
        </w:rPr>
        <w:t>2</w:t>
      </w:r>
      <w:r w:rsidRPr="00CA7C54">
        <w:rPr>
          <w:color w:val="000000" w:themeColor="text1"/>
          <w:sz w:val="21"/>
          <w:szCs w:val="21"/>
        </w:rPr>
        <w:t xml:space="preserve"> (200 кг/м</w:t>
      </w:r>
      <w:r w:rsidR="00D966DC" w:rsidRPr="00CA7C54">
        <w:rPr>
          <w:color w:val="000000" w:themeColor="text1"/>
          <w:sz w:val="21"/>
          <w:szCs w:val="21"/>
          <w:vertAlign w:val="superscript"/>
        </w:rPr>
        <w:t>2</w:t>
      </w:r>
      <w:r w:rsidRPr="00CA7C54">
        <w:rPr>
          <w:color w:val="000000" w:themeColor="text1"/>
          <w:sz w:val="21"/>
          <w:szCs w:val="21"/>
        </w:rPr>
        <w:t xml:space="preserve">),  величина  кратності  послаблення  випромінення  стінами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визначається  за формулою: </w:t>
      </w:r>
    </w:p>
    <w:p w14:paraId="64806196" w14:textId="77777777" w:rsidR="003C4E04" w:rsidRPr="00CA7C54" w:rsidRDefault="001E748C" w:rsidP="003B320F">
      <w:pPr>
        <w:pBdr>
          <w:top w:val="nil"/>
          <w:left w:val="nil"/>
          <w:bottom w:val="nil"/>
          <w:right w:val="nil"/>
          <w:between w:val="nil"/>
        </w:pBdr>
        <w:spacing w:before="0" w:line="288" w:lineRule="auto"/>
        <w:ind w:right="141" w:firstLine="3686"/>
        <w:contextualSpacing/>
        <w:jc w:val="left"/>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 xml:space="preserve"> ст</w:t>
      </w:r>
      <w:r w:rsidRPr="00CA7C54">
        <w:rPr>
          <w:i/>
          <w:color w:val="000000" w:themeColor="text1"/>
          <w:sz w:val="21"/>
          <w:szCs w:val="21"/>
        </w:rPr>
        <w:t xml:space="preserve">  = Σ (α</w:t>
      </w:r>
      <w:r w:rsidRPr="00CA7C54">
        <w:rPr>
          <w:i/>
          <w:color w:val="000000" w:themeColor="text1"/>
          <w:sz w:val="21"/>
          <w:szCs w:val="21"/>
          <w:vertAlign w:val="subscript"/>
        </w:rPr>
        <w:t xml:space="preserve"> і</w:t>
      </w:r>
      <w:r w:rsidRPr="00CA7C54">
        <w:rPr>
          <w:i/>
          <w:color w:val="000000" w:themeColor="text1"/>
          <w:sz w:val="21"/>
          <w:szCs w:val="21"/>
        </w:rPr>
        <w:t xml:space="preserve"> × K</w:t>
      </w:r>
      <w:r w:rsidRPr="00CA7C54">
        <w:rPr>
          <w:i/>
          <w:color w:val="000000" w:themeColor="text1"/>
          <w:sz w:val="21"/>
          <w:szCs w:val="21"/>
          <w:vertAlign w:val="subscript"/>
        </w:rPr>
        <w:t>ст, і</w:t>
      </w:r>
      <w:r w:rsidRPr="00CA7C54">
        <w:rPr>
          <w:i/>
          <w:color w:val="000000" w:themeColor="text1"/>
          <w:sz w:val="21"/>
          <w:szCs w:val="21"/>
        </w:rPr>
        <w:t>)  / Σ α</w:t>
      </w:r>
      <w:r w:rsidRPr="00CA7C54">
        <w:rPr>
          <w:i/>
          <w:color w:val="000000" w:themeColor="text1"/>
          <w:sz w:val="21"/>
          <w:szCs w:val="21"/>
          <w:vertAlign w:val="subscript"/>
        </w:rPr>
        <w:t xml:space="preserve"> і</w:t>
      </w:r>
      <w:r w:rsidRPr="00CA7C54">
        <w:rPr>
          <w:color w:val="000000" w:themeColor="text1"/>
          <w:sz w:val="21"/>
          <w:szCs w:val="21"/>
        </w:rPr>
        <w:t xml:space="preserve"> ,                                              (Г.12)</w:t>
      </w:r>
    </w:p>
    <w:p w14:paraId="2C2C9EBF"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 xml:space="preserve">де  </w:t>
      </w:r>
    </w:p>
    <w:p w14:paraId="46D2C467"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i/>
          <w:color w:val="000000" w:themeColor="text1"/>
          <w:sz w:val="21"/>
          <w:szCs w:val="21"/>
        </w:rPr>
        <w:t>K</w:t>
      </w:r>
      <w:r w:rsidRPr="00CA7C54">
        <w:rPr>
          <w:i/>
          <w:color w:val="000000" w:themeColor="text1"/>
          <w:sz w:val="21"/>
          <w:szCs w:val="21"/>
          <w:vertAlign w:val="subscript"/>
        </w:rPr>
        <w:t>ст, і</w:t>
      </w:r>
      <w:r w:rsidRPr="00CA7C54">
        <w:rPr>
          <w:color w:val="000000" w:themeColor="text1"/>
          <w:sz w:val="21"/>
          <w:szCs w:val="21"/>
        </w:rPr>
        <w:t xml:space="preserve"> – коефіцієнт, що приймається згідно таблиц</w:t>
      </w:r>
      <w:r w:rsidR="005030EB" w:rsidRPr="00CA7C54">
        <w:rPr>
          <w:color w:val="000000" w:themeColor="text1"/>
          <w:sz w:val="21"/>
          <w:szCs w:val="21"/>
        </w:rPr>
        <w:t>і</w:t>
      </w:r>
      <w:r w:rsidRPr="00CA7C54">
        <w:rPr>
          <w:color w:val="000000" w:themeColor="text1"/>
          <w:sz w:val="21"/>
          <w:szCs w:val="21"/>
        </w:rPr>
        <w:t xml:space="preserve"> Г.5 як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окремо для кожної </w:t>
      </w:r>
      <w:r w:rsidRPr="00CA7C54">
        <w:rPr>
          <w:i/>
          <w:color w:val="000000" w:themeColor="text1"/>
          <w:sz w:val="21"/>
          <w:szCs w:val="21"/>
        </w:rPr>
        <w:t>і</w:t>
      </w:r>
      <w:r w:rsidRPr="00CA7C54">
        <w:rPr>
          <w:color w:val="000000" w:themeColor="text1"/>
          <w:sz w:val="21"/>
          <w:szCs w:val="21"/>
        </w:rPr>
        <w:t>-тої стіни.</w:t>
      </w:r>
    </w:p>
    <w:p w14:paraId="1EC5740B"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Для цокольних та підвальних поверхів (необвалованих), вага 1 м</w:t>
      </w:r>
      <w:r w:rsidR="005A4604" w:rsidRPr="00CA7C54">
        <w:rPr>
          <w:color w:val="000000" w:themeColor="text1"/>
          <w:sz w:val="21"/>
          <w:szCs w:val="21"/>
          <w:vertAlign w:val="superscript"/>
        </w:rPr>
        <w:t>2</w:t>
      </w:r>
      <w:r w:rsidRPr="00CA7C54">
        <w:rPr>
          <w:color w:val="000000" w:themeColor="text1"/>
          <w:sz w:val="21"/>
          <w:szCs w:val="21"/>
        </w:rPr>
        <w:t xml:space="preserve"> стіни, при визначенні коефіцієнта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розраховується виходячи з габаритів та характеристик її конструктиву, що виступає над поверхнею землі.</w:t>
      </w:r>
    </w:p>
    <w:p w14:paraId="18018E8F"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Для вбудованих ПРУ чи СПП, які розташовані на відмітках підземних поверхів, під час визначення коефіцієнта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по відношенню до стін, які суміжні з ґрунтом  навколишньої території (в тому числі з отворами), вагу 1 м</w:t>
      </w:r>
      <w:r w:rsidR="00D966DC" w:rsidRPr="00CA7C54">
        <w:rPr>
          <w:color w:val="000000" w:themeColor="text1"/>
          <w:sz w:val="21"/>
          <w:szCs w:val="21"/>
          <w:vertAlign w:val="superscript"/>
        </w:rPr>
        <w:t>2</w:t>
      </w:r>
      <w:r w:rsidRPr="00CA7C54">
        <w:rPr>
          <w:color w:val="000000" w:themeColor="text1"/>
          <w:sz w:val="21"/>
          <w:szCs w:val="21"/>
        </w:rPr>
        <w:t xml:space="preserve"> стіни у сумі з вагою ґрунту,  необхідно приймати не більше </w:t>
      </w:r>
      <w:r w:rsidR="005030EB" w:rsidRPr="00CA7C54">
        <w:rPr>
          <w:color w:val="000000" w:themeColor="text1"/>
          <w:sz w:val="21"/>
          <w:szCs w:val="21"/>
        </w:rPr>
        <w:t xml:space="preserve">ніж </w:t>
      </w:r>
      <w:r w:rsidRPr="00CA7C54">
        <w:rPr>
          <w:color w:val="000000" w:themeColor="text1"/>
          <w:sz w:val="21"/>
          <w:szCs w:val="21"/>
        </w:rPr>
        <w:t xml:space="preserve">11000 Н (1100 кг). </w:t>
      </w:r>
    </w:p>
    <w:p w14:paraId="0EC6BF25"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b/>
          <w:color w:val="000000" w:themeColor="text1"/>
          <w:sz w:val="21"/>
          <w:szCs w:val="21"/>
        </w:rPr>
        <w:t>Г.2.7.</w:t>
      </w:r>
      <w:r w:rsidRPr="00CA7C54">
        <w:rPr>
          <w:color w:val="000000" w:themeColor="text1"/>
          <w:sz w:val="21"/>
          <w:szCs w:val="21"/>
        </w:rPr>
        <w:t xml:space="preserve"> Значення коефіцієнтів </w:t>
      </w:r>
      <w:r w:rsidRPr="00CA7C54">
        <w:rPr>
          <w:i/>
          <w:color w:val="000000" w:themeColor="text1"/>
          <w:sz w:val="21"/>
          <w:szCs w:val="21"/>
        </w:rPr>
        <w:t>К</w:t>
      </w:r>
      <w:r w:rsidRPr="00CA7C54">
        <w:rPr>
          <w:i/>
          <w:color w:val="000000" w:themeColor="text1"/>
          <w:sz w:val="21"/>
          <w:szCs w:val="21"/>
          <w:vertAlign w:val="subscript"/>
        </w:rPr>
        <w:t>пер</w:t>
      </w:r>
      <w:r w:rsidRPr="00CA7C54">
        <w:rPr>
          <w:color w:val="000000" w:themeColor="text1"/>
          <w:sz w:val="21"/>
          <w:szCs w:val="21"/>
        </w:rPr>
        <w:t xml:space="preserve"> та </w:t>
      </w:r>
      <w:r w:rsidRPr="00CA7C54">
        <w:rPr>
          <w:i/>
          <w:color w:val="000000" w:themeColor="text1"/>
          <w:sz w:val="21"/>
          <w:szCs w:val="21"/>
        </w:rPr>
        <w:t>К</w:t>
      </w:r>
      <w:r w:rsidRPr="00CA7C54">
        <w:rPr>
          <w:i/>
          <w:color w:val="000000" w:themeColor="text1"/>
          <w:sz w:val="21"/>
          <w:szCs w:val="21"/>
          <w:vertAlign w:val="subscript"/>
        </w:rPr>
        <w:t>п</w:t>
      </w:r>
      <w:r w:rsidRPr="00CA7C54">
        <w:rPr>
          <w:color w:val="000000" w:themeColor="text1"/>
          <w:sz w:val="21"/>
          <w:szCs w:val="21"/>
        </w:rPr>
        <w:t>, що визначаються виходячи з ваги 1 м</w:t>
      </w:r>
      <w:r w:rsidR="00D966DC" w:rsidRPr="00CA7C54">
        <w:rPr>
          <w:color w:val="000000" w:themeColor="text1"/>
          <w:sz w:val="21"/>
          <w:szCs w:val="21"/>
          <w:vertAlign w:val="superscript"/>
        </w:rPr>
        <w:t>2</w:t>
      </w:r>
      <w:r w:rsidRPr="00CA7C54">
        <w:rPr>
          <w:color w:val="000000" w:themeColor="text1"/>
          <w:sz w:val="21"/>
          <w:szCs w:val="21"/>
        </w:rPr>
        <w:t xml:space="preserve"> покриття ПРУ чи СПП, яка формується зі щільності </w:t>
      </w:r>
      <w:r w:rsidRPr="00CA7C54">
        <w:rPr>
          <w:i/>
          <w:color w:val="000000" w:themeColor="text1"/>
          <w:sz w:val="21"/>
          <w:szCs w:val="21"/>
        </w:rPr>
        <w:t>і</w:t>
      </w:r>
      <w:r w:rsidRPr="00CA7C54">
        <w:rPr>
          <w:color w:val="000000" w:themeColor="text1"/>
          <w:sz w:val="21"/>
          <w:szCs w:val="21"/>
        </w:rPr>
        <w:t xml:space="preserve">-го матеріалу та товщини </w:t>
      </w:r>
      <w:r w:rsidRPr="00CA7C54">
        <w:rPr>
          <w:i/>
          <w:color w:val="000000" w:themeColor="text1"/>
          <w:sz w:val="21"/>
          <w:szCs w:val="21"/>
        </w:rPr>
        <w:t>і</w:t>
      </w:r>
      <w:r w:rsidRPr="00CA7C54">
        <w:rPr>
          <w:color w:val="000000" w:themeColor="text1"/>
          <w:sz w:val="21"/>
          <w:szCs w:val="21"/>
        </w:rPr>
        <w:t xml:space="preserve">-тої конструкції покриття (в тому числі багатошарової). Коефіцієнти визначаються згідно таблицею Г.5, при цьому, </w:t>
      </w:r>
      <w:r w:rsidRPr="00CA7C54">
        <w:rPr>
          <w:color w:val="000000" w:themeColor="text1"/>
          <w:sz w:val="21"/>
          <w:szCs w:val="21"/>
        </w:rPr>
        <w:lastRenderedPageBreak/>
        <w:t>розуміється, що незахищені отвори в покритті, яке в тому числі може виконувати роль перекриттям, взагалі відсутні.</w:t>
      </w:r>
    </w:p>
    <w:p w14:paraId="799FB4F2"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b/>
          <w:color w:val="000000" w:themeColor="text1"/>
          <w:sz w:val="21"/>
          <w:szCs w:val="21"/>
        </w:rPr>
        <w:t>Г.2.8</w:t>
      </w:r>
      <w:r w:rsidRPr="00CA7C54">
        <w:rPr>
          <w:color w:val="000000" w:themeColor="text1"/>
          <w:sz w:val="21"/>
          <w:szCs w:val="21"/>
        </w:rPr>
        <w:t xml:space="preserve"> Коефіцієнт </w:t>
      </w:r>
      <w:r w:rsidRPr="00CA7C54">
        <w:rPr>
          <w:i/>
          <w:color w:val="000000" w:themeColor="text1"/>
          <w:sz w:val="21"/>
          <w:szCs w:val="21"/>
        </w:rPr>
        <w:t>К</w:t>
      </w:r>
      <w:r w:rsidRPr="00CA7C54">
        <w:rPr>
          <w:i/>
          <w:color w:val="000000" w:themeColor="text1"/>
          <w:sz w:val="21"/>
          <w:szCs w:val="21"/>
          <w:vertAlign w:val="subscript"/>
        </w:rPr>
        <w:t>о</w:t>
      </w:r>
      <w:r w:rsidRPr="00CA7C54">
        <w:rPr>
          <w:color w:val="000000" w:themeColor="text1"/>
          <w:sz w:val="21"/>
          <w:szCs w:val="21"/>
        </w:rPr>
        <w:t xml:space="preserve">, який враховує безпосереднє проникнення в ПРУ чи СПП випромінювання  крізь отвори, слід приймати при розташуванні  низу згаданих отворів-прорізів  (дверного, віконного, тощо) у зовнiшнiх стiнах на висотi вiд підлоги ПРУ чи СПП:  </w:t>
      </w:r>
    </w:p>
    <w:p w14:paraId="7EEDA531" w14:textId="77777777" w:rsidR="003C4E04" w:rsidRPr="00CA7C54" w:rsidRDefault="00DC31F3" w:rsidP="003B320F">
      <w:pPr>
        <w:pBdr>
          <w:top w:val="nil"/>
          <w:left w:val="nil"/>
          <w:bottom w:val="nil"/>
          <w:right w:val="nil"/>
          <w:between w:val="nil"/>
        </w:pBdr>
        <w:spacing w:before="0" w:line="288" w:lineRule="auto"/>
        <w:ind w:right="141"/>
        <w:contextualSpacing/>
        <w:jc w:val="left"/>
        <w:rPr>
          <w:color w:val="000000" w:themeColor="text1"/>
          <w:sz w:val="21"/>
          <w:szCs w:val="21"/>
        </w:rPr>
      </w:pPr>
      <w:sdt>
        <w:sdtPr>
          <w:rPr>
            <w:color w:val="000000" w:themeColor="text1"/>
            <w:sz w:val="21"/>
            <w:szCs w:val="21"/>
          </w:rPr>
          <w:tag w:val="goog_rdk_121"/>
          <w:id w:val="-523163830"/>
        </w:sdtPr>
        <w:sdtEndPr/>
        <w:sdtContent>
          <w:r w:rsidR="001E748C" w:rsidRPr="00CA7C54">
            <w:rPr>
              <w:rFonts w:eastAsia="Arial Unicode MS"/>
              <w:color w:val="000000" w:themeColor="text1"/>
              <w:sz w:val="21"/>
              <w:szCs w:val="21"/>
            </w:rPr>
            <w:t xml:space="preserve"> ≤ 0,8 м, рiвним: </w:t>
          </w:r>
        </w:sdtContent>
      </w:sdt>
      <w:r w:rsidR="001E748C" w:rsidRPr="00CA7C54">
        <w:rPr>
          <w:i/>
          <w:color w:val="000000" w:themeColor="text1"/>
          <w:sz w:val="21"/>
          <w:szCs w:val="21"/>
        </w:rPr>
        <w:t>К</w:t>
      </w:r>
      <w:r w:rsidR="001E748C" w:rsidRPr="00CA7C54">
        <w:rPr>
          <w:i/>
          <w:color w:val="000000" w:themeColor="text1"/>
          <w:sz w:val="21"/>
          <w:szCs w:val="21"/>
          <w:vertAlign w:val="subscript"/>
        </w:rPr>
        <w:t>о</w:t>
      </w:r>
      <w:r w:rsidR="001E748C" w:rsidRPr="00CA7C54">
        <w:rPr>
          <w:i/>
          <w:color w:val="000000" w:themeColor="text1"/>
          <w:sz w:val="21"/>
          <w:szCs w:val="21"/>
        </w:rPr>
        <w:t xml:space="preserve"> = 0,8×а</w:t>
      </w:r>
      <w:r w:rsidR="001E748C" w:rsidRPr="00CA7C54">
        <w:rPr>
          <w:color w:val="000000" w:themeColor="text1"/>
          <w:sz w:val="21"/>
          <w:szCs w:val="21"/>
        </w:rPr>
        <w:t>(Г.13)</w:t>
      </w:r>
    </w:p>
    <w:p w14:paraId="7DE73D9C" w14:textId="77777777" w:rsidR="003C4E04" w:rsidRPr="00CA7C54" w:rsidRDefault="001E748C" w:rsidP="003B320F">
      <w:pPr>
        <w:pBdr>
          <w:top w:val="nil"/>
          <w:left w:val="nil"/>
          <w:bottom w:val="nil"/>
          <w:right w:val="nil"/>
          <w:between w:val="nil"/>
        </w:pBdr>
        <w:spacing w:before="0" w:line="288" w:lineRule="auto"/>
        <w:ind w:right="141"/>
        <w:contextualSpacing/>
        <w:jc w:val="left"/>
        <w:rPr>
          <w:color w:val="000000" w:themeColor="text1"/>
          <w:sz w:val="21"/>
          <w:szCs w:val="21"/>
        </w:rPr>
      </w:pPr>
      <w:r w:rsidRPr="00CA7C54">
        <w:rPr>
          <w:color w:val="000000" w:themeColor="text1"/>
          <w:sz w:val="21"/>
          <w:szCs w:val="21"/>
        </w:rPr>
        <w:t>0,81-1,5 м, рівним:</w:t>
      </w:r>
      <w:r w:rsidRPr="00CA7C54">
        <w:rPr>
          <w:i/>
          <w:color w:val="000000" w:themeColor="text1"/>
          <w:sz w:val="21"/>
          <w:szCs w:val="21"/>
        </w:rPr>
        <w:t xml:space="preserve"> К</w:t>
      </w:r>
      <w:r w:rsidRPr="00CA7C54">
        <w:rPr>
          <w:i/>
          <w:color w:val="000000" w:themeColor="text1"/>
          <w:sz w:val="21"/>
          <w:szCs w:val="21"/>
          <w:vertAlign w:val="subscript"/>
        </w:rPr>
        <w:t>о</w:t>
      </w:r>
      <w:r w:rsidRPr="00CA7C54">
        <w:rPr>
          <w:i/>
          <w:color w:val="000000" w:themeColor="text1"/>
          <w:sz w:val="21"/>
          <w:szCs w:val="21"/>
        </w:rPr>
        <w:t xml:space="preserve"> = 0,15×a</w:t>
      </w:r>
      <w:r w:rsidRPr="00CA7C54">
        <w:rPr>
          <w:color w:val="000000" w:themeColor="text1"/>
          <w:sz w:val="21"/>
          <w:szCs w:val="21"/>
        </w:rPr>
        <w:t>(Г.14)</w:t>
      </w:r>
    </w:p>
    <w:p w14:paraId="2B3390C5" w14:textId="77777777" w:rsidR="003C4E04" w:rsidRPr="00CA7C54" w:rsidRDefault="00DC31F3" w:rsidP="003B320F">
      <w:pPr>
        <w:pBdr>
          <w:top w:val="nil"/>
          <w:left w:val="nil"/>
          <w:bottom w:val="nil"/>
          <w:right w:val="nil"/>
          <w:between w:val="nil"/>
        </w:pBdr>
        <w:spacing w:before="0" w:line="288" w:lineRule="auto"/>
        <w:ind w:right="141"/>
        <w:contextualSpacing/>
        <w:jc w:val="left"/>
        <w:rPr>
          <w:color w:val="000000" w:themeColor="text1"/>
          <w:sz w:val="21"/>
          <w:szCs w:val="21"/>
        </w:rPr>
      </w:pPr>
      <w:sdt>
        <w:sdtPr>
          <w:rPr>
            <w:color w:val="000000" w:themeColor="text1"/>
            <w:sz w:val="21"/>
            <w:szCs w:val="21"/>
          </w:rPr>
          <w:tag w:val="goog_rdk_122"/>
          <w:id w:val="-2136854408"/>
        </w:sdtPr>
        <w:sdtEndPr/>
        <w:sdtContent>
          <w:r w:rsidR="001E748C" w:rsidRPr="00CA7C54">
            <w:rPr>
              <w:rFonts w:eastAsia="Arial Unicode MS"/>
              <w:color w:val="000000" w:themeColor="text1"/>
              <w:sz w:val="21"/>
              <w:szCs w:val="21"/>
            </w:rPr>
            <w:t xml:space="preserve">≥ 2 м, рівним </w:t>
          </w:r>
        </w:sdtContent>
      </w:sdt>
      <w:r w:rsidR="001E748C" w:rsidRPr="00CA7C54">
        <w:rPr>
          <w:i/>
          <w:color w:val="000000" w:themeColor="text1"/>
          <w:sz w:val="21"/>
          <w:szCs w:val="21"/>
        </w:rPr>
        <w:t>К</w:t>
      </w:r>
      <w:r w:rsidR="001E748C" w:rsidRPr="00CA7C54">
        <w:rPr>
          <w:i/>
          <w:color w:val="000000" w:themeColor="text1"/>
          <w:sz w:val="21"/>
          <w:szCs w:val="21"/>
          <w:vertAlign w:val="subscript"/>
        </w:rPr>
        <w:t>о</w:t>
      </w:r>
      <w:r w:rsidR="001E748C" w:rsidRPr="00CA7C54">
        <w:rPr>
          <w:i/>
          <w:color w:val="000000" w:themeColor="text1"/>
          <w:sz w:val="21"/>
          <w:szCs w:val="21"/>
        </w:rPr>
        <w:t xml:space="preserve"> = 0,09×а </w:t>
      </w:r>
      <w:r w:rsidR="001E748C" w:rsidRPr="00CA7C54">
        <w:rPr>
          <w:color w:val="000000" w:themeColor="text1"/>
          <w:sz w:val="21"/>
          <w:szCs w:val="21"/>
        </w:rPr>
        <w:t>(Г.15)</w:t>
      </w:r>
    </w:p>
    <w:p w14:paraId="74459C39" w14:textId="77777777" w:rsidR="003C4E04" w:rsidRPr="00CA7C54" w:rsidRDefault="001E748C" w:rsidP="003B320F">
      <w:pPr>
        <w:widowControl w:val="0"/>
        <w:pBdr>
          <w:top w:val="nil"/>
          <w:left w:val="nil"/>
          <w:bottom w:val="nil"/>
          <w:right w:val="nil"/>
          <w:between w:val="nil"/>
        </w:pBdr>
        <w:spacing w:before="0" w:line="288" w:lineRule="auto"/>
        <w:ind w:firstLine="497"/>
        <w:contextualSpacing/>
        <w:rPr>
          <w:color w:val="000000" w:themeColor="text1"/>
          <w:sz w:val="21"/>
          <w:szCs w:val="21"/>
        </w:rPr>
      </w:pPr>
      <w:r w:rsidRPr="00CA7C54">
        <w:rPr>
          <w:color w:val="000000" w:themeColor="text1"/>
          <w:sz w:val="21"/>
          <w:szCs w:val="21"/>
        </w:rPr>
        <w:t>Якщо значення «</w:t>
      </w:r>
      <w:r w:rsidRPr="00CA7C54">
        <w:rPr>
          <w:i/>
          <w:color w:val="000000" w:themeColor="text1"/>
          <w:sz w:val="21"/>
          <w:szCs w:val="21"/>
        </w:rPr>
        <w:t>а</w:t>
      </w:r>
      <w:r w:rsidRPr="00CA7C54">
        <w:rPr>
          <w:color w:val="000000" w:themeColor="text1"/>
          <w:sz w:val="21"/>
          <w:szCs w:val="21"/>
        </w:rPr>
        <w:t xml:space="preserve">» дорівнює 0, що досягається шляхом застосування конструктивно-планувальних рішень, то коефіцієнт </w:t>
      </w:r>
      <w:r w:rsidRPr="00CA7C54">
        <w:rPr>
          <w:i/>
          <w:color w:val="000000" w:themeColor="text1"/>
          <w:sz w:val="21"/>
          <w:szCs w:val="21"/>
        </w:rPr>
        <w:t>К</w:t>
      </w:r>
      <w:r w:rsidRPr="00CA7C54">
        <w:rPr>
          <w:i/>
          <w:color w:val="000000" w:themeColor="text1"/>
          <w:sz w:val="21"/>
          <w:szCs w:val="21"/>
          <w:vertAlign w:val="subscript"/>
        </w:rPr>
        <w:t>о</w:t>
      </w:r>
      <w:r w:rsidRPr="00CA7C54">
        <w:rPr>
          <w:color w:val="000000" w:themeColor="text1"/>
          <w:sz w:val="21"/>
          <w:szCs w:val="21"/>
        </w:rPr>
        <w:t xml:space="preserve"> приймається рівним «0».</w:t>
      </w:r>
    </w:p>
    <w:p w14:paraId="2D871B90"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Коефіцієнт «</w:t>
      </w:r>
      <w:r w:rsidRPr="00CA7C54">
        <w:rPr>
          <w:i/>
          <w:color w:val="000000" w:themeColor="text1"/>
          <w:sz w:val="21"/>
          <w:szCs w:val="21"/>
        </w:rPr>
        <w:t>а</w:t>
      </w:r>
      <w:r w:rsidRPr="00CA7C54">
        <w:rPr>
          <w:color w:val="000000" w:themeColor="text1"/>
          <w:sz w:val="21"/>
          <w:szCs w:val="21"/>
        </w:rPr>
        <w:t>» визначається за формулою</w:t>
      </w:r>
      <w:r w:rsidR="006F7B6E">
        <w:rPr>
          <w:color w:val="000000" w:themeColor="text1"/>
          <w:sz w:val="21"/>
          <w:szCs w:val="21"/>
        </w:rPr>
        <w:t>:</w:t>
      </w:r>
    </w:p>
    <w:p w14:paraId="333929AC" w14:textId="77777777" w:rsidR="003C4E04" w:rsidRPr="00CA7C54" w:rsidRDefault="001E748C" w:rsidP="003B320F">
      <w:pPr>
        <w:pBdr>
          <w:top w:val="nil"/>
          <w:left w:val="nil"/>
          <w:bottom w:val="nil"/>
          <w:right w:val="nil"/>
          <w:between w:val="nil"/>
        </w:pBdr>
        <w:spacing w:before="0" w:line="288" w:lineRule="auto"/>
        <w:ind w:right="142"/>
        <w:contextualSpacing/>
        <w:jc w:val="right"/>
        <w:rPr>
          <w:color w:val="000000" w:themeColor="text1"/>
          <w:sz w:val="21"/>
          <w:szCs w:val="21"/>
        </w:rPr>
      </w:pPr>
      <w:r w:rsidRPr="00CA7C54">
        <w:rPr>
          <w:i/>
          <w:color w:val="000000" w:themeColor="text1"/>
          <w:sz w:val="21"/>
          <w:szCs w:val="21"/>
        </w:rPr>
        <w:t>a = S</w:t>
      </w:r>
      <w:r w:rsidRPr="00CA7C54">
        <w:rPr>
          <w:i/>
          <w:color w:val="000000" w:themeColor="text1"/>
          <w:sz w:val="21"/>
          <w:szCs w:val="21"/>
          <w:vertAlign w:val="subscript"/>
        </w:rPr>
        <w:t xml:space="preserve"> o</w:t>
      </w:r>
      <w:r w:rsidRPr="00CA7C54">
        <w:rPr>
          <w:i/>
          <w:color w:val="000000" w:themeColor="text1"/>
          <w:sz w:val="21"/>
          <w:szCs w:val="21"/>
        </w:rPr>
        <w:t xml:space="preserve">  / S</w:t>
      </w:r>
      <w:r w:rsidRPr="00CA7C54">
        <w:rPr>
          <w:i/>
          <w:color w:val="000000" w:themeColor="text1"/>
          <w:sz w:val="21"/>
          <w:szCs w:val="21"/>
          <w:vertAlign w:val="subscript"/>
        </w:rPr>
        <w:t xml:space="preserve"> n</w:t>
      </w:r>
      <w:r w:rsidRPr="00CA7C54">
        <w:rPr>
          <w:color w:val="000000" w:themeColor="text1"/>
          <w:sz w:val="21"/>
          <w:szCs w:val="21"/>
        </w:rPr>
        <w:t xml:space="preserve"> ,                                                                Г.16) </w:t>
      </w:r>
    </w:p>
    <w:p w14:paraId="33007477"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 xml:space="preserve">де </w:t>
      </w:r>
    </w:p>
    <w:p w14:paraId="3380CFEC" w14:textId="77777777" w:rsidR="003C4E04" w:rsidRPr="00CA7C54" w:rsidRDefault="001E748C" w:rsidP="0091593A">
      <w:pPr>
        <w:pBdr>
          <w:top w:val="nil"/>
          <w:left w:val="nil"/>
          <w:bottom w:val="nil"/>
          <w:right w:val="nil"/>
          <w:between w:val="nil"/>
        </w:pBdr>
        <w:spacing w:before="0"/>
        <w:ind w:right="141"/>
        <w:contextualSpacing/>
        <w:rPr>
          <w:color w:val="000000" w:themeColor="text1"/>
          <w:sz w:val="21"/>
          <w:szCs w:val="21"/>
        </w:rPr>
      </w:pPr>
      <w:r w:rsidRPr="00CA7C54">
        <w:rPr>
          <w:i/>
          <w:color w:val="000000" w:themeColor="text1"/>
          <w:sz w:val="21"/>
          <w:szCs w:val="21"/>
        </w:rPr>
        <w:t>S</w:t>
      </w:r>
      <w:r w:rsidRPr="00CA7C54">
        <w:rPr>
          <w:i/>
          <w:color w:val="000000" w:themeColor="text1"/>
          <w:sz w:val="21"/>
          <w:szCs w:val="21"/>
          <w:vertAlign w:val="subscript"/>
        </w:rPr>
        <w:t>o</w:t>
      </w:r>
      <w:r w:rsidRPr="00CA7C54">
        <w:rPr>
          <w:color w:val="000000" w:themeColor="text1"/>
          <w:sz w:val="21"/>
          <w:szCs w:val="21"/>
        </w:rPr>
        <w:t xml:space="preserve"> – площа отворів (прорізів) у зовнішніх огороджуючих конструкціях - стінах (дверних, віконних, отворів з клапанами, тощо), м</w:t>
      </w:r>
      <w:r w:rsidR="005A4604" w:rsidRPr="00CA7C54">
        <w:rPr>
          <w:color w:val="000000" w:themeColor="text1"/>
          <w:sz w:val="21"/>
          <w:szCs w:val="21"/>
          <w:vertAlign w:val="superscript"/>
        </w:rPr>
        <w:t>2</w:t>
      </w:r>
      <w:r w:rsidRPr="00CA7C54">
        <w:rPr>
          <w:color w:val="000000" w:themeColor="text1"/>
          <w:sz w:val="21"/>
          <w:szCs w:val="21"/>
        </w:rPr>
        <w:t>, які не захищені екранами чи іншими конструктивними рішеннями. Заповнення прорізів захисно-герметичними дверима, ставнями, тощо, - не вважається захистом прорізу від радіації;</w:t>
      </w:r>
    </w:p>
    <w:p w14:paraId="6FB570A4" w14:textId="77777777" w:rsidR="003C4E04" w:rsidRPr="00CA7C54" w:rsidRDefault="001E748C" w:rsidP="0091593A">
      <w:pPr>
        <w:pBdr>
          <w:top w:val="nil"/>
          <w:left w:val="nil"/>
          <w:bottom w:val="nil"/>
          <w:right w:val="nil"/>
          <w:between w:val="nil"/>
        </w:pBdr>
        <w:spacing w:before="0"/>
        <w:ind w:right="141"/>
        <w:contextualSpacing/>
        <w:rPr>
          <w:color w:val="000000" w:themeColor="text1"/>
          <w:sz w:val="21"/>
          <w:szCs w:val="21"/>
          <w:vertAlign w:val="superscript"/>
        </w:rPr>
      </w:pPr>
      <w:r w:rsidRPr="00CA7C54">
        <w:rPr>
          <w:i/>
          <w:color w:val="000000" w:themeColor="text1"/>
          <w:sz w:val="21"/>
          <w:szCs w:val="21"/>
        </w:rPr>
        <w:t>S</w:t>
      </w:r>
      <w:r w:rsidRPr="00CA7C54">
        <w:rPr>
          <w:i/>
          <w:color w:val="000000" w:themeColor="text1"/>
          <w:sz w:val="21"/>
          <w:szCs w:val="21"/>
          <w:vertAlign w:val="subscript"/>
        </w:rPr>
        <w:t>n</w:t>
      </w:r>
      <w:r w:rsidRPr="00CA7C54">
        <w:rPr>
          <w:color w:val="000000" w:themeColor="text1"/>
          <w:sz w:val="21"/>
          <w:szCs w:val="21"/>
        </w:rPr>
        <w:t xml:space="preserve"> – площа підлоги ПРУ чи СПП, м</w:t>
      </w:r>
      <w:r w:rsidR="00D966DC" w:rsidRPr="00CA7C54">
        <w:rPr>
          <w:color w:val="000000" w:themeColor="text1"/>
          <w:sz w:val="21"/>
          <w:szCs w:val="21"/>
          <w:vertAlign w:val="superscript"/>
        </w:rPr>
        <w:t>2</w:t>
      </w:r>
    </w:p>
    <w:p w14:paraId="1EAF309A" w14:textId="77777777" w:rsidR="003C4E04" w:rsidRPr="00CA7C54" w:rsidRDefault="001E748C" w:rsidP="0091593A">
      <w:pPr>
        <w:widowControl w:val="0"/>
        <w:pBdr>
          <w:top w:val="nil"/>
          <w:left w:val="nil"/>
          <w:bottom w:val="nil"/>
          <w:right w:val="nil"/>
          <w:between w:val="nil"/>
        </w:pBdr>
        <w:spacing w:before="0"/>
        <w:ind w:firstLine="633"/>
        <w:contextualSpacing/>
        <w:rPr>
          <w:color w:val="000000" w:themeColor="text1"/>
          <w:sz w:val="21"/>
          <w:szCs w:val="21"/>
        </w:rPr>
      </w:pPr>
      <w:r w:rsidRPr="00CA7C54">
        <w:rPr>
          <w:color w:val="000000" w:themeColor="text1"/>
          <w:sz w:val="21"/>
          <w:szCs w:val="21"/>
        </w:rPr>
        <w:t>У випадку застосування конструктивно-планувальних рішень, захисних екранів, огороджувальних конструкцій, виконаних під певним кутом, тощо та коли вага 1 м</w:t>
      </w:r>
      <w:r w:rsidR="00F61DDF" w:rsidRPr="00CA7C54">
        <w:rPr>
          <w:color w:val="000000" w:themeColor="text1"/>
          <w:sz w:val="21"/>
          <w:szCs w:val="21"/>
          <w:vertAlign w:val="superscript"/>
        </w:rPr>
        <w:t>2</w:t>
      </w:r>
      <w:r w:rsidRPr="00CA7C54">
        <w:rPr>
          <w:color w:val="000000" w:themeColor="text1"/>
          <w:sz w:val="21"/>
          <w:szCs w:val="21"/>
        </w:rPr>
        <w:t xml:space="preserve"> такої конструкції чи екрану відповідає вазі огороджувальної конструкції, що забезпечує нормативний коефіцієнт послаблення радіації, значення площі </w:t>
      </w:r>
      <w:r w:rsidRPr="00CA7C54">
        <w:rPr>
          <w:i/>
          <w:color w:val="000000" w:themeColor="text1"/>
          <w:sz w:val="21"/>
          <w:szCs w:val="21"/>
        </w:rPr>
        <w:t>S</w:t>
      </w:r>
      <w:r w:rsidRPr="00CA7C54">
        <w:rPr>
          <w:i/>
          <w:color w:val="000000" w:themeColor="text1"/>
          <w:sz w:val="21"/>
          <w:szCs w:val="21"/>
          <w:vertAlign w:val="subscript"/>
        </w:rPr>
        <w:t>o</w:t>
      </w:r>
      <w:r w:rsidRPr="00CA7C54">
        <w:rPr>
          <w:color w:val="000000" w:themeColor="text1"/>
          <w:sz w:val="21"/>
          <w:szCs w:val="21"/>
        </w:rPr>
        <w:t xml:space="preserve"> визначається як сума площ отворів сформованих під певним кутом.</w:t>
      </w:r>
    </w:p>
    <w:p w14:paraId="41E84283" w14:textId="77777777" w:rsidR="003C4E04" w:rsidRPr="00CA7C54" w:rsidRDefault="001E748C" w:rsidP="0091593A">
      <w:pPr>
        <w:widowControl w:val="0"/>
        <w:pBdr>
          <w:top w:val="nil"/>
          <w:left w:val="nil"/>
          <w:bottom w:val="nil"/>
          <w:right w:val="nil"/>
          <w:between w:val="nil"/>
        </w:pBdr>
        <w:spacing w:before="0"/>
        <w:ind w:firstLine="633"/>
        <w:contextualSpacing/>
        <w:rPr>
          <w:color w:val="000000" w:themeColor="text1"/>
          <w:sz w:val="21"/>
          <w:szCs w:val="21"/>
        </w:rPr>
      </w:pPr>
      <w:r w:rsidRPr="00CA7C54">
        <w:rPr>
          <w:color w:val="000000" w:themeColor="text1"/>
          <w:sz w:val="21"/>
          <w:szCs w:val="21"/>
        </w:rPr>
        <w:t xml:space="preserve">На рисунку Г.2.2 зображено приклад умовного проникнення всередину захисної споруди радіоактивного випромінювання, під певним кутом, через отвір шириною </w:t>
      </w:r>
      <w:r w:rsidRPr="00CA7C54">
        <w:rPr>
          <w:i/>
          <w:color w:val="000000" w:themeColor="text1"/>
          <w:sz w:val="21"/>
          <w:szCs w:val="21"/>
        </w:rPr>
        <w:t>n</w:t>
      </w:r>
      <w:r w:rsidRPr="00CA7C54">
        <w:rPr>
          <w:i/>
          <w:color w:val="000000" w:themeColor="text1"/>
          <w:sz w:val="21"/>
          <w:szCs w:val="21"/>
          <w:vertAlign w:val="subscript"/>
        </w:rPr>
        <w:t>i</w:t>
      </w:r>
      <w:r w:rsidRPr="00CA7C54">
        <w:rPr>
          <w:color w:val="000000" w:themeColor="text1"/>
          <w:sz w:val="21"/>
          <w:szCs w:val="21"/>
        </w:rPr>
        <w:t xml:space="preserve"> та відповідно висотою </w:t>
      </w:r>
      <w:r w:rsidRPr="00CA7C54">
        <w:rPr>
          <w:i/>
          <w:color w:val="000000" w:themeColor="text1"/>
          <w:sz w:val="21"/>
          <w:szCs w:val="21"/>
        </w:rPr>
        <w:t>h</w:t>
      </w:r>
      <w:r w:rsidRPr="00CA7C54">
        <w:rPr>
          <w:i/>
          <w:color w:val="000000" w:themeColor="text1"/>
          <w:sz w:val="21"/>
          <w:szCs w:val="21"/>
          <w:vertAlign w:val="subscript"/>
        </w:rPr>
        <w:t>i</w:t>
      </w:r>
      <w:r w:rsidRPr="00CA7C54">
        <w:rPr>
          <w:color w:val="000000" w:themeColor="text1"/>
          <w:sz w:val="21"/>
          <w:szCs w:val="21"/>
        </w:rPr>
        <w:t xml:space="preserve">, які формують певне значення </w:t>
      </w:r>
      <w:r w:rsidRPr="00CA7C54">
        <w:rPr>
          <w:i/>
          <w:color w:val="000000" w:themeColor="text1"/>
          <w:sz w:val="21"/>
          <w:szCs w:val="21"/>
        </w:rPr>
        <w:t>S</w:t>
      </w:r>
      <w:r w:rsidRPr="00CA7C54">
        <w:rPr>
          <w:i/>
          <w:color w:val="000000" w:themeColor="text1"/>
          <w:sz w:val="21"/>
          <w:szCs w:val="21"/>
          <w:vertAlign w:val="subscript"/>
        </w:rPr>
        <w:t>oі</w:t>
      </w:r>
      <w:r w:rsidRPr="00CA7C54">
        <w:rPr>
          <w:color w:val="000000" w:themeColor="text1"/>
          <w:sz w:val="21"/>
          <w:szCs w:val="21"/>
        </w:rPr>
        <w:t>=</w:t>
      </w:r>
      <w:r w:rsidRPr="00CA7C54">
        <w:rPr>
          <w:i/>
          <w:color w:val="000000" w:themeColor="text1"/>
          <w:sz w:val="21"/>
          <w:szCs w:val="21"/>
        </w:rPr>
        <w:t>n</w:t>
      </w:r>
      <w:r w:rsidRPr="00CA7C54">
        <w:rPr>
          <w:i/>
          <w:color w:val="000000" w:themeColor="text1"/>
          <w:sz w:val="21"/>
          <w:szCs w:val="21"/>
          <w:vertAlign w:val="subscript"/>
        </w:rPr>
        <w:t xml:space="preserve">i </w:t>
      </w:r>
      <w:r w:rsidRPr="00CA7C54">
        <w:rPr>
          <w:i/>
          <w:color w:val="000000" w:themeColor="text1"/>
          <w:sz w:val="21"/>
          <w:szCs w:val="21"/>
        </w:rPr>
        <w:t>×h</w:t>
      </w:r>
      <w:r w:rsidRPr="00CA7C54">
        <w:rPr>
          <w:i/>
          <w:color w:val="000000" w:themeColor="text1"/>
          <w:sz w:val="21"/>
          <w:szCs w:val="21"/>
          <w:vertAlign w:val="subscript"/>
        </w:rPr>
        <w:t>i</w:t>
      </w:r>
      <w:r w:rsidRPr="00CA7C54">
        <w:rPr>
          <w:i/>
          <w:color w:val="000000" w:themeColor="text1"/>
          <w:sz w:val="21"/>
          <w:szCs w:val="21"/>
        </w:rPr>
        <w:t>.</w:t>
      </w:r>
    </w:p>
    <w:p w14:paraId="064C68C5" w14:textId="77777777" w:rsidR="003C4E04" w:rsidRPr="00CA7C54" w:rsidRDefault="001E748C" w:rsidP="0091593A">
      <w:pPr>
        <w:widowControl w:val="0"/>
        <w:pBdr>
          <w:top w:val="nil"/>
          <w:left w:val="nil"/>
          <w:bottom w:val="nil"/>
          <w:right w:val="nil"/>
          <w:between w:val="nil"/>
        </w:pBdr>
        <w:spacing w:before="0"/>
        <w:ind w:firstLine="633"/>
        <w:contextualSpacing/>
        <w:rPr>
          <w:color w:val="000000" w:themeColor="text1"/>
          <w:sz w:val="21"/>
          <w:szCs w:val="21"/>
        </w:rPr>
      </w:pPr>
      <w:r w:rsidRPr="00CA7C54">
        <w:rPr>
          <w:color w:val="000000" w:themeColor="text1"/>
          <w:sz w:val="21"/>
          <w:szCs w:val="21"/>
        </w:rPr>
        <w:t xml:space="preserve">На рисунку Г.2.3 представлено приклад можливого варіанту конструктивного виконання огороджувальних конструкцій вхідного тамбуру та захисного екрану, які значення  площі </w:t>
      </w:r>
      <w:r w:rsidRPr="00CA7C54">
        <w:rPr>
          <w:i/>
          <w:color w:val="000000" w:themeColor="text1"/>
          <w:sz w:val="21"/>
          <w:szCs w:val="21"/>
        </w:rPr>
        <w:t>S</w:t>
      </w:r>
      <w:r w:rsidRPr="00CA7C54">
        <w:rPr>
          <w:i/>
          <w:color w:val="000000" w:themeColor="text1"/>
          <w:sz w:val="21"/>
          <w:szCs w:val="21"/>
          <w:vertAlign w:val="subscript"/>
        </w:rPr>
        <w:t>o</w:t>
      </w:r>
      <w:r w:rsidRPr="00CA7C54">
        <w:rPr>
          <w:color w:val="000000" w:themeColor="text1"/>
          <w:sz w:val="21"/>
          <w:szCs w:val="21"/>
        </w:rPr>
        <w:t>зводять до нуля.</w:t>
      </w:r>
    </w:p>
    <w:p w14:paraId="3C5C047D" w14:textId="77777777" w:rsidR="003C4E04" w:rsidRPr="00CA7C54" w:rsidRDefault="003C4E04" w:rsidP="003B320F">
      <w:pPr>
        <w:widowControl w:val="0"/>
        <w:pBdr>
          <w:top w:val="nil"/>
          <w:left w:val="nil"/>
          <w:bottom w:val="nil"/>
          <w:right w:val="nil"/>
          <w:between w:val="nil"/>
        </w:pBdr>
        <w:spacing w:before="0" w:line="288" w:lineRule="auto"/>
        <w:ind w:firstLine="633"/>
        <w:contextualSpacing/>
        <w:rPr>
          <w:color w:val="000000" w:themeColor="text1"/>
          <w:sz w:val="21"/>
          <w:szCs w:val="21"/>
        </w:rPr>
      </w:pPr>
    </w:p>
    <w:p w14:paraId="31250EB8"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b/>
          <w:color w:val="000000" w:themeColor="text1"/>
          <w:sz w:val="21"/>
          <w:szCs w:val="21"/>
        </w:rPr>
      </w:pPr>
      <w:r w:rsidRPr="00CA7C54">
        <w:rPr>
          <w:noProof/>
          <w:color w:val="000000" w:themeColor="text1"/>
          <w:sz w:val="21"/>
          <w:szCs w:val="21"/>
          <w:lang w:eastAsia="uk-UA"/>
        </w:rPr>
        <w:drawing>
          <wp:inline distT="0" distB="0" distL="0" distR="0" wp14:anchorId="21EE818E" wp14:editId="55ECEA32">
            <wp:extent cx="4692650" cy="3511550"/>
            <wp:effectExtent l="0" t="0" r="0" b="0"/>
            <wp:docPr id="21305244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7"/>
                    <a:srcRect t="5369" r="50606"/>
                    <a:stretch>
                      <a:fillRect/>
                    </a:stretch>
                  </pic:blipFill>
                  <pic:spPr>
                    <a:xfrm>
                      <a:off x="0" y="0"/>
                      <a:ext cx="4693457" cy="3512154"/>
                    </a:xfrm>
                    <a:prstGeom prst="rect">
                      <a:avLst/>
                    </a:prstGeom>
                    <a:ln/>
                  </pic:spPr>
                </pic:pic>
              </a:graphicData>
            </a:graphic>
          </wp:inline>
        </w:drawing>
      </w:r>
    </w:p>
    <w:p w14:paraId="75B2847A"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b/>
          <w:color w:val="000000" w:themeColor="text1"/>
          <w:sz w:val="21"/>
          <w:szCs w:val="21"/>
        </w:rPr>
      </w:pPr>
      <w:r w:rsidRPr="00CA7C54">
        <w:rPr>
          <w:b/>
          <w:color w:val="000000" w:themeColor="text1"/>
          <w:sz w:val="21"/>
          <w:szCs w:val="21"/>
        </w:rPr>
        <w:t>Рисунок Г.2.2</w:t>
      </w:r>
      <w:r w:rsidRPr="00CA7C54">
        <w:rPr>
          <w:color w:val="000000" w:themeColor="text1"/>
          <w:sz w:val="21"/>
          <w:szCs w:val="21"/>
        </w:rPr>
        <w:t xml:space="preserve"> – Приклад умовного проникнення всередину захисної споруди </w:t>
      </w:r>
      <w:r w:rsidRPr="00CA7C54">
        <w:rPr>
          <w:color w:val="000000" w:themeColor="text1"/>
          <w:sz w:val="21"/>
          <w:szCs w:val="21"/>
        </w:rPr>
        <w:br/>
        <w:t>радіоактивного випромінювання</w:t>
      </w:r>
    </w:p>
    <w:p w14:paraId="5C914224"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color w:val="000000" w:themeColor="text1"/>
          <w:sz w:val="21"/>
          <w:szCs w:val="21"/>
        </w:rPr>
      </w:pPr>
      <w:r w:rsidRPr="00CA7C54">
        <w:rPr>
          <w:noProof/>
          <w:color w:val="000000" w:themeColor="text1"/>
          <w:sz w:val="21"/>
          <w:szCs w:val="21"/>
          <w:lang w:eastAsia="uk-UA"/>
        </w:rPr>
        <w:lastRenderedPageBreak/>
        <w:drawing>
          <wp:inline distT="0" distB="0" distL="0" distR="0" wp14:anchorId="7CE16730" wp14:editId="6E409345">
            <wp:extent cx="4820296" cy="3152875"/>
            <wp:effectExtent l="0" t="0" r="0" b="0"/>
            <wp:docPr id="21305244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7"/>
                    <a:srcRect l="51907"/>
                    <a:stretch>
                      <a:fillRect/>
                    </a:stretch>
                  </pic:blipFill>
                  <pic:spPr>
                    <a:xfrm>
                      <a:off x="0" y="0"/>
                      <a:ext cx="4820296" cy="3152875"/>
                    </a:xfrm>
                    <a:prstGeom prst="rect">
                      <a:avLst/>
                    </a:prstGeom>
                    <a:ln/>
                  </pic:spPr>
                </pic:pic>
              </a:graphicData>
            </a:graphic>
          </wp:inline>
        </w:drawing>
      </w:r>
    </w:p>
    <w:p w14:paraId="4BA348CD"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color w:val="000000" w:themeColor="text1"/>
          <w:sz w:val="20"/>
          <w:szCs w:val="20"/>
        </w:rPr>
      </w:pPr>
      <w:r w:rsidRPr="00CA7C54">
        <w:rPr>
          <w:b/>
          <w:color w:val="000000" w:themeColor="text1"/>
          <w:sz w:val="20"/>
          <w:szCs w:val="20"/>
        </w:rPr>
        <w:t>Рисунок Г.2.3</w:t>
      </w:r>
      <w:r w:rsidRPr="00CA7C54">
        <w:rPr>
          <w:color w:val="000000" w:themeColor="text1"/>
          <w:sz w:val="20"/>
          <w:szCs w:val="20"/>
        </w:rPr>
        <w:t xml:space="preserve"> – Приклад можливого варіанту  конструктивного виконання </w:t>
      </w:r>
      <w:r w:rsidRPr="00CA7C54">
        <w:rPr>
          <w:color w:val="000000" w:themeColor="text1"/>
          <w:sz w:val="20"/>
          <w:szCs w:val="20"/>
        </w:rPr>
        <w:br/>
        <w:t>огороджувальних конструкцій вхідного тамбуру та захисного екрану</w:t>
      </w:r>
    </w:p>
    <w:p w14:paraId="522CC5A0" w14:textId="77777777" w:rsidR="003C4E04" w:rsidRPr="00CA7C54" w:rsidRDefault="001E748C" w:rsidP="0091593A">
      <w:pPr>
        <w:widowControl w:val="0"/>
        <w:pBdr>
          <w:top w:val="nil"/>
          <w:left w:val="nil"/>
          <w:bottom w:val="nil"/>
          <w:right w:val="nil"/>
          <w:between w:val="nil"/>
        </w:pBdr>
        <w:spacing w:before="0"/>
        <w:ind w:firstLine="635"/>
        <w:contextualSpacing/>
        <w:rPr>
          <w:color w:val="000000" w:themeColor="text1"/>
          <w:sz w:val="20"/>
          <w:szCs w:val="20"/>
        </w:rPr>
      </w:pPr>
      <w:r w:rsidRPr="00CA7C54">
        <w:rPr>
          <w:color w:val="000000" w:themeColor="text1"/>
          <w:sz w:val="20"/>
          <w:szCs w:val="20"/>
        </w:rPr>
        <w:t xml:space="preserve">З метою зменшення значення площі </w:t>
      </w:r>
      <w:r w:rsidRPr="00CA7C54">
        <w:rPr>
          <w:i/>
          <w:color w:val="000000" w:themeColor="text1"/>
          <w:sz w:val="20"/>
          <w:szCs w:val="20"/>
        </w:rPr>
        <w:t>S</w:t>
      </w:r>
      <w:r w:rsidRPr="00CA7C54">
        <w:rPr>
          <w:i/>
          <w:color w:val="000000" w:themeColor="text1"/>
          <w:sz w:val="20"/>
          <w:szCs w:val="20"/>
          <w:vertAlign w:val="subscript"/>
        </w:rPr>
        <w:t>o</w:t>
      </w:r>
      <w:r w:rsidRPr="00CA7C54">
        <w:rPr>
          <w:color w:val="000000" w:themeColor="text1"/>
          <w:sz w:val="20"/>
          <w:szCs w:val="20"/>
        </w:rPr>
        <w:t xml:space="preserve"> можуть застосовуватись будь-які інші конструктивно-планувальні рішення (встановлюватись зовнішні захисні екрани, в тому числі з покриттям, влаштовуватись додаткові повороти під кутом, тощо).</w:t>
      </w:r>
    </w:p>
    <w:p w14:paraId="1AA66D35" w14:textId="77777777" w:rsidR="003C4E04" w:rsidRPr="00CA7C54" w:rsidRDefault="001E748C" w:rsidP="0091593A">
      <w:pPr>
        <w:widowControl w:val="0"/>
        <w:pBdr>
          <w:top w:val="nil"/>
          <w:left w:val="nil"/>
          <w:bottom w:val="nil"/>
          <w:right w:val="nil"/>
          <w:between w:val="nil"/>
        </w:pBdr>
        <w:spacing w:before="0"/>
        <w:ind w:firstLine="635"/>
        <w:contextualSpacing/>
        <w:rPr>
          <w:color w:val="000000" w:themeColor="text1"/>
          <w:sz w:val="21"/>
          <w:szCs w:val="21"/>
        </w:rPr>
      </w:pPr>
      <w:r w:rsidRPr="00CA7C54">
        <w:rPr>
          <w:color w:val="000000" w:themeColor="text1"/>
          <w:sz w:val="21"/>
          <w:szCs w:val="21"/>
        </w:rPr>
        <w:t xml:space="preserve">Характеристики захисних екранів, огороджувальних конструкцій входів, тамбурів, шахт, форкамер, розширювальних камер, інших просторів ПРУ чи СПП, які мають сполучення із навколишнім середовищем через отвір (проріз, в тому числі заповнений дверима, ставнями, іншим пристроєм), в тому числі з об’ємом будівлі в яку вони вбудовані, за показниками послабленням радіаційного впливу мають відповідати огороджувальним конструкціям захисних споруд чи СПП, що приймають участь в підтвердженні виконання нерівності </w:t>
      </w:r>
      <w:r w:rsidRPr="00CA7C54">
        <w:rPr>
          <w:i/>
          <w:color w:val="000000" w:themeColor="text1"/>
          <w:sz w:val="21"/>
          <w:szCs w:val="21"/>
        </w:rPr>
        <w:t>К</w:t>
      </w:r>
      <w:r w:rsidRPr="00CA7C54">
        <w:rPr>
          <w:i/>
          <w:color w:val="000000" w:themeColor="text1"/>
          <w:sz w:val="21"/>
          <w:szCs w:val="21"/>
          <w:vertAlign w:val="subscript"/>
        </w:rPr>
        <w:t>зф</w:t>
      </w:r>
      <w:sdt>
        <w:sdtPr>
          <w:rPr>
            <w:color w:val="000000" w:themeColor="text1"/>
            <w:sz w:val="21"/>
            <w:szCs w:val="21"/>
          </w:rPr>
          <w:tag w:val="goog_rdk_123"/>
          <w:id w:val="-1225444089"/>
        </w:sdtPr>
        <w:sdtEndPr/>
        <w:sdtContent>
          <w:r w:rsidRPr="00CA7C54">
            <w:rPr>
              <w:rFonts w:eastAsia="Arial Unicode MS"/>
              <w:i/>
              <w:color w:val="000000" w:themeColor="text1"/>
              <w:sz w:val="21"/>
              <w:szCs w:val="21"/>
            </w:rPr>
            <w:t>≥ К</w:t>
          </w:r>
        </w:sdtContent>
      </w:sdt>
      <w:r w:rsidRPr="00CA7C54">
        <w:rPr>
          <w:i/>
          <w:color w:val="000000" w:themeColor="text1"/>
          <w:sz w:val="21"/>
          <w:szCs w:val="21"/>
          <w:vertAlign w:val="subscript"/>
        </w:rPr>
        <w:t>з</w:t>
      </w:r>
      <w:r w:rsidRPr="00CA7C54">
        <w:rPr>
          <w:color w:val="000000" w:themeColor="text1"/>
          <w:sz w:val="21"/>
          <w:szCs w:val="21"/>
        </w:rPr>
        <w:t>, тобто огороджувальні конструкції позначені на рисунках Г.2.2, Г.2.3 як «</w:t>
      </w:r>
      <w:r w:rsidRPr="00CA7C54">
        <w:rPr>
          <w:i/>
          <w:color w:val="000000" w:themeColor="text1"/>
          <w:sz w:val="21"/>
          <w:szCs w:val="21"/>
        </w:rPr>
        <w:t>с</w:t>
      </w:r>
      <w:r w:rsidRPr="00CA7C54">
        <w:rPr>
          <w:i/>
          <w:color w:val="000000" w:themeColor="text1"/>
          <w:sz w:val="21"/>
          <w:szCs w:val="21"/>
          <w:vertAlign w:val="subscript"/>
        </w:rPr>
        <w:t>2</w:t>
      </w:r>
      <w:r w:rsidRPr="00CA7C54">
        <w:rPr>
          <w:color w:val="000000" w:themeColor="text1"/>
          <w:sz w:val="21"/>
          <w:szCs w:val="21"/>
        </w:rPr>
        <w:t>», за всіма характеристиками мають відповідати стінам, що позначені як «</w:t>
      </w:r>
      <w:r w:rsidRPr="00CA7C54">
        <w:rPr>
          <w:i/>
          <w:color w:val="000000" w:themeColor="text1"/>
          <w:sz w:val="21"/>
          <w:szCs w:val="21"/>
        </w:rPr>
        <w:t>у</w:t>
      </w:r>
      <w:r w:rsidRPr="00CA7C54">
        <w:rPr>
          <w:i/>
          <w:color w:val="000000" w:themeColor="text1"/>
          <w:sz w:val="21"/>
          <w:szCs w:val="21"/>
          <w:vertAlign w:val="subscript"/>
        </w:rPr>
        <w:t>1</w:t>
      </w:r>
      <w:r w:rsidRPr="00CA7C54">
        <w:rPr>
          <w:color w:val="000000" w:themeColor="text1"/>
          <w:sz w:val="21"/>
          <w:szCs w:val="21"/>
        </w:rPr>
        <w:t>».</w:t>
      </w:r>
    </w:p>
    <w:p w14:paraId="7DB85B2C" w14:textId="77777777" w:rsidR="003C4E04" w:rsidRPr="00CA7C54" w:rsidRDefault="003C4E04" w:rsidP="003B320F">
      <w:pPr>
        <w:pBdr>
          <w:top w:val="nil"/>
          <w:left w:val="nil"/>
          <w:bottom w:val="nil"/>
          <w:right w:val="nil"/>
          <w:between w:val="nil"/>
        </w:pBdr>
        <w:spacing w:before="0" w:line="288" w:lineRule="auto"/>
        <w:ind w:right="68"/>
        <w:contextualSpacing/>
        <w:rPr>
          <w:color w:val="000000" w:themeColor="text1"/>
          <w:sz w:val="21"/>
          <w:szCs w:val="21"/>
        </w:rPr>
      </w:pPr>
    </w:p>
    <w:p w14:paraId="248EADC8" w14:textId="77777777" w:rsidR="003C4E04" w:rsidRPr="00CA7C54" w:rsidRDefault="001E748C" w:rsidP="003B320F">
      <w:pPr>
        <w:pBdr>
          <w:top w:val="nil"/>
          <w:left w:val="nil"/>
          <w:bottom w:val="nil"/>
          <w:right w:val="nil"/>
          <w:between w:val="nil"/>
        </w:pBdr>
        <w:spacing w:before="0" w:line="288" w:lineRule="auto"/>
        <w:ind w:right="142"/>
        <w:contextualSpacing/>
        <w:rPr>
          <w:b/>
          <w:color w:val="000000" w:themeColor="text1"/>
          <w:sz w:val="21"/>
          <w:szCs w:val="21"/>
        </w:rPr>
      </w:pPr>
      <w:r w:rsidRPr="00CA7C54">
        <w:rPr>
          <w:b/>
          <w:color w:val="000000" w:themeColor="text1"/>
          <w:sz w:val="21"/>
          <w:szCs w:val="21"/>
        </w:rPr>
        <w:t>Таблиця Г.5</w:t>
      </w:r>
    </w:p>
    <w:tbl>
      <w:tblPr>
        <w:tblStyle w:val="afffffffffffffffffffffffffffffffff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127"/>
        <w:gridCol w:w="2551"/>
        <w:gridCol w:w="2693"/>
      </w:tblGrid>
      <w:tr w:rsidR="00CA7C54" w:rsidRPr="00CA7C54" w14:paraId="349EB373" w14:textId="77777777" w:rsidTr="00AE25DB">
        <w:trPr>
          <w:trHeight w:val="323"/>
        </w:trPr>
        <w:tc>
          <w:tcPr>
            <w:tcW w:w="2263" w:type="dxa"/>
            <w:vMerge w:val="restart"/>
            <w:vAlign w:val="center"/>
          </w:tcPr>
          <w:p w14:paraId="10ADA2CF"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Вага 1 м²</w:t>
            </w:r>
          </w:p>
          <w:p w14:paraId="704B87CF"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огороджувальних</w:t>
            </w:r>
          </w:p>
          <w:p w14:paraId="1CA5FB46"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конструкцій, Н (кг)</w:t>
            </w:r>
          </w:p>
        </w:tc>
        <w:tc>
          <w:tcPr>
            <w:tcW w:w="7371" w:type="dxa"/>
            <w:gridSpan w:val="3"/>
            <w:vAlign w:val="center"/>
          </w:tcPr>
          <w:p w14:paraId="26A575A3"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 xml:space="preserve">Кратність послаблення </w:t>
            </w:r>
            <w:r w:rsidRPr="00CA7C54">
              <w:rPr>
                <w:rFonts w:ascii="Arial" w:eastAsia="Arial" w:hAnsi="Arial" w:cs="Arial"/>
                <w:b/>
                <w:i/>
                <w:color w:val="000000" w:themeColor="text1"/>
                <w:sz w:val="21"/>
                <w:szCs w:val="21"/>
              </w:rPr>
              <w:t>γ</w:t>
            </w:r>
            <w:r w:rsidRPr="00CA7C54">
              <w:rPr>
                <w:rFonts w:ascii="Arial" w:eastAsia="Arial" w:hAnsi="Arial" w:cs="Arial"/>
                <w:b/>
                <w:color w:val="000000" w:themeColor="text1"/>
                <w:sz w:val="21"/>
                <w:szCs w:val="21"/>
              </w:rPr>
              <w:t>-випромінювання радіаційно зараженої місцевості</w:t>
            </w:r>
          </w:p>
        </w:tc>
      </w:tr>
      <w:tr w:rsidR="00CA7C54" w:rsidRPr="00CA7C54" w14:paraId="342F516B" w14:textId="77777777" w:rsidTr="00AE25DB">
        <w:trPr>
          <w:trHeight w:val="20"/>
        </w:trPr>
        <w:tc>
          <w:tcPr>
            <w:tcW w:w="2263" w:type="dxa"/>
            <w:vMerge/>
            <w:vAlign w:val="center"/>
          </w:tcPr>
          <w:p w14:paraId="47571653"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b/>
                <w:color w:val="000000" w:themeColor="text1"/>
                <w:sz w:val="21"/>
                <w:szCs w:val="21"/>
              </w:rPr>
            </w:pPr>
          </w:p>
        </w:tc>
        <w:tc>
          <w:tcPr>
            <w:tcW w:w="2127" w:type="dxa"/>
            <w:vAlign w:val="center"/>
          </w:tcPr>
          <w:p w14:paraId="730035EE"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стіною, К ст,</w:t>
            </w:r>
          </w:p>
          <w:p w14:paraId="6A21EC1C"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(первинного</w:t>
            </w:r>
          </w:p>
          <w:p w14:paraId="326BE9BB"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випромінювання)</w:t>
            </w:r>
          </w:p>
        </w:tc>
        <w:tc>
          <w:tcPr>
            <w:tcW w:w="2551" w:type="dxa"/>
            <w:vAlign w:val="center"/>
          </w:tcPr>
          <w:p w14:paraId="70F27290"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перекриттям, К пер,</w:t>
            </w:r>
          </w:p>
          <w:p w14:paraId="2021F108"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(первинного</w:t>
            </w:r>
          </w:p>
          <w:p w14:paraId="512876FA"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випромінювання)</w:t>
            </w:r>
          </w:p>
        </w:tc>
        <w:tc>
          <w:tcPr>
            <w:tcW w:w="2693" w:type="dxa"/>
            <w:vAlign w:val="center"/>
          </w:tcPr>
          <w:p w14:paraId="18694212"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перекриттям підвалу,</w:t>
            </w:r>
          </w:p>
          <w:p w14:paraId="19185993"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К п, (вторинне</w:t>
            </w:r>
          </w:p>
          <w:p w14:paraId="5631163F"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випромінювання)</w:t>
            </w:r>
          </w:p>
        </w:tc>
      </w:tr>
      <w:tr w:rsidR="00CA7C54" w:rsidRPr="00CA7C54" w14:paraId="5D4D326C" w14:textId="77777777" w:rsidTr="00AE25DB">
        <w:trPr>
          <w:trHeight w:val="89"/>
        </w:trPr>
        <w:tc>
          <w:tcPr>
            <w:tcW w:w="2263" w:type="dxa"/>
          </w:tcPr>
          <w:p w14:paraId="16534A3E"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 (150)</w:t>
            </w:r>
          </w:p>
        </w:tc>
        <w:tc>
          <w:tcPr>
            <w:tcW w:w="2127" w:type="dxa"/>
            <w:tcBorders>
              <w:top w:val="single" w:sz="4" w:space="0" w:color="000000"/>
              <w:left w:val="single" w:sz="4" w:space="0" w:color="000000"/>
              <w:bottom w:val="single" w:sz="4" w:space="0" w:color="000000"/>
            </w:tcBorders>
            <w:shd w:val="clear" w:color="auto" w:fill="auto"/>
          </w:tcPr>
          <w:p w14:paraId="1453F43C"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551" w:type="dxa"/>
            <w:tcBorders>
              <w:top w:val="single" w:sz="4" w:space="0" w:color="000000"/>
              <w:left w:val="single" w:sz="4" w:space="0" w:color="000000"/>
              <w:bottom w:val="single" w:sz="4" w:space="0" w:color="000000"/>
            </w:tcBorders>
            <w:shd w:val="clear" w:color="auto" w:fill="auto"/>
          </w:tcPr>
          <w:p w14:paraId="73CD4EC0"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6531B5B"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w:t>
            </w:r>
          </w:p>
        </w:tc>
      </w:tr>
      <w:tr w:rsidR="00CA7C54" w:rsidRPr="00CA7C54" w14:paraId="4471AEA3" w14:textId="77777777" w:rsidTr="00AE25DB">
        <w:tc>
          <w:tcPr>
            <w:tcW w:w="2263" w:type="dxa"/>
          </w:tcPr>
          <w:p w14:paraId="75943432"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2000 (200)</w:t>
            </w:r>
          </w:p>
        </w:tc>
        <w:tc>
          <w:tcPr>
            <w:tcW w:w="2127" w:type="dxa"/>
            <w:tcBorders>
              <w:top w:val="single" w:sz="4" w:space="0" w:color="000000"/>
              <w:left w:val="single" w:sz="4" w:space="0" w:color="000000"/>
              <w:bottom w:val="single" w:sz="4" w:space="0" w:color="000000"/>
            </w:tcBorders>
            <w:shd w:val="clear" w:color="auto" w:fill="auto"/>
          </w:tcPr>
          <w:p w14:paraId="51A34FA2"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w:t>
            </w:r>
          </w:p>
        </w:tc>
        <w:tc>
          <w:tcPr>
            <w:tcW w:w="2551" w:type="dxa"/>
            <w:tcBorders>
              <w:top w:val="single" w:sz="4" w:space="0" w:color="000000"/>
              <w:left w:val="single" w:sz="4" w:space="0" w:color="000000"/>
              <w:bottom w:val="single" w:sz="4" w:space="0" w:color="000000"/>
            </w:tcBorders>
            <w:shd w:val="clear" w:color="auto" w:fill="auto"/>
          </w:tcPr>
          <w:p w14:paraId="0132E23B"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81DA5E3"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6D9E0FEA" w14:textId="77777777" w:rsidTr="00AE25DB">
        <w:tc>
          <w:tcPr>
            <w:tcW w:w="2263" w:type="dxa"/>
          </w:tcPr>
          <w:p w14:paraId="584578E5"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2500 (250)</w:t>
            </w:r>
          </w:p>
        </w:tc>
        <w:tc>
          <w:tcPr>
            <w:tcW w:w="2127" w:type="dxa"/>
            <w:tcBorders>
              <w:top w:val="single" w:sz="4" w:space="0" w:color="000000"/>
              <w:left w:val="single" w:sz="4" w:space="0" w:color="000000"/>
              <w:bottom w:val="single" w:sz="4" w:space="0" w:color="000000"/>
            </w:tcBorders>
            <w:shd w:val="clear" w:color="auto" w:fill="auto"/>
          </w:tcPr>
          <w:p w14:paraId="7C3BCAE5"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c>
          <w:tcPr>
            <w:tcW w:w="2551" w:type="dxa"/>
            <w:tcBorders>
              <w:top w:val="single" w:sz="4" w:space="0" w:color="000000"/>
              <w:left w:val="single" w:sz="4" w:space="0" w:color="000000"/>
              <w:bottom w:val="single" w:sz="4" w:space="0" w:color="000000"/>
            </w:tcBorders>
            <w:shd w:val="clear" w:color="auto" w:fill="auto"/>
          </w:tcPr>
          <w:p w14:paraId="1CE3AE00"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59704BF"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r>
      <w:tr w:rsidR="00CA7C54" w:rsidRPr="00CA7C54" w14:paraId="3E727D96" w14:textId="77777777" w:rsidTr="00AE25DB">
        <w:tc>
          <w:tcPr>
            <w:tcW w:w="2263" w:type="dxa"/>
          </w:tcPr>
          <w:p w14:paraId="63D57FDD"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3000 (300)</w:t>
            </w:r>
          </w:p>
        </w:tc>
        <w:tc>
          <w:tcPr>
            <w:tcW w:w="2127" w:type="dxa"/>
            <w:tcBorders>
              <w:top w:val="single" w:sz="4" w:space="0" w:color="000000"/>
              <w:left w:val="single" w:sz="4" w:space="0" w:color="000000"/>
              <w:bottom w:val="single" w:sz="4" w:space="0" w:color="000000"/>
            </w:tcBorders>
            <w:shd w:val="clear" w:color="auto" w:fill="auto"/>
          </w:tcPr>
          <w:p w14:paraId="109724DE"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p>
        </w:tc>
        <w:tc>
          <w:tcPr>
            <w:tcW w:w="2551" w:type="dxa"/>
            <w:tcBorders>
              <w:top w:val="single" w:sz="4" w:space="0" w:color="000000"/>
              <w:left w:val="single" w:sz="4" w:space="0" w:color="000000"/>
              <w:bottom w:val="single" w:sz="4" w:space="0" w:color="000000"/>
            </w:tcBorders>
            <w:shd w:val="clear" w:color="auto" w:fill="auto"/>
          </w:tcPr>
          <w:p w14:paraId="116E1B7D"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8213EC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r>
      <w:tr w:rsidR="00CA7C54" w:rsidRPr="00CA7C54" w14:paraId="09428545" w14:textId="77777777" w:rsidTr="00AE25DB">
        <w:tc>
          <w:tcPr>
            <w:tcW w:w="2263" w:type="dxa"/>
          </w:tcPr>
          <w:p w14:paraId="4948B1CB"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3500 (350)</w:t>
            </w:r>
          </w:p>
        </w:tc>
        <w:tc>
          <w:tcPr>
            <w:tcW w:w="2127" w:type="dxa"/>
            <w:tcBorders>
              <w:top w:val="single" w:sz="4" w:space="0" w:color="000000"/>
              <w:left w:val="single" w:sz="4" w:space="0" w:color="000000"/>
              <w:bottom w:val="single" w:sz="4" w:space="0" w:color="000000"/>
            </w:tcBorders>
            <w:shd w:val="clear" w:color="auto" w:fill="auto"/>
          </w:tcPr>
          <w:p w14:paraId="04D98B7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2551" w:type="dxa"/>
            <w:tcBorders>
              <w:top w:val="single" w:sz="4" w:space="0" w:color="000000"/>
              <w:left w:val="single" w:sz="4" w:space="0" w:color="000000"/>
              <w:bottom w:val="single" w:sz="4" w:space="0" w:color="000000"/>
            </w:tcBorders>
            <w:shd w:val="clear" w:color="auto" w:fill="auto"/>
          </w:tcPr>
          <w:p w14:paraId="28C84274"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5AA170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48</w:t>
            </w:r>
          </w:p>
        </w:tc>
      </w:tr>
      <w:tr w:rsidR="00CA7C54" w:rsidRPr="00CA7C54" w14:paraId="2440FDC9" w14:textId="77777777" w:rsidTr="00AE25DB">
        <w:tc>
          <w:tcPr>
            <w:tcW w:w="2263" w:type="dxa"/>
          </w:tcPr>
          <w:p w14:paraId="57FF691A"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4000 (400)</w:t>
            </w:r>
          </w:p>
        </w:tc>
        <w:tc>
          <w:tcPr>
            <w:tcW w:w="2127" w:type="dxa"/>
            <w:tcBorders>
              <w:top w:val="single" w:sz="4" w:space="0" w:color="000000"/>
              <w:left w:val="single" w:sz="4" w:space="0" w:color="000000"/>
              <w:bottom w:val="single" w:sz="4" w:space="0" w:color="000000"/>
            </w:tcBorders>
            <w:shd w:val="clear" w:color="auto" w:fill="auto"/>
          </w:tcPr>
          <w:p w14:paraId="7C6FFDC2"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w:t>
            </w:r>
          </w:p>
        </w:tc>
        <w:tc>
          <w:tcPr>
            <w:tcW w:w="2551" w:type="dxa"/>
            <w:tcBorders>
              <w:top w:val="single" w:sz="4" w:space="0" w:color="000000"/>
              <w:left w:val="single" w:sz="4" w:space="0" w:color="000000"/>
              <w:bottom w:val="single" w:sz="4" w:space="0" w:color="000000"/>
            </w:tcBorders>
            <w:shd w:val="clear" w:color="auto" w:fill="auto"/>
          </w:tcPr>
          <w:p w14:paraId="6F66EA38"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A34522A"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w:t>
            </w:r>
          </w:p>
        </w:tc>
      </w:tr>
      <w:tr w:rsidR="00CA7C54" w:rsidRPr="00CA7C54" w14:paraId="559F4EB4" w14:textId="77777777" w:rsidTr="00AE25DB">
        <w:trPr>
          <w:trHeight w:val="70"/>
        </w:trPr>
        <w:tc>
          <w:tcPr>
            <w:tcW w:w="2263" w:type="dxa"/>
          </w:tcPr>
          <w:p w14:paraId="6C54CA67"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4500 (450)</w:t>
            </w:r>
          </w:p>
        </w:tc>
        <w:tc>
          <w:tcPr>
            <w:tcW w:w="2127" w:type="dxa"/>
            <w:tcBorders>
              <w:top w:val="single" w:sz="4" w:space="0" w:color="000000"/>
              <w:left w:val="single" w:sz="4" w:space="0" w:color="000000"/>
              <w:bottom w:val="single" w:sz="4" w:space="0" w:color="000000"/>
            </w:tcBorders>
            <w:shd w:val="clear" w:color="auto" w:fill="auto"/>
          </w:tcPr>
          <w:p w14:paraId="0BE5CF14"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2551" w:type="dxa"/>
            <w:tcBorders>
              <w:top w:val="single" w:sz="4" w:space="0" w:color="000000"/>
              <w:left w:val="single" w:sz="4" w:space="0" w:color="000000"/>
              <w:bottom w:val="single" w:sz="4" w:space="0" w:color="000000"/>
            </w:tcBorders>
            <w:shd w:val="clear" w:color="auto" w:fill="auto"/>
          </w:tcPr>
          <w:p w14:paraId="0A45D6E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452554E"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r>
    </w:tbl>
    <w:p w14:paraId="5B9B2029" w14:textId="77777777" w:rsidR="00715351" w:rsidRPr="00CA7C54" w:rsidRDefault="00715351">
      <w:pPr>
        <w:rPr>
          <w:color w:val="000000" w:themeColor="text1"/>
        </w:rPr>
      </w:pPr>
      <w:r w:rsidRPr="00CA7C54">
        <w:rPr>
          <w:color w:val="000000" w:themeColor="text1"/>
        </w:rPr>
        <w:br w:type="page"/>
      </w:r>
    </w:p>
    <w:tbl>
      <w:tblPr>
        <w:tblStyle w:val="afffffffffffffffffffffffffffffffff2"/>
        <w:tblW w:w="94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268"/>
        <w:gridCol w:w="2410"/>
        <w:gridCol w:w="2552"/>
      </w:tblGrid>
      <w:tr w:rsidR="00CA7C54" w:rsidRPr="00CA7C54" w14:paraId="1AD56E6E" w14:textId="77777777" w:rsidTr="00AE25DB">
        <w:tc>
          <w:tcPr>
            <w:tcW w:w="9493" w:type="dxa"/>
            <w:gridSpan w:val="4"/>
            <w:tcBorders>
              <w:top w:val="nil"/>
              <w:left w:val="nil"/>
              <w:right w:val="nil"/>
            </w:tcBorders>
          </w:tcPr>
          <w:p w14:paraId="692DBDC0" w14:textId="77777777" w:rsidR="003A17BC" w:rsidRPr="00CA7C54" w:rsidRDefault="003A17BC" w:rsidP="003A17BC">
            <w:pPr>
              <w:pBdr>
                <w:top w:val="nil"/>
                <w:left w:val="nil"/>
                <w:bottom w:val="nil"/>
                <w:right w:val="nil"/>
                <w:between w:val="nil"/>
              </w:pBdr>
              <w:spacing w:before="0" w:line="216" w:lineRule="auto"/>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Г.5</w:t>
            </w:r>
          </w:p>
        </w:tc>
      </w:tr>
      <w:tr w:rsidR="00CA7C54" w:rsidRPr="00CA7C54" w14:paraId="557B1F8D" w14:textId="77777777" w:rsidTr="00AE25DB">
        <w:tc>
          <w:tcPr>
            <w:tcW w:w="2263" w:type="dxa"/>
            <w:vMerge w:val="restart"/>
            <w:vAlign w:val="center"/>
          </w:tcPr>
          <w:p w14:paraId="08FA3939"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Вага 1 м²</w:t>
            </w:r>
          </w:p>
          <w:p w14:paraId="0271E939"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огороджувальних</w:t>
            </w:r>
          </w:p>
          <w:p w14:paraId="670CD4F2" w14:textId="77777777" w:rsidR="003A17BC" w:rsidRPr="00CA7C54" w:rsidRDefault="003A17BC" w:rsidP="003A17BC">
            <w:pP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конструкцій, Н (кг)</w:t>
            </w:r>
          </w:p>
        </w:tc>
        <w:tc>
          <w:tcPr>
            <w:tcW w:w="72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522C51" w14:textId="77777777" w:rsidR="003A17BC" w:rsidRPr="00CA7C54" w:rsidRDefault="003A17BC" w:rsidP="003A17BC">
            <w:pPr>
              <w:pBdr>
                <w:top w:val="nil"/>
                <w:left w:val="nil"/>
                <w:bottom w:val="nil"/>
                <w:right w:val="nil"/>
                <w:between w:val="nil"/>
              </w:pBd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 xml:space="preserve">Кратність послаблення </w:t>
            </w:r>
            <w:r w:rsidRPr="00CA7C54">
              <w:rPr>
                <w:rFonts w:ascii="Arial" w:eastAsia="Arial" w:hAnsi="Arial" w:cs="Arial"/>
                <w:b/>
                <w:i/>
                <w:color w:val="000000" w:themeColor="text1"/>
                <w:sz w:val="21"/>
                <w:szCs w:val="21"/>
              </w:rPr>
              <w:t>γ</w:t>
            </w:r>
            <w:r w:rsidRPr="00CA7C54">
              <w:rPr>
                <w:rFonts w:ascii="Arial" w:eastAsia="Arial" w:hAnsi="Arial" w:cs="Arial"/>
                <w:b/>
                <w:color w:val="000000" w:themeColor="text1"/>
                <w:sz w:val="21"/>
                <w:szCs w:val="21"/>
              </w:rPr>
              <w:t>-випромінювання радіаційно зараженої місцевості</w:t>
            </w:r>
          </w:p>
        </w:tc>
      </w:tr>
      <w:tr w:rsidR="00CA7C54" w:rsidRPr="00CA7C54" w14:paraId="11DA34EA" w14:textId="77777777" w:rsidTr="00AE25DB">
        <w:tc>
          <w:tcPr>
            <w:tcW w:w="2263" w:type="dxa"/>
            <w:vMerge/>
            <w:vAlign w:val="center"/>
          </w:tcPr>
          <w:p w14:paraId="6F765570" w14:textId="77777777" w:rsidR="003A17BC" w:rsidRPr="00CA7C54" w:rsidRDefault="003A17BC" w:rsidP="003A17BC">
            <w:pPr>
              <w:spacing w:before="0" w:line="216" w:lineRule="auto"/>
              <w:ind w:firstLine="0"/>
              <w:contextualSpacing/>
              <w:jc w:val="center"/>
              <w:rPr>
                <w:color w:val="000000" w:themeColor="text1"/>
                <w:sz w:val="21"/>
                <w:szCs w:val="21"/>
              </w:rPr>
            </w:pPr>
          </w:p>
        </w:tc>
        <w:tc>
          <w:tcPr>
            <w:tcW w:w="2268" w:type="dxa"/>
            <w:tcBorders>
              <w:top w:val="single" w:sz="4" w:space="0" w:color="000000"/>
              <w:left w:val="single" w:sz="4" w:space="0" w:color="000000"/>
              <w:bottom w:val="single" w:sz="4" w:space="0" w:color="000000"/>
            </w:tcBorders>
            <w:shd w:val="clear" w:color="auto" w:fill="auto"/>
            <w:vAlign w:val="center"/>
          </w:tcPr>
          <w:p w14:paraId="29B89523"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стіною, К ст,</w:t>
            </w:r>
          </w:p>
          <w:p w14:paraId="293E257A"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(первинного</w:t>
            </w:r>
          </w:p>
          <w:p w14:paraId="503070EB" w14:textId="77777777" w:rsidR="003A17BC" w:rsidRPr="00CA7C54" w:rsidRDefault="003A17BC" w:rsidP="003A17BC">
            <w:pPr>
              <w:pBdr>
                <w:top w:val="nil"/>
                <w:left w:val="nil"/>
                <w:bottom w:val="nil"/>
                <w:right w:val="nil"/>
                <w:between w:val="nil"/>
              </w:pBd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випромінювання)</w:t>
            </w:r>
          </w:p>
        </w:tc>
        <w:tc>
          <w:tcPr>
            <w:tcW w:w="2410" w:type="dxa"/>
            <w:tcBorders>
              <w:top w:val="single" w:sz="4" w:space="0" w:color="000000"/>
              <w:left w:val="single" w:sz="4" w:space="0" w:color="000000"/>
              <w:bottom w:val="single" w:sz="4" w:space="0" w:color="000000"/>
            </w:tcBorders>
            <w:shd w:val="clear" w:color="auto" w:fill="auto"/>
            <w:vAlign w:val="center"/>
          </w:tcPr>
          <w:p w14:paraId="6D68B8AA"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перекриттям, К пер,</w:t>
            </w:r>
          </w:p>
          <w:p w14:paraId="65815508"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(первинного</w:t>
            </w:r>
          </w:p>
          <w:p w14:paraId="2DA7F6BD" w14:textId="77777777" w:rsidR="003A17BC" w:rsidRPr="00CA7C54" w:rsidRDefault="003A17BC" w:rsidP="003A17BC">
            <w:pPr>
              <w:pBdr>
                <w:top w:val="nil"/>
                <w:left w:val="nil"/>
                <w:bottom w:val="nil"/>
                <w:right w:val="nil"/>
                <w:between w:val="nil"/>
              </w:pBd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випромінювання)</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17A8B"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перекриттям підвалу,</w:t>
            </w:r>
          </w:p>
          <w:p w14:paraId="76B6DDB7"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К п, (вторинне</w:t>
            </w:r>
          </w:p>
          <w:p w14:paraId="6064B0A9" w14:textId="77777777" w:rsidR="003A17BC" w:rsidRPr="00CA7C54" w:rsidRDefault="003A17BC" w:rsidP="003A17BC">
            <w:pPr>
              <w:pBdr>
                <w:top w:val="nil"/>
                <w:left w:val="nil"/>
                <w:bottom w:val="nil"/>
                <w:right w:val="nil"/>
                <w:between w:val="nil"/>
              </w:pBd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випромінювання)</w:t>
            </w:r>
          </w:p>
        </w:tc>
      </w:tr>
      <w:tr w:rsidR="00CA7C54" w:rsidRPr="00CA7C54" w14:paraId="790CF5BF" w14:textId="77777777" w:rsidTr="00AE25DB">
        <w:tc>
          <w:tcPr>
            <w:tcW w:w="2263" w:type="dxa"/>
          </w:tcPr>
          <w:p w14:paraId="7B2CAF99"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5000 (500)</w:t>
            </w:r>
          </w:p>
        </w:tc>
        <w:tc>
          <w:tcPr>
            <w:tcW w:w="2268" w:type="dxa"/>
            <w:tcBorders>
              <w:top w:val="single" w:sz="4" w:space="0" w:color="000000"/>
              <w:left w:val="single" w:sz="4" w:space="0" w:color="000000"/>
              <w:bottom w:val="single" w:sz="4" w:space="0" w:color="000000"/>
            </w:tcBorders>
            <w:shd w:val="clear" w:color="auto" w:fill="auto"/>
          </w:tcPr>
          <w:p w14:paraId="7C59826E"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w:t>
            </w:r>
          </w:p>
        </w:tc>
        <w:tc>
          <w:tcPr>
            <w:tcW w:w="2410" w:type="dxa"/>
            <w:tcBorders>
              <w:top w:val="single" w:sz="4" w:space="0" w:color="000000"/>
              <w:left w:val="single" w:sz="4" w:space="0" w:color="000000"/>
              <w:bottom w:val="single" w:sz="4" w:space="0" w:color="000000"/>
            </w:tcBorders>
            <w:shd w:val="clear" w:color="auto" w:fill="auto"/>
          </w:tcPr>
          <w:p w14:paraId="10EDADED"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936093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160</w:t>
            </w:r>
          </w:p>
        </w:tc>
      </w:tr>
      <w:tr w:rsidR="00CA7C54" w:rsidRPr="00CA7C54" w14:paraId="270513D2" w14:textId="77777777" w:rsidTr="00AE25DB">
        <w:tc>
          <w:tcPr>
            <w:tcW w:w="2263" w:type="dxa"/>
          </w:tcPr>
          <w:p w14:paraId="013C8E03"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5500 (550)</w:t>
            </w:r>
          </w:p>
        </w:tc>
        <w:tc>
          <w:tcPr>
            <w:tcW w:w="2268" w:type="dxa"/>
            <w:tcBorders>
              <w:top w:val="single" w:sz="4" w:space="0" w:color="000000"/>
              <w:left w:val="single" w:sz="4" w:space="0" w:color="000000"/>
              <w:bottom w:val="single" w:sz="4" w:space="0" w:color="000000"/>
            </w:tcBorders>
            <w:shd w:val="clear" w:color="auto" w:fill="auto"/>
          </w:tcPr>
          <w:p w14:paraId="0B20B2AE"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w:t>
            </w:r>
          </w:p>
        </w:tc>
        <w:tc>
          <w:tcPr>
            <w:tcW w:w="2410" w:type="dxa"/>
            <w:tcBorders>
              <w:top w:val="single" w:sz="4" w:space="0" w:color="000000"/>
              <w:left w:val="single" w:sz="4" w:space="0" w:color="000000"/>
              <w:bottom w:val="single" w:sz="4" w:space="0" w:color="000000"/>
            </w:tcBorders>
            <w:shd w:val="clear" w:color="auto" w:fill="auto"/>
          </w:tcPr>
          <w:p w14:paraId="0073696D"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A019A7"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w:t>
            </w:r>
          </w:p>
        </w:tc>
      </w:tr>
      <w:tr w:rsidR="00CA7C54" w:rsidRPr="00CA7C54" w14:paraId="60A09127" w14:textId="77777777" w:rsidTr="00AE25DB">
        <w:tc>
          <w:tcPr>
            <w:tcW w:w="2263" w:type="dxa"/>
          </w:tcPr>
          <w:p w14:paraId="08D61517"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6000 (600)</w:t>
            </w:r>
          </w:p>
        </w:tc>
        <w:tc>
          <w:tcPr>
            <w:tcW w:w="2268" w:type="dxa"/>
            <w:tcBorders>
              <w:top w:val="single" w:sz="4" w:space="0" w:color="000000"/>
              <w:left w:val="single" w:sz="4" w:space="0" w:color="000000"/>
              <w:bottom w:val="single" w:sz="4" w:space="0" w:color="000000"/>
            </w:tcBorders>
            <w:shd w:val="clear" w:color="auto" w:fill="auto"/>
          </w:tcPr>
          <w:p w14:paraId="17F3D6DE"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w:t>
            </w:r>
          </w:p>
        </w:tc>
        <w:tc>
          <w:tcPr>
            <w:tcW w:w="2410" w:type="dxa"/>
            <w:tcBorders>
              <w:top w:val="single" w:sz="4" w:space="0" w:color="000000"/>
              <w:left w:val="single" w:sz="4" w:space="0" w:color="000000"/>
              <w:bottom w:val="single" w:sz="4" w:space="0" w:color="000000"/>
            </w:tcBorders>
            <w:shd w:val="clear" w:color="auto" w:fill="auto"/>
          </w:tcPr>
          <w:p w14:paraId="0086CF61"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ECE6FB7"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350</w:t>
            </w:r>
          </w:p>
        </w:tc>
      </w:tr>
      <w:tr w:rsidR="00CA7C54" w:rsidRPr="00CA7C54" w14:paraId="6CF45892" w14:textId="77777777" w:rsidTr="00AE25DB">
        <w:trPr>
          <w:trHeight w:val="316"/>
        </w:trPr>
        <w:tc>
          <w:tcPr>
            <w:tcW w:w="2263" w:type="dxa"/>
          </w:tcPr>
          <w:p w14:paraId="0AED6A06"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6500 (650)</w:t>
            </w:r>
          </w:p>
        </w:tc>
        <w:tc>
          <w:tcPr>
            <w:tcW w:w="2268" w:type="dxa"/>
            <w:tcBorders>
              <w:top w:val="single" w:sz="4" w:space="0" w:color="000000"/>
              <w:left w:val="single" w:sz="4" w:space="0" w:color="000000"/>
              <w:bottom w:val="single" w:sz="4" w:space="0" w:color="000000"/>
            </w:tcBorders>
            <w:shd w:val="clear" w:color="auto" w:fill="auto"/>
          </w:tcPr>
          <w:p w14:paraId="51092E63"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w:t>
            </w:r>
          </w:p>
        </w:tc>
        <w:tc>
          <w:tcPr>
            <w:tcW w:w="2410" w:type="dxa"/>
            <w:tcBorders>
              <w:top w:val="single" w:sz="4" w:space="0" w:color="000000"/>
              <w:left w:val="single" w:sz="4" w:space="0" w:color="000000"/>
              <w:bottom w:val="single" w:sz="4" w:space="0" w:color="000000"/>
            </w:tcBorders>
            <w:shd w:val="clear" w:color="auto" w:fill="auto"/>
          </w:tcPr>
          <w:p w14:paraId="68456D5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A81B472"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w:t>
            </w:r>
          </w:p>
        </w:tc>
      </w:tr>
      <w:tr w:rsidR="00CA7C54" w:rsidRPr="00CA7C54" w14:paraId="45CE0CA2" w14:textId="77777777" w:rsidTr="00AE25DB">
        <w:tc>
          <w:tcPr>
            <w:tcW w:w="2263" w:type="dxa"/>
          </w:tcPr>
          <w:p w14:paraId="74F6CD1A"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7000 (700)</w:t>
            </w:r>
          </w:p>
        </w:tc>
        <w:tc>
          <w:tcPr>
            <w:tcW w:w="2268" w:type="dxa"/>
            <w:tcBorders>
              <w:top w:val="single" w:sz="4" w:space="0" w:color="000000"/>
              <w:left w:val="single" w:sz="4" w:space="0" w:color="000000"/>
              <w:bottom w:val="single" w:sz="4" w:space="0" w:color="000000"/>
            </w:tcBorders>
            <w:shd w:val="clear" w:color="auto" w:fill="auto"/>
          </w:tcPr>
          <w:p w14:paraId="3B274639"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2410" w:type="dxa"/>
            <w:tcBorders>
              <w:top w:val="single" w:sz="4" w:space="0" w:color="000000"/>
              <w:left w:val="single" w:sz="4" w:space="0" w:color="000000"/>
              <w:bottom w:val="single" w:sz="4" w:space="0" w:color="000000"/>
            </w:tcBorders>
            <w:shd w:val="clear" w:color="auto" w:fill="auto"/>
          </w:tcPr>
          <w:p w14:paraId="6CBDC236"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D072B9"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800</w:t>
            </w:r>
          </w:p>
        </w:tc>
      </w:tr>
      <w:tr w:rsidR="00CA7C54" w:rsidRPr="00CA7C54" w14:paraId="202265BB" w14:textId="77777777" w:rsidTr="00AE25DB">
        <w:tc>
          <w:tcPr>
            <w:tcW w:w="2263" w:type="dxa"/>
          </w:tcPr>
          <w:p w14:paraId="0CC76C23"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8000 (800)</w:t>
            </w:r>
          </w:p>
        </w:tc>
        <w:tc>
          <w:tcPr>
            <w:tcW w:w="2268" w:type="dxa"/>
            <w:tcBorders>
              <w:top w:val="single" w:sz="4" w:space="0" w:color="000000"/>
              <w:left w:val="single" w:sz="4" w:space="0" w:color="000000"/>
              <w:bottom w:val="single" w:sz="4" w:space="0" w:color="000000"/>
            </w:tcBorders>
            <w:shd w:val="clear" w:color="auto" w:fill="auto"/>
          </w:tcPr>
          <w:p w14:paraId="598C208D"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tc>
        <w:tc>
          <w:tcPr>
            <w:tcW w:w="2410" w:type="dxa"/>
            <w:tcBorders>
              <w:top w:val="single" w:sz="4" w:space="0" w:color="000000"/>
              <w:left w:val="single" w:sz="4" w:space="0" w:color="000000"/>
              <w:bottom w:val="single" w:sz="4" w:space="0" w:color="000000"/>
            </w:tcBorders>
            <w:shd w:val="clear" w:color="auto" w:fill="auto"/>
          </w:tcPr>
          <w:p w14:paraId="6FC9B702"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7EB63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2000</w:t>
            </w:r>
          </w:p>
        </w:tc>
      </w:tr>
      <w:tr w:rsidR="00CA7C54" w:rsidRPr="00CA7C54" w14:paraId="7A9123F1" w14:textId="77777777" w:rsidTr="00AE25DB">
        <w:tc>
          <w:tcPr>
            <w:tcW w:w="2263" w:type="dxa"/>
          </w:tcPr>
          <w:p w14:paraId="62A57E6A"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9000 (900)</w:t>
            </w:r>
          </w:p>
        </w:tc>
        <w:tc>
          <w:tcPr>
            <w:tcW w:w="2268" w:type="dxa"/>
            <w:tcBorders>
              <w:top w:val="single" w:sz="4" w:space="0" w:color="000000"/>
              <w:left w:val="single" w:sz="4" w:space="0" w:color="000000"/>
              <w:bottom w:val="single" w:sz="4" w:space="0" w:color="000000"/>
            </w:tcBorders>
            <w:shd w:val="clear" w:color="auto" w:fill="auto"/>
          </w:tcPr>
          <w:p w14:paraId="01EF8D4A"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w:t>
            </w:r>
          </w:p>
        </w:tc>
        <w:tc>
          <w:tcPr>
            <w:tcW w:w="2410" w:type="dxa"/>
            <w:tcBorders>
              <w:top w:val="single" w:sz="4" w:space="0" w:color="000000"/>
              <w:left w:val="single" w:sz="4" w:space="0" w:color="000000"/>
              <w:bottom w:val="single" w:sz="4" w:space="0" w:color="000000"/>
            </w:tcBorders>
            <w:shd w:val="clear" w:color="auto" w:fill="auto"/>
          </w:tcPr>
          <w:p w14:paraId="5E0C0F1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ACFDC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4500</w:t>
            </w:r>
          </w:p>
        </w:tc>
      </w:tr>
      <w:tr w:rsidR="00CA7C54" w:rsidRPr="00CA7C54" w14:paraId="0B352129" w14:textId="77777777" w:rsidTr="00AE25DB">
        <w:tc>
          <w:tcPr>
            <w:tcW w:w="2263" w:type="dxa"/>
          </w:tcPr>
          <w:p w14:paraId="2D1CD488"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10000 (1000)</w:t>
            </w:r>
          </w:p>
        </w:tc>
        <w:tc>
          <w:tcPr>
            <w:tcW w:w="2268" w:type="dxa"/>
            <w:tcBorders>
              <w:top w:val="single" w:sz="4" w:space="0" w:color="000000"/>
              <w:left w:val="single" w:sz="4" w:space="0" w:color="000000"/>
              <w:bottom w:val="single" w:sz="4" w:space="0" w:color="000000"/>
            </w:tcBorders>
            <w:shd w:val="clear" w:color="auto" w:fill="auto"/>
          </w:tcPr>
          <w:p w14:paraId="4612222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w:t>
            </w:r>
          </w:p>
        </w:tc>
        <w:tc>
          <w:tcPr>
            <w:tcW w:w="2410" w:type="dxa"/>
            <w:tcBorders>
              <w:top w:val="single" w:sz="4" w:space="0" w:color="000000"/>
              <w:left w:val="single" w:sz="4" w:space="0" w:color="000000"/>
              <w:bottom w:val="single" w:sz="4" w:space="0" w:color="000000"/>
            </w:tcBorders>
            <w:shd w:val="clear" w:color="auto" w:fill="auto"/>
          </w:tcPr>
          <w:p w14:paraId="40B5D7BD"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B223AC4"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10000</w:t>
            </w:r>
          </w:p>
        </w:tc>
      </w:tr>
      <w:tr w:rsidR="00CA7C54" w:rsidRPr="00CA7C54" w14:paraId="15FC697E" w14:textId="77777777" w:rsidTr="00AE25DB">
        <w:tc>
          <w:tcPr>
            <w:tcW w:w="2263" w:type="dxa"/>
          </w:tcPr>
          <w:p w14:paraId="1045DEF7"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 (1100)</w:t>
            </w:r>
          </w:p>
        </w:tc>
        <w:tc>
          <w:tcPr>
            <w:tcW w:w="2268" w:type="dxa"/>
            <w:tcBorders>
              <w:top w:val="single" w:sz="4" w:space="0" w:color="000000"/>
              <w:left w:val="single" w:sz="4" w:space="0" w:color="000000"/>
              <w:bottom w:val="single" w:sz="4" w:space="0" w:color="000000"/>
            </w:tcBorders>
            <w:shd w:val="clear" w:color="auto" w:fill="auto"/>
          </w:tcPr>
          <w:p w14:paraId="63875EA1"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2000</w:t>
            </w:r>
          </w:p>
        </w:tc>
        <w:tc>
          <w:tcPr>
            <w:tcW w:w="2410" w:type="dxa"/>
            <w:tcBorders>
              <w:top w:val="single" w:sz="4" w:space="0" w:color="000000"/>
              <w:left w:val="single" w:sz="4" w:space="0" w:color="000000"/>
              <w:bottom w:val="single" w:sz="4" w:space="0" w:color="000000"/>
            </w:tcBorders>
            <w:shd w:val="clear" w:color="auto" w:fill="auto"/>
          </w:tcPr>
          <w:p w14:paraId="5B462978"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DB1B869"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4"/>
                <w:id w:val="-1927331546"/>
              </w:sdtPr>
              <w:sdtEndPr/>
              <w:sdtContent>
                <w:r w:rsidR="003A17BC" w:rsidRPr="00CA7C54">
                  <w:rPr>
                    <w:rFonts w:ascii="Arial" w:eastAsia="Arial Unicode MS" w:hAnsi="Arial" w:cs="Arial"/>
                    <w:color w:val="000000" w:themeColor="text1"/>
                    <w:sz w:val="21"/>
                    <w:szCs w:val="21"/>
                  </w:rPr>
                  <w:t>≥10⁴</w:t>
                </w:r>
              </w:sdtContent>
            </w:sdt>
          </w:p>
        </w:tc>
      </w:tr>
      <w:tr w:rsidR="00CA7C54" w:rsidRPr="00CA7C54" w14:paraId="5E2328EA" w14:textId="77777777" w:rsidTr="00AE25DB">
        <w:tc>
          <w:tcPr>
            <w:tcW w:w="2263" w:type="dxa"/>
          </w:tcPr>
          <w:p w14:paraId="0F67B5FB"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12000 (1200)</w:t>
            </w:r>
          </w:p>
        </w:tc>
        <w:tc>
          <w:tcPr>
            <w:tcW w:w="2268" w:type="dxa"/>
            <w:tcBorders>
              <w:top w:val="single" w:sz="4" w:space="0" w:color="000000"/>
              <w:left w:val="single" w:sz="4" w:space="0" w:color="000000"/>
              <w:bottom w:val="single" w:sz="4" w:space="0" w:color="000000"/>
            </w:tcBorders>
            <w:shd w:val="clear" w:color="auto" w:fill="auto"/>
          </w:tcPr>
          <w:p w14:paraId="18BD224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4000</w:t>
            </w:r>
          </w:p>
        </w:tc>
        <w:tc>
          <w:tcPr>
            <w:tcW w:w="2410" w:type="dxa"/>
            <w:tcBorders>
              <w:top w:val="single" w:sz="4" w:space="0" w:color="000000"/>
              <w:left w:val="single" w:sz="4" w:space="0" w:color="000000"/>
              <w:bottom w:val="single" w:sz="4" w:space="0" w:color="000000"/>
            </w:tcBorders>
            <w:shd w:val="clear" w:color="auto" w:fill="auto"/>
          </w:tcPr>
          <w:p w14:paraId="2AD9755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378034A"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5"/>
                <w:id w:val="-1456321693"/>
              </w:sdtPr>
              <w:sdtEndPr/>
              <w:sdtContent>
                <w:r w:rsidR="003A17BC" w:rsidRPr="00CA7C54">
                  <w:rPr>
                    <w:rFonts w:ascii="Arial" w:eastAsia="Arial Unicode MS" w:hAnsi="Arial" w:cs="Arial"/>
                    <w:color w:val="000000" w:themeColor="text1"/>
                    <w:sz w:val="21"/>
                    <w:szCs w:val="21"/>
                  </w:rPr>
                  <w:t>≥10⁴</w:t>
                </w:r>
              </w:sdtContent>
            </w:sdt>
          </w:p>
        </w:tc>
      </w:tr>
      <w:tr w:rsidR="00CA7C54" w:rsidRPr="00CA7C54" w14:paraId="4C6B6D91" w14:textId="77777777" w:rsidTr="00AE25DB">
        <w:trPr>
          <w:trHeight w:hRule="exact" w:val="397"/>
        </w:trPr>
        <w:tc>
          <w:tcPr>
            <w:tcW w:w="2263" w:type="dxa"/>
          </w:tcPr>
          <w:p w14:paraId="05E57CBE"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13000 (1300)</w:t>
            </w:r>
          </w:p>
        </w:tc>
        <w:tc>
          <w:tcPr>
            <w:tcW w:w="2268" w:type="dxa"/>
            <w:tcBorders>
              <w:top w:val="single" w:sz="4" w:space="0" w:color="000000"/>
              <w:left w:val="single" w:sz="4" w:space="0" w:color="000000"/>
              <w:bottom w:val="single" w:sz="4" w:space="0" w:color="000000"/>
            </w:tcBorders>
            <w:shd w:val="clear" w:color="auto" w:fill="auto"/>
          </w:tcPr>
          <w:p w14:paraId="4FEF2F6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8000</w:t>
            </w:r>
          </w:p>
        </w:tc>
        <w:tc>
          <w:tcPr>
            <w:tcW w:w="2410" w:type="dxa"/>
            <w:tcBorders>
              <w:top w:val="single" w:sz="4" w:space="0" w:color="000000"/>
              <w:left w:val="single" w:sz="4" w:space="0" w:color="000000"/>
              <w:bottom w:val="single" w:sz="4" w:space="0" w:color="000000"/>
            </w:tcBorders>
            <w:shd w:val="clear" w:color="auto" w:fill="auto"/>
          </w:tcPr>
          <w:p w14:paraId="25FB87D2"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D965C9B"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6"/>
                <w:id w:val="1886367909"/>
              </w:sdtPr>
              <w:sdtEndPr/>
              <w:sdtContent>
                <w:r w:rsidR="003A17BC" w:rsidRPr="00CA7C54">
                  <w:rPr>
                    <w:rFonts w:ascii="Arial" w:eastAsia="Arial Unicode MS" w:hAnsi="Arial" w:cs="Arial"/>
                    <w:color w:val="000000" w:themeColor="text1"/>
                    <w:sz w:val="21"/>
                    <w:szCs w:val="21"/>
                  </w:rPr>
                  <w:t>≥10⁴</w:t>
                </w:r>
              </w:sdtContent>
            </w:sdt>
          </w:p>
        </w:tc>
      </w:tr>
      <w:tr w:rsidR="00CA7C54" w:rsidRPr="00CA7C54" w14:paraId="2BC0AF63" w14:textId="77777777" w:rsidTr="00AE25DB">
        <w:tc>
          <w:tcPr>
            <w:tcW w:w="2263" w:type="dxa"/>
          </w:tcPr>
          <w:p w14:paraId="5057238C"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15000 (1500)</w:t>
            </w:r>
          </w:p>
        </w:tc>
        <w:tc>
          <w:tcPr>
            <w:tcW w:w="2268" w:type="dxa"/>
            <w:tcBorders>
              <w:top w:val="single" w:sz="4" w:space="0" w:color="000000"/>
              <w:left w:val="single" w:sz="4" w:space="0" w:color="000000"/>
              <w:bottom w:val="single" w:sz="4" w:space="0" w:color="000000"/>
            </w:tcBorders>
            <w:shd w:val="clear" w:color="auto" w:fill="auto"/>
          </w:tcPr>
          <w:p w14:paraId="39FBA3D3"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7"/>
                <w:id w:val="458152531"/>
              </w:sdtPr>
              <w:sdtEndPr/>
              <w:sdtContent>
                <w:r w:rsidR="003A17BC" w:rsidRPr="00CA7C54">
                  <w:rPr>
                    <w:rFonts w:ascii="Arial" w:eastAsia="Arial Unicode MS" w:hAnsi="Arial" w:cs="Arial"/>
                    <w:color w:val="000000" w:themeColor="text1"/>
                    <w:sz w:val="21"/>
                    <w:szCs w:val="21"/>
                  </w:rPr>
                  <w:t>≥10⁴</w:t>
                </w:r>
              </w:sdtContent>
            </w:sdt>
          </w:p>
        </w:tc>
        <w:tc>
          <w:tcPr>
            <w:tcW w:w="2410" w:type="dxa"/>
            <w:tcBorders>
              <w:top w:val="single" w:sz="4" w:space="0" w:color="000000"/>
              <w:left w:val="single" w:sz="4" w:space="0" w:color="000000"/>
              <w:bottom w:val="single" w:sz="4" w:space="0" w:color="000000"/>
            </w:tcBorders>
            <w:shd w:val="clear" w:color="auto" w:fill="auto"/>
          </w:tcPr>
          <w:p w14:paraId="05C8BA0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0969437"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8"/>
                <w:id w:val="-29027315"/>
              </w:sdtPr>
              <w:sdtEndPr/>
              <w:sdtContent>
                <w:r w:rsidR="003A17BC" w:rsidRPr="00CA7C54">
                  <w:rPr>
                    <w:rFonts w:ascii="Arial" w:eastAsia="Arial Unicode MS" w:hAnsi="Arial" w:cs="Arial"/>
                    <w:color w:val="000000" w:themeColor="text1"/>
                    <w:sz w:val="21"/>
                    <w:szCs w:val="21"/>
                  </w:rPr>
                  <w:t>≥10⁴</w:t>
                </w:r>
              </w:sdtContent>
            </w:sdt>
          </w:p>
        </w:tc>
      </w:tr>
      <w:tr w:rsidR="003A17BC" w:rsidRPr="00CA7C54" w14:paraId="3D1DF118" w14:textId="77777777" w:rsidTr="00AE25DB">
        <w:trPr>
          <w:trHeight w:val="630"/>
        </w:trPr>
        <w:tc>
          <w:tcPr>
            <w:tcW w:w="9493" w:type="dxa"/>
            <w:gridSpan w:val="4"/>
          </w:tcPr>
          <w:p w14:paraId="1A1545A8" w14:textId="77777777" w:rsidR="003A17BC" w:rsidRPr="00CA7C54" w:rsidRDefault="003A17BC" w:rsidP="003A17BC">
            <w:pPr>
              <w:spacing w:before="0" w:line="216" w:lineRule="auto"/>
              <w:ind w:firstLine="0"/>
              <w:contextualSpacing/>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w:t>
            </w:r>
            <w:r w:rsidRPr="00CA7C54">
              <w:rPr>
                <w:rFonts w:ascii="Arial" w:eastAsia="Arial" w:hAnsi="Arial" w:cs="Arial"/>
                <w:color w:val="000000" w:themeColor="text1"/>
                <w:sz w:val="20"/>
                <w:szCs w:val="20"/>
              </w:rPr>
              <w:t xml:space="preserve"> Для промiжних значень ваги 1 м.кв. огороджувальних конструкцiй коефiцiєнти </w:t>
            </w:r>
            <w:r w:rsidRPr="00CA7C54">
              <w:rPr>
                <w:rFonts w:ascii="Arial" w:eastAsia="Arial" w:hAnsi="Arial" w:cs="Arial"/>
                <w:b/>
                <w:color w:val="000000" w:themeColor="text1"/>
                <w:sz w:val="20"/>
                <w:szCs w:val="20"/>
              </w:rPr>
              <w:t>К</w:t>
            </w:r>
            <w:r w:rsidRPr="00CA7C54">
              <w:rPr>
                <w:rFonts w:ascii="Arial" w:eastAsia="Arial" w:hAnsi="Arial" w:cs="Arial"/>
                <w:b/>
                <w:color w:val="000000" w:themeColor="text1"/>
                <w:sz w:val="20"/>
                <w:szCs w:val="20"/>
                <w:vertAlign w:val="subscript"/>
              </w:rPr>
              <w:t>ст</w:t>
            </w:r>
            <w:r w:rsidRPr="00CA7C54">
              <w:rPr>
                <w:rFonts w:ascii="Arial" w:eastAsia="Arial" w:hAnsi="Arial" w:cs="Arial"/>
                <w:b/>
                <w:color w:val="000000" w:themeColor="text1"/>
                <w:sz w:val="20"/>
                <w:szCs w:val="20"/>
              </w:rPr>
              <w:t>,К</w:t>
            </w:r>
            <w:r w:rsidRPr="00CA7C54">
              <w:rPr>
                <w:rFonts w:ascii="Arial" w:eastAsia="Arial" w:hAnsi="Arial" w:cs="Arial"/>
                <w:b/>
                <w:color w:val="000000" w:themeColor="text1"/>
                <w:sz w:val="20"/>
                <w:szCs w:val="20"/>
                <w:vertAlign w:val="subscript"/>
              </w:rPr>
              <w:t>пер</w:t>
            </w:r>
            <w:r w:rsidRPr="00CA7C54">
              <w:rPr>
                <w:rFonts w:ascii="Arial" w:eastAsia="Arial" w:hAnsi="Arial" w:cs="Arial"/>
                <w:b/>
                <w:color w:val="000000" w:themeColor="text1"/>
                <w:sz w:val="20"/>
                <w:szCs w:val="20"/>
              </w:rPr>
              <w:t xml:space="preserve"> іК</w:t>
            </w:r>
            <w:r w:rsidRPr="00CA7C54">
              <w:rPr>
                <w:rFonts w:ascii="Arial" w:eastAsia="Arial" w:hAnsi="Arial" w:cs="Arial"/>
                <w:b/>
                <w:color w:val="000000" w:themeColor="text1"/>
                <w:sz w:val="20"/>
                <w:szCs w:val="20"/>
                <w:vertAlign w:val="subscript"/>
              </w:rPr>
              <w:t xml:space="preserve"> п</w:t>
            </w:r>
            <w:r w:rsidRPr="00CA7C54">
              <w:rPr>
                <w:rFonts w:ascii="Arial" w:eastAsia="Arial" w:hAnsi="Arial" w:cs="Arial"/>
                <w:color w:val="000000" w:themeColor="text1"/>
                <w:sz w:val="20"/>
                <w:szCs w:val="20"/>
              </w:rPr>
              <w:t>, слід приймати за iнтерполяцією.</w:t>
            </w:r>
          </w:p>
        </w:tc>
      </w:tr>
    </w:tbl>
    <w:p w14:paraId="40B70A9C" w14:textId="77777777" w:rsidR="005030EB" w:rsidRPr="00CA7C54" w:rsidRDefault="005030EB" w:rsidP="0091593A">
      <w:pPr>
        <w:pBdr>
          <w:top w:val="nil"/>
          <w:left w:val="nil"/>
          <w:bottom w:val="nil"/>
          <w:right w:val="nil"/>
          <w:between w:val="nil"/>
        </w:pBdr>
        <w:spacing w:before="0" w:line="216" w:lineRule="auto"/>
        <w:ind w:right="142"/>
        <w:contextualSpacing/>
        <w:rPr>
          <w:b/>
          <w:color w:val="000000" w:themeColor="text1"/>
          <w:sz w:val="21"/>
          <w:szCs w:val="21"/>
        </w:rPr>
      </w:pPr>
    </w:p>
    <w:p w14:paraId="491EDF95" w14:textId="77777777" w:rsidR="003C4E04" w:rsidRPr="00CA7C54" w:rsidRDefault="001E748C" w:rsidP="0091593A">
      <w:pPr>
        <w:pBdr>
          <w:top w:val="nil"/>
          <w:left w:val="nil"/>
          <w:bottom w:val="nil"/>
          <w:right w:val="nil"/>
          <w:between w:val="nil"/>
        </w:pBdr>
        <w:spacing w:before="0" w:line="216" w:lineRule="auto"/>
        <w:ind w:right="142"/>
        <w:contextualSpacing/>
        <w:rPr>
          <w:b/>
          <w:color w:val="000000" w:themeColor="text1"/>
          <w:sz w:val="21"/>
          <w:szCs w:val="21"/>
        </w:rPr>
      </w:pPr>
      <w:r w:rsidRPr="00CA7C54">
        <w:rPr>
          <w:b/>
          <w:color w:val="000000" w:themeColor="text1"/>
          <w:sz w:val="21"/>
          <w:szCs w:val="21"/>
        </w:rPr>
        <w:t>Таблиця Г.6</w:t>
      </w:r>
    </w:p>
    <w:tbl>
      <w:tblPr>
        <w:tblStyle w:val="afffffffffffffffffffffffffffffffff3"/>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2021"/>
        <w:gridCol w:w="820"/>
        <w:gridCol w:w="1134"/>
        <w:gridCol w:w="1134"/>
        <w:gridCol w:w="1134"/>
        <w:gridCol w:w="992"/>
        <w:gridCol w:w="1418"/>
      </w:tblGrid>
      <w:tr w:rsidR="00CA7C54" w:rsidRPr="00CA7C54" w14:paraId="75490571" w14:textId="77777777" w:rsidTr="00AE25DB">
        <w:trPr>
          <w:trHeight w:val="624"/>
          <w:tblHeader/>
        </w:trPr>
        <w:tc>
          <w:tcPr>
            <w:tcW w:w="840" w:type="dxa"/>
            <w:vMerge w:val="restart"/>
            <w:tcBorders>
              <w:top w:val="single" w:sz="4" w:space="0" w:color="000000"/>
              <w:left w:val="single" w:sz="4" w:space="0" w:color="000000"/>
              <w:bottom w:val="single" w:sz="4" w:space="0" w:color="000000"/>
            </w:tcBorders>
            <w:shd w:val="clear" w:color="auto" w:fill="auto"/>
            <w:vAlign w:val="center"/>
          </w:tcPr>
          <w:p w14:paraId="407439F6"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w:t>
            </w:r>
          </w:p>
          <w:p w14:paraId="45E05C3F"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з.п.</w:t>
            </w:r>
          </w:p>
        </w:tc>
        <w:tc>
          <w:tcPr>
            <w:tcW w:w="2021" w:type="dxa"/>
            <w:vMerge w:val="restart"/>
            <w:tcBorders>
              <w:top w:val="single" w:sz="4" w:space="0" w:color="000000"/>
              <w:left w:val="single" w:sz="4" w:space="0" w:color="000000"/>
              <w:bottom w:val="single" w:sz="4" w:space="0" w:color="000000"/>
            </w:tcBorders>
            <w:shd w:val="clear" w:color="auto" w:fill="auto"/>
            <w:vAlign w:val="center"/>
          </w:tcPr>
          <w:p w14:paraId="4B3FBA7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Висота приміщення, м</w:t>
            </w:r>
          </w:p>
        </w:tc>
        <w:tc>
          <w:tcPr>
            <w:tcW w:w="66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6E188C6"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 xml:space="preserve">Коефіцієнт </w:t>
            </w:r>
            <w:r w:rsidRPr="00CA7C54">
              <w:rPr>
                <w:rFonts w:ascii="Arial" w:eastAsia="Arial" w:hAnsi="Arial" w:cs="Arial"/>
                <w:color w:val="000000" w:themeColor="text1"/>
                <w:sz w:val="21"/>
                <w:szCs w:val="21"/>
              </w:rPr>
              <w:t>К</w:t>
            </w:r>
            <w:r w:rsidRPr="00CA7C54">
              <w:rPr>
                <w:rFonts w:ascii="Arial" w:eastAsia="Arial" w:hAnsi="Arial" w:cs="Arial"/>
                <w:color w:val="000000" w:themeColor="text1"/>
                <w:sz w:val="21"/>
                <w:szCs w:val="21"/>
                <w:vertAlign w:val="subscript"/>
              </w:rPr>
              <w:t xml:space="preserve">ш </w:t>
            </w:r>
            <w:r w:rsidRPr="00CA7C54">
              <w:rPr>
                <w:rFonts w:ascii="Arial" w:eastAsia="Arial" w:hAnsi="Arial" w:cs="Arial"/>
                <w:color w:val="000000" w:themeColor="text1"/>
                <w:sz w:val="21"/>
                <w:szCs w:val="21"/>
              </w:rPr>
              <w:t>таV</w:t>
            </w:r>
            <w:r w:rsidRPr="00CA7C54">
              <w:rPr>
                <w:rFonts w:ascii="Arial" w:eastAsia="Arial" w:hAnsi="Arial" w:cs="Arial"/>
                <w:color w:val="000000" w:themeColor="text1"/>
                <w:sz w:val="21"/>
                <w:szCs w:val="21"/>
                <w:vertAlign w:val="subscript"/>
              </w:rPr>
              <w:t>1</w:t>
            </w:r>
            <w:r w:rsidRPr="00CA7C54">
              <w:rPr>
                <w:rFonts w:ascii="Arial" w:eastAsia="Arial" w:hAnsi="Arial" w:cs="Arial"/>
                <w:b/>
                <w:color w:val="000000" w:themeColor="text1"/>
                <w:sz w:val="21"/>
                <w:szCs w:val="21"/>
              </w:rPr>
              <w:t xml:space="preserve"> та при ширині ПРУ чи СПП</w:t>
            </w:r>
          </w:p>
        </w:tc>
      </w:tr>
      <w:tr w:rsidR="00CA7C54" w:rsidRPr="00CA7C54" w14:paraId="018E25F2" w14:textId="77777777" w:rsidTr="00AE25DB">
        <w:trPr>
          <w:tblHeader/>
        </w:trPr>
        <w:tc>
          <w:tcPr>
            <w:tcW w:w="840" w:type="dxa"/>
            <w:vMerge/>
            <w:tcBorders>
              <w:top w:val="single" w:sz="4" w:space="0" w:color="000000"/>
              <w:left w:val="single" w:sz="4" w:space="0" w:color="000000"/>
              <w:bottom w:val="single" w:sz="4" w:space="0" w:color="000000"/>
            </w:tcBorders>
            <w:shd w:val="clear" w:color="auto" w:fill="auto"/>
            <w:vAlign w:val="center"/>
          </w:tcPr>
          <w:p w14:paraId="0D62C760"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021" w:type="dxa"/>
            <w:vMerge/>
            <w:tcBorders>
              <w:top w:val="single" w:sz="4" w:space="0" w:color="000000"/>
              <w:left w:val="single" w:sz="4" w:space="0" w:color="000000"/>
              <w:bottom w:val="single" w:sz="4" w:space="0" w:color="000000"/>
            </w:tcBorders>
            <w:shd w:val="clear" w:color="auto" w:fill="auto"/>
            <w:vAlign w:val="center"/>
          </w:tcPr>
          <w:p w14:paraId="21876327"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820" w:type="dxa"/>
            <w:tcBorders>
              <w:top w:val="single" w:sz="4" w:space="0" w:color="000000"/>
              <w:left w:val="single" w:sz="4" w:space="0" w:color="000000"/>
              <w:bottom w:val="single" w:sz="4" w:space="0" w:color="000000"/>
            </w:tcBorders>
            <w:shd w:val="clear" w:color="auto" w:fill="auto"/>
            <w:vAlign w:val="center"/>
          </w:tcPr>
          <w:p w14:paraId="61F3884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3</w:t>
            </w:r>
          </w:p>
        </w:tc>
        <w:tc>
          <w:tcPr>
            <w:tcW w:w="1134" w:type="dxa"/>
            <w:tcBorders>
              <w:top w:val="single" w:sz="4" w:space="0" w:color="000000"/>
              <w:left w:val="single" w:sz="4" w:space="0" w:color="000000"/>
              <w:bottom w:val="single" w:sz="4" w:space="0" w:color="000000"/>
            </w:tcBorders>
            <w:shd w:val="clear" w:color="auto" w:fill="auto"/>
            <w:vAlign w:val="center"/>
          </w:tcPr>
          <w:p w14:paraId="56BF5BE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6</w:t>
            </w:r>
          </w:p>
        </w:tc>
        <w:tc>
          <w:tcPr>
            <w:tcW w:w="1134" w:type="dxa"/>
            <w:tcBorders>
              <w:top w:val="single" w:sz="4" w:space="0" w:color="000000"/>
              <w:left w:val="single" w:sz="4" w:space="0" w:color="000000"/>
              <w:bottom w:val="single" w:sz="4" w:space="0" w:color="000000"/>
            </w:tcBorders>
            <w:shd w:val="clear" w:color="auto" w:fill="auto"/>
            <w:vAlign w:val="center"/>
          </w:tcPr>
          <w:p w14:paraId="0635F73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12</w:t>
            </w:r>
          </w:p>
        </w:tc>
        <w:tc>
          <w:tcPr>
            <w:tcW w:w="1134" w:type="dxa"/>
            <w:tcBorders>
              <w:top w:val="single" w:sz="4" w:space="0" w:color="000000"/>
              <w:left w:val="single" w:sz="4" w:space="0" w:color="000000"/>
              <w:bottom w:val="single" w:sz="4" w:space="0" w:color="000000"/>
            </w:tcBorders>
            <w:shd w:val="clear" w:color="auto" w:fill="auto"/>
            <w:vAlign w:val="center"/>
          </w:tcPr>
          <w:p w14:paraId="5F5A300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18</w:t>
            </w:r>
          </w:p>
        </w:tc>
        <w:tc>
          <w:tcPr>
            <w:tcW w:w="992" w:type="dxa"/>
            <w:tcBorders>
              <w:top w:val="single" w:sz="4" w:space="0" w:color="000000"/>
              <w:left w:val="single" w:sz="4" w:space="0" w:color="000000"/>
              <w:bottom w:val="single" w:sz="4" w:space="0" w:color="000000"/>
            </w:tcBorders>
            <w:shd w:val="clear" w:color="auto" w:fill="auto"/>
            <w:vAlign w:val="center"/>
          </w:tcPr>
          <w:p w14:paraId="21F1731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24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8ADBE" w14:textId="77777777" w:rsidR="003C4E04" w:rsidRPr="00CA7C54" w:rsidRDefault="00DC31F3"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9"/>
                <w:id w:val="-1876685829"/>
              </w:sdtPr>
              <w:sdtEndPr/>
              <w:sdtContent>
                <w:r w:rsidR="001E748C" w:rsidRPr="00CA7C54">
                  <w:rPr>
                    <w:rFonts w:ascii="Arial" w:eastAsia="Arial Unicode MS" w:hAnsi="Arial" w:cs="Arial"/>
                    <w:b/>
                    <w:color w:val="000000" w:themeColor="text1"/>
                    <w:sz w:val="21"/>
                    <w:szCs w:val="21"/>
                  </w:rPr>
                  <w:t>≥ 48</w:t>
                </w:r>
              </w:sdtContent>
            </w:sdt>
          </w:p>
        </w:tc>
      </w:tr>
      <w:tr w:rsidR="00CA7C54" w:rsidRPr="00CA7C54" w14:paraId="07FF7909" w14:textId="77777777" w:rsidTr="00AE25DB">
        <w:trPr>
          <w:tblHeader/>
        </w:trPr>
        <w:tc>
          <w:tcPr>
            <w:tcW w:w="9493" w:type="dxa"/>
            <w:gridSpan w:val="8"/>
            <w:tcBorders>
              <w:top w:val="single" w:sz="4" w:space="0" w:color="000000"/>
              <w:left w:val="single" w:sz="4" w:space="0" w:color="000000"/>
              <w:bottom w:val="single" w:sz="4" w:space="0" w:color="000000"/>
              <w:right w:val="single" w:sz="4" w:space="0" w:color="000000"/>
            </w:tcBorders>
            <w:shd w:val="clear" w:color="auto" w:fill="auto"/>
          </w:tcPr>
          <w:p w14:paraId="4552792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 xml:space="preserve">Коефіцієнт </w:t>
            </w:r>
            <w:r w:rsidRPr="00CA7C54">
              <w:rPr>
                <w:rFonts w:ascii="Arial" w:eastAsia="Arial" w:hAnsi="Arial" w:cs="Arial"/>
                <w:color w:val="000000" w:themeColor="text1"/>
                <w:sz w:val="21"/>
                <w:szCs w:val="21"/>
              </w:rPr>
              <w:t>К</w:t>
            </w:r>
            <w:r w:rsidRPr="00CA7C54">
              <w:rPr>
                <w:rFonts w:ascii="Arial" w:eastAsia="Arial" w:hAnsi="Arial" w:cs="Arial"/>
                <w:color w:val="000000" w:themeColor="text1"/>
                <w:sz w:val="21"/>
                <w:szCs w:val="21"/>
                <w:vertAlign w:val="subscript"/>
              </w:rPr>
              <w:t>ш</w:t>
            </w:r>
          </w:p>
        </w:tc>
      </w:tr>
      <w:tr w:rsidR="00CA7C54" w:rsidRPr="00CA7C54" w14:paraId="536F0073" w14:textId="77777777" w:rsidTr="00AE25DB">
        <w:tc>
          <w:tcPr>
            <w:tcW w:w="840" w:type="dxa"/>
            <w:tcBorders>
              <w:top w:val="single" w:sz="4" w:space="0" w:color="000000"/>
              <w:left w:val="single" w:sz="4" w:space="0" w:color="000000"/>
              <w:bottom w:val="single" w:sz="4" w:space="0" w:color="000000"/>
            </w:tcBorders>
            <w:shd w:val="clear" w:color="auto" w:fill="auto"/>
          </w:tcPr>
          <w:p w14:paraId="6ED30A5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021" w:type="dxa"/>
            <w:tcBorders>
              <w:top w:val="single" w:sz="4" w:space="0" w:color="000000"/>
              <w:left w:val="single" w:sz="4" w:space="0" w:color="000000"/>
              <w:bottom w:val="single" w:sz="4" w:space="0" w:color="000000"/>
            </w:tcBorders>
            <w:shd w:val="clear" w:color="auto" w:fill="auto"/>
          </w:tcPr>
          <w:p w14:paraId="31415F3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820" w:type="dxa"/>
            <w:tcBorders>
              <w:top w:val="single" w:sz="4" w:space="0" w:color="000000"/>
              <w:left w:val="single" w:sz="4" w:space="0" w:color="000000"/>
              <w:bottom w:val="single" w:sz="4" w:space="0" w:color="000000"/>
            </w:tcBorders>
            <w:shd w:val="clear" w:color="auto" w:fill="auto"/>
          </w:tcPr>
          <w:p w14:paraId="33ED805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0,06</w:t>
            </w:r>
          </w:p>
        </w:tc>
        <w:tc>
          <w:tcPr>
            <w:tcW w:w="1134" w:type="dxa"/>
            <w:tcBorders>
              <w:top w:val="single" w:sz="4" w:space="0" w:color="000000"/>
              <w:left w:val="single" w:sz="4" w:space="0" w:color="000000"/>
              <w:bottom w:val="single" w:sz="4" w:space="0" w:color="000000"/>
            </w:tcBorders>
            <w:shd w:val="clear" w:color="auto" w:fill="auto"/>
          </w:tcPr>
          <w:p w14:paraId="3961638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0,16</w:t>
            </w:r>
          </w:p>
        </w:tc>
        <w:tc>
          <w:tcPr>
            <w:tcW w:w="1134" w:type="dxa"/>
            <w:tcBorders>
              <w:top w:val="single" w:sz="4" w:space="0" w:color="000000"/>
              <w:left w:val="single" w:sz="4" w:space="0" w:color="000000"/>
              <w:bottom w:val="single" w:sz="4" w:space="0" w:color="000000"/>
            </w:tcBorders>
            <w:shd w:val="clear" w:color="auto" w:fill="auto"/>
          </w:tcPr>
          <w:p w14:paraId="6833BDF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0,24</w:t>
            </w:r>
          </w:p>
        </w:tc>
        <w:tc>
          <w:tcPr>
            <w:tcW w:w="1134" w:type="dxa"/>
            <w:tcBorders>
              <w:top w:val="single" w:sz="4" w:space="0" w:color="000000"/>
              <w:left w:val="single" w:sz="4" w:space="0" w:color="000000"/>
              <w:bottom w:val="single" w:sz="4" w:space="0" w:color="000000"/>
            </w:tcBorders>
            <w:shd w:val="clear" w:color="auto" w:fill="auto"/>
          </w:tcPr>
          <w:p w14:paraId="240B354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992" w:type="dxa"/>
            <w:tcBorders>
              <w:top w:val="single" w:sz="4" w:space="0" w:color="000000"/>
              <w:left w:val="single" w:sz="4" w:space="0" w:color="000000"/>
              <w:bottom w:val="single" w:sz="4" w:space="0" w:color="000000"/>
            </w:tcBorders>
            <w:shd w:val="clear" w:color="auto" w:fill="auto"/>
          </w:tcPr>
          <w:p w14:paraId="5D078D0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BA342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w:t>
            </w:r>
          </w:p>
        </w:tc>
      </w:tr>
      <w:tr w:rsidR="00CA7C54" w:rsidRPr="00CA7C54" w14:paraId="62AD30AE" w14:textId="77777777" w:rsidTr="00AE25DB">
        <w:tc>
          <w:tcPr>
            <w:tcW w:w="9493" w:type="dxa"/>
            <w:gridSpan w:val="8"/>
            <w:tcBorders>
              <w:top w:val="single" w:sz="4" w:space="0" w:color="000000"/>
              <w:left w:val="single" w:sz="4" w:space="0" w:color="000000"/>
              <w:bottom w:val="single" w:sz="4" w:space="0" w:color="000000"/>
              <w:right w:val="single" w:sz="4" w:space="0" w:color="000000"/>
            </w:tcBorders>
            <w:shd w:val="clear" w:color="auto" w:fill="auto"/>
          </w:tcPr>
          <w:p w14:paraId="64711E8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 xml:space="preserve">Коефіцієнт </w:t>
            </w:r>
            <w:r w:rsidRPr="00CA7C54">
              <w:rPr>
                <w:rFonts w:ascii="Arial" w:eastAsia="Arial" w:hAnsi="Arial" w:cs="Arial"/>
                <w:color w:val="000000" w:themeColor="text1"/>
                <w:sz w:val="21"/>
                <w:szCs w:val="21"/>
              </w:rPr>
              <w:t>V</w:t>
            </w:r>
            <w:r w:rsidRPr="00CA7C54">
              <w:rPr>
                <w:rFonts w:ascii="Arial" w:eastAsia="Arial" w:hAnsi="Arial" w:cs="Arial"/>
                <w:color w:val="000000" w:themeColor="text1"/>
                <w:sz w:val="21"/>
                <w:szCs w:val="21"/>
                <w:vertAlign w:val="subscript"/>
              </w:rPr>
              <w:t>1</w:t>
            </w:r>
          </w:p>
        </w:tc>
      </w:tr>
      <w:tr w:rsidR="00CA7C54" w:rsidRPr="00CA7C54" w14:paraId="673E4230" w14:textId="77777777" w:rsidTr="00AE25DB">
        <w:tc>
          <w:tcPr>
            <w:tcW w:w="840" w:type="dxa"/>
            <w:tcBorders>
              <w:top w:val="single" w:sz="4" w:space="0" w:color="000000"/>
              <w:left w:val="single" w:sz="4" w:space="0" w:color="000000"/>
              <w:bottom w:val="single" w:sz="4" w:space="0" w:color="000000"/>
            </w:tcBorders>
            <w:shd w:val="clear" w:color="auto" w:fill="auto"/>
          </w:tcPr>
          <w:p w14:paraId="293164E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021" w:type="dxa"/>
            <w:tcBorders>
              <w:top w:val="single" w:sz="4" w:space="0" w:color="000000"/>
              <w:left w:val="single" w:sz="4" w:space="0" w:color="000000"/>
              <w:bottom w:val="single" w:sz="4" w:space="0" w:color="000000"/>
            </w:tcBorders>
            <w:shd w:val="clear" w:color="auto" w:fill="auto"/>
          </w:tcPr>
          <w:p w14:paraId="66F95FD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820" w:type="dxa"/>
            <w:tcBorders>
              <w:top w:val="single" w:sz="4" w:space="0" w:color="000000"/>
              <w:left w:val="single" w:sz="4" w:space="0" w:color="000000"/>
              <w:bottom w:val="single" w:sz="4" w:space="0" w:color="000000"/>
            </w:tcBorders>
            <w:shd w:val="clear" w:color="auto" w:fill="auto"/>
          </w:tcPr>
          <w:p w14:paraId="07DDA39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0,06</w:t>
            </w:r>
          </w:p>
        </w:tc>
        <w:tc>
          <w:tcPr>
            <w:tcW w:w="1134" w:type="dxa"/>
            <w:tcBorders>
              <w:top w:val="single" w:sz="4" w:space="0" w:color="000000"/>
              <w:left w:val="single" w:sz="4" w:space="0" w:color="000000"/>
              <w:bottom w:val="single" w:sz="4" w:space="0" w:color="000000"/>
            </w:tcBorders>
            <w:shd w:val="clear" w:color="auto" w:fill="auto"/>
          </w:tcPr>
          <w:p w14:paraId="5CDA1A2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0,16</w:t>
            </w:r>
          </w:p>
        </w:tc>
        <w:tc>
          <w:tcPr>
            <w:tcW w:w="1134" w:type="dxa"/>
            <w:tcBorders>
              <w:top w:val="single" w:sz="4" w:space="0" w:color="000000"/>
              <w:left w:val="single" w:sz="4" w:space="0" w:color="000000"/>
              <w:bottom w:val="single" w:sz="4" w:space="0" w:color="000000"/>
            </w:tcBorders>
            <w:shd w:val="clear" w:color="auto" w:fill="auto"/>
          </w:tcPr>
          <w:p w14:paraId="3629D70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0,24</w:t>
            </w:r>
          </w:p>
        </w:tc>
        <w:tc>
          <w:tcPr>
            <w:tcW w:w="1134" w:type="dxa"/>
            <w:tcBorders>
              <w:top w:val="single" w:sz="4" w:space="0" w:color="000000"/>
              <w:left w:val="single" w:sz="4" w:space="0" w:color="000000"/>
              <w:bottom w:val="single" w:sz="4" w:space="0" w:color="000000"/>
            </w:tcBorders>
            <w:shd w:val="clear" w:color="auto" w:fill="auto"/>
          </w:tcPr>
          <w:p w14:paraId="7E2C173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992" w:type="dxa"/>
            <w:tcBorders>
              <w:top w:val="single" w:sz="4" w:space="0" w:color="000000"/>
              <w:left w:val="single" w:sz="4" w:space="0" w:color="000000"/>
              <w:bottom w:val="single" w:sz="4" w:space="0" w:color="000000"/>
            </w:tcBorders>
            <w:shd w:val="clear" w:color="auto" w:fill="auto"/>
          </w:tcPr>
          <w:p w14:paraId="7C837EB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A1BF8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w:t>
            </w:r>
          </w:p>
        </w:tc>
      </w:tr>
      <w:tr w:rsidR="00CA7C54" w:rsidRPr="00CA7C54" w14:paraId="2AB6A1A3" w14:textId="77777777" w:rsidTr="00AE25DB">
        <w:tc>
          <w:tcPr>
            <w:tcW w:w="840" w:type="dxa"/>
            <w:tcBorders>
              <w:top w:val="single" w:sz="4" w:space="0" w:color="000000"/>
              <w:left w:val="single" w:sz="4" w:space="0" w:color="000000"/>
              <w:bottom w:val="single" w:sz="4" w:space="0" w:color="000000"/>
            </w:tcBorders>
            <w:shd w:val="clear" w:color="auto" w:fill="auto"/>
          </w:tcPr>
          <w:p w14:paraId="5A7E0D9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021" w:type="dxa"/>
            <w:tcBorders>
              <w:top w:val="single" w:sz="4" w:space="0" w:color="000000"/>
              <w:left w:val="single" w:sz="4" w:space="0" w:color="000000"/>
              <w:bottom w:val="single" w:sz="4" w:space="0" w:color="000000"/>
            </w:tcBorders>
            <w:shd w:val="clear" w:color="auto" w:fill="auto"/>
          </w:tcPr>
          <w:p w14:paraId="30DC581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p>
        </w:tc>
        <w:tc>
          <w:tcPr>
            <w:tcW w:w="820" w:type="dxa"/>
            <w:tcBorders>
              <w:top w:val="single" w:sz="4" w:space="0" w:color="000000"/>
              <w:left w:val="single" w:sz="4" w:space="0" w:color="000000"/>
              <w:bottom w:val="single" w:sz="4" w:space="0" w:color="000000"/>
            </w:tcBorders>
            <w:shd w:val="clear" w:color="auto" w:fill="auto"/>
          </w:tcPr>
          <w:p w14:paraId="102D067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0,04</w:t>
            </w:r>
          </w:p>
        </w:tc>
        <w:tc>
          <w:tcPr>
            <w:tcW w:w="1134" w:type="dxa"/>
            <w:tcBorders>
              <w:top w:val="single" w:sz="4" w:space="0" w:color="000000"/>
              <w:left w:val="single" w:sz="4" w:space="0" w:color="000000"/>
              <w:bottom w:val="single" w:sz="4" w:space="0" w:color="000000"/>
            </w:tcBorders>
            <w:shd w:val="clear" w:color="auto" w:fill="auto"/>
          </w:tcPr>
          <w:p w14:paraId="2A5E947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0,09</w:t>
            </w:r>
          </w:p>
        </w:tc>
        <w:tc>
          <w:tcPr>
            <w:tcW w:w="1134" w:type="dxa"/>
            <w:tcBorders>
              <w:top w:val="single" w:sz="4" w:space="0" w:color="000000"/>
              <w:left w:val="single" w:sz="4" w:space="0" w:color="000000"/>
              <w:bottom w:val="single" w:sz="4" w:space="0" w:color="000000"/>
            </w:tcBorders>
            <w:shd w:val="clear" w:color="auto" w:fill="auto"/>
          </w:tcPr>
          <w:p w14:paraId="097390A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0,19</w:t>
            </w:r>
          </w:p>
        </w:tc>
        <w:tc>
          <w:tcPr>
            <w:tcW w:w="1134" w:type="dxa"/>
            <w:tcBorders>
              <w:top w:val="single" w:sz="4" w:space="0" w:color="000000"/>
              <w:left w:val="single" w:sz="4" w:space="0" w:color="000000"/>
              <w:bottom w:val="single" w:sz="4" w:space="0" w:color="000000"/>
            </w:tcBorders>
            <w:shd w:val="clear" w:color="auto" w:fill="auto"/>
          </w:tcPr>
          <w:p w14:paraId="317FFE5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0,27</w:t>
            </w:r>
          </w:p>
        </w:tc>
        <w:tc>
          <w:tcPr>
            <w:tcW w:w="992" w:type="dxa"/>
            <w:tcBorders>
              <w:top w:val="single" w:sz="4" w:space="0" w:color="000000"/>
              <w:left w:val="single" w:sz="4" w:space="0" w:color="000000"/>
              <w:bottom w:val="single" w:sz="4" w:space="0" w:color="000000"/>
            </w:tcBorders>
            <w:shd w:val="clear" w:color="auto" w:fill="auto"/>
          </w:tcPr>
          <w:p w14:paraId="164D8D5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337FB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0,47</w:t>
            </w:r>
          </w:p>
        </w:tc>
      </w:tr>
      <w:tr w:rsidR="00CA7C54" w:rsidRPr="00CA7C54" w14:paraId="337E15A7" w14:textId="77777777" w:rsidTr="00AE25DB">
        <w:tc>
          <w:tcPr>
            <w:tcW w:w="840" w:type="dxa"/>
            <w:tcBorders>
              <w:top w:val="single" w:sz="4" w:space="0" w:color="000000"/>
              <w:left w:val="single" w:sz="4" w:space="0" w:color="000000"/>
              <w:bottom w:val="single" w:sz="4" w:space="0" w:color="000000"/>
            </w:tcBorders>
            <w:shd w:val="clear" w:color="auto" w:fill="auto"/>
          </w:tcPr>
          <w:p w14:paraId="3B63B91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p>
        </w:tc>
        <w:tc>
          <w:tcPr>
            <w:tcW w:w="2021" w:type="dxa"/>
            <w:tcBorders>
              <w:top w:val="single" w:sz="4" w:space="0" w:color="000000"/>
              <w:left w:val="single" w:sz="4" w:space="0" w:color="000000"/>
              <w:bottom w:val="single" w:sz="4" w:space="0" w:color="000000"/>
            </w:tcBorders>
            <w:shd w:val="clear" w:color="auto" w:fill="auto"/>
          </w:tcPr>
          <w:p w14:paraId="7BC171A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c>
          <w:tcPr>
            <w:tcW w:w="820" w:type="dxa"/>
            <w:tcBorders>
              <w:top w:val="single" w:sz="4" w:space="0" w:color="000000"/>
              <w:left w:val="single" w:sz="4" w:space="0" w:color="000000"/>
              <w:bottom w:val="single" w:sz="4" w:space="0" w:color="000000"/>
            </w:tcBorders>
            <w:shd w:val="clear" w:color="auto" w:fill="auto"/>
          </w:tcPr>
          <w:p w14:paraId="47316DD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0,02</w:t>
            </w:r>
          </w:p>
        </w:tc>
        <w:tc>
          <w:tcPr>
            <w:tcW w:w="1134" w:type="dxa"/>
            <w:tcBorders>
              <w:top w:val="single" w:sz="4" w:space="0" w:color="000000"/>
              <w:left w:val="single" w:sz="4" w:space="0" w:color="000000"/>
              <w:bottom w:val="single" w:sz="4" w:space="0" w:color="000000"/>
            </w:tcBorders>
            <w:shd w:val="clear" w:color="auto" w:fill="auto"/>
          </w:tcPr>
          <w:p w14:paraId="4E4F425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0,03</w:t>
            </w:r>
          </w:p>
        </w:tc>
        <w:tc>
          <w:tcPr>
            <w:tcW w:w="1134" w:type="dxa"/>
            <w:tcBorders>
              <w:top w:val="single" w:sz="4" w:space="0" w:color="000000"/>
              <w:left w:val="single" w:sz="4" w:space="0" w:color="000000"/>
              <w:bottom w:val="single" w:sz="4" w:space="0" w:color="000000"/>
            </w:tcBorders>
            <w:shd w:val="clear" w:color="auto" w:fill="auto"/>
          </w:tcPr>
          <w:p w14:paraId="51B10C2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0,09</w:t>
            </w:r>
          </w:p>
        </w:tc>
        <w:tc>
          <w:tcPr>
            <w:tcW w:w="1134" w:type="dxa"/>
            <w:tcBorders>
              <w:top w:val="single" w:sz="4" w:space="0" w:color="000000"/>
              <w:left w:val="single" w:sz="4" w:space="0" w:color="000000"/>
              <w:bottom w:val="single" w:sz="4" w:space="0" w:color="000000"/>
            </w:tcBorders>
            <w:shd w:val="clear" w:color="auto" w:fill="auto"/>
          </w:tcPr>
          <w:p w14:paraId="102AFF8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0,16</w:t>
            </w:r>
          </w:p>
        </w:tc>
        <w:tc>
          <w:tcPr>
            <w:tcW w:w="992" w:type="dxa"/>
            <w:tcBorders>
              <w:top w:val="single" w:sz="4" w:space="0" w:color="000000"/>
              <w:left w:val="single" w:sz="4" w:space="0" w:color="000000"/>
              <w:bottom w:val="single" w:sz="4" w:space="0" w:color="000000"/>
            </w:tcBorders>
            <w:shd w:val="clear" w:color="auto" w:fill="auto"/>
          </w:tcPr>
          <w:p w14:paraId="5C99474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4FCD2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0,34</w:t>
            </w:r>
          </w:p>
        </w:tc>
      </w:tr>
      <w:tr w:rsidR="00CA7C54" w:rsidRPr="00CA7C54" w14:paraId="0DDFACC2" w14:textId="77777777" w:rsidTr="00AE25DB">
        <w:tc>
          <w:tcPr>
            <w:tcW w:w="840" w:type="dxa"/>
            <w:tcBorders>
              <w:top w:val="single" w:sz="4" w:space="0" w:color="000000"/>
              <w:left w:val="single" w:sz="4" w:space="0" w:color="000000"/>
              <w:bottom w:val="single" w:sz="4" w:space="0" w:color="000000"/>
            </w:tcBorders>
            <w:shd w:val="clear" w:color="auto" w:fill="auto"/>
          </w:tcPr>
          <w:p w14:paraId="0711826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w:t>
            </w:r>
          </w:p>
        </w:tc>
        <w:tc>
          <w:tcPr>
            <w:tcW w:w="2021" w:type="dxa"/>
            <w:tcBorders>
              <w:top w:val="single" w:sz="4" w:space="0" w:color="000000"/>
              <w:left w:val="single" w:sz="4" w:space="0" w:color="000000"/>
              <w:bottom w:val="single" w:sz="4" w:space="0" w:color="000000"/>
            </w:tcBorders>
            <w:shd w:val="clear" w:color="auto" w:fill="auto"/>
          </w:tcPr>
          <w:p w14:paraId="45C4A85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820" w:type="dxa"/>
            <w:tcBorders>
              <w:top w:val="single" w:sz="4" w:space="0" w:color="000000"/>
              <w:left w:val="single" w:sz="4" w:space="0" w:color="000000"/>
              <w:bottom w:val="single" w:sz="4" w:space="0" w:color="000000"/>
            </w:tcBorders>
            <w:shd w:val="clear" w:color="auto" w:fill="auto"/>
          </w:tcPr>
          <w:p w14:paraId="247B2CA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0,01</w:t>
            </w:r>
          </w:p>
        </w:tc>
        <w:tc>
          <w:tcPr>
            <w:tcW w:w="1134" w:type="dxa"/>
            <w:tcBorders>
              <w:top w:val="single" w:sz="4" w:space="0" w:color="000000"/>
              <w:left w:val="single" w:sz="4" w:space="0" w:color="000000"/>
              <w:bottom w:val="single" w:sz="4" w:space="0" w:color="000000"/>
            </w:tcBorders>
            <w:shd w:val="clear" w:color="auto" w:fill="auto"/>
          </w:tcPr>
          <w:p w14:paraId="246C159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0,02</w:t>
            </w:r>
          </w:p>
        </w:tc>
        <w:tc>
          <w:tcPr>
            <w:tcW w:w="1134" w:type="dxa"/>
            <w:tcBorders>
              <w:top w:val="single" w:sz="4" w:space="0" w:color="000000"/>
              <w:left w:val="single" w:sz="4" w:space="0" w:color="000000"/>
              <w:bottom w:val="single" w:sz="4" w:space="0" w:color="000000"/>
            </w:tcBorders>
            <w:shd w:val="clear" w:color="auto" w:fill="auto"/>
          </w:tcPr>
          <w:p w14:paraId="6184704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0,05</w:t>
            </w:r>
          </w:p>
        </w:tc>
        <w:tc>
          <w:tcPr>
            <w:tcW w:w="1134" w:type="dxa"/>
            <w:tcBorders>
              <w:top w:val="single" w:sz="4" w:space="0" w:color="000000"/>
              <w:left w:val="single" w:sz="4" w:space="0" w:color="000000"/>
              <w:bottom w:val="single" w:sz="4" w:space="0" w:color="000000"/>
            </w:tcBorders>
            <w:shd w:val="clear" w:color="auto" w:fill="auto"/>
          </w:tcPr>
          <w:p w14:paraId="30D3753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0,06</w:t>
            </w:r>
          </w:p>
        </w:tc>
        <w:tc>
          <w:tcPr>
            <w:tcW w:w="992" w:type="dxa"/>
            <w:tcBorders>
              <w:top w:val="single" w:sz="4" w:space="0" w:color="000000"/>
              <w:left w:val="single" w:sz="4" w:space="0" w:color="000000"/>
              <w:bottom w:val="single" w:sz="4" w:space="0" w:color="000000"/>
            </w:tcBorders>
            <w:shd w:val="clear" w:color="auto" w:fill="auto"/>
          </w:tcPr>
          <w:p w14:paraId="3B454FC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13062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0,15</w:t>
            </w:r>
          </w:p>
        </w:tc>
      </w:tr>
      <w:tr w:rsidR="003C4E04" w:rsidRPr="00CA7C54" w14:paraId="0A5ADB1B" w14:textId="77777777" w:rsidTr="00302348">
        <w:trPr>
          <w:trHeight w:val="591"/>
        </w:trPr>
        <w:tc>
          <w:tcPr>
            <w:tcW w:w="9493" w:type="dxa"/>
            <w:gridSpan w:val="8"/>
            <w:tcBorders>
              <w:top w:val="single" w:sz="4" w:space="0" w:color="000000"/>
              <w:left w:val="single" w:sz="4" w:space="0" w:color="000000"/>
              <w:bottom w:val="single" w:sz="4" w:space="0" w:color="000000"/>
              <w:right w:val="single" w:sz="4" w:space="0" w:color="000000"/>
            </w:tcBorders>
            <w:shd w:val="clear" w:color="auto" w:fill="auto"/>
          </w:tcPr>
          <w:p w14:paraId="58F356EE"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w:t>
            </w:r>
            <w:r w:rsidRPr="00CA7C54">
              <w:rPr>
                <w:rFonts w:ascii="Arial" w:eastAsia="Arial" w:hAnsi="Arial" w:cs="Arial"/>
                <w:color w:val="000000" w:themeColor="text1"/>
                <w:sz w:val="20"/>
                <w:szCs w:val="20"/>
              </w:rPr>
              <w:t xml:space="preserve"> Для промiжних значень ширини та висоти ПРУ чи СПП коефiцiєнт</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ш</w:t>
            </w:r>
            <w:r w:rsidRPr="00CA7C54">
              <w:rPr>
                <w:rFonts w:ascii="Arial" w:eastAsia="Arial" w:hAnsi="Arial" w:cs="Arial"/>
                <w:color w:val="000000" w:themeColor="text1"/>
                <w:sz w:val="20"/>
                <w:szCs w:val="20"/>
              </w:rPr>
              <w:t>та</w:t>
            </w:r>
            <w:r w:rsidRPr="00CA7C54">
              <w:rPr>
                <w:rFonts w:ascii="Arial" w:eastAsia="Arial" w:hAnsi="Arial" w:cs="Arial"/>
                <w:i/>
                <w:color w:val="000000" w:themeColor="text1"/>
                <w:sz w:val="20"/>
                <w:szCs w:val="20"/>
              </w:rPr>
              <w:t>V</w:t>
            </w:r>
            <w:r w:rsidRPr="00CA7C54">
              <w:rPr>
                <w:rFonts w:ascii="Arial" w:eastAsia="Arial" w:hAnsi="Arial" w:cs="Arial"/>
                <w:i/>
                <w:color w:val="000000" w:themeColor="text1"/>
                <w:sz w:val="20"/>
                <w:szCs w:val="20"/>
                <w:vertAlign w:val="subscript"/>
              </w:rPr>
              <w:t>1</w:t>
            </w:r>
            <w:r w:rsidRPr="00CA7C54">
              <w:rPr>
                <w:rFonts w:ascii="Arial" w:eastAsia="Arial" w:hAnsi="Arial" w:cs="Arial"/>
                <w:color w:val="000000" w:themeColor="text1"/>
                <w:sz w:val="20"/>
                <w:szCs w:val="20"/>
              </w:rPr>
              <w:t xml:space="preserve"> приймається за інтерполяцією</w:t>
            </w:r>
            <w:r w:rsidR="00302348">
              <w:rPr>
                <w:rFonts w:ascii="Arial" w:eastAsia="Arial" w:hAnsi="Arial" w:cs="Arial"/>
                <w:color w:val="000000" w:themeColor="text1"/>
                <w:sz w:val="20"/>
                <w:szCs w:val="20"/>
              </w:rPr>
              <w:t>.</w:t>
            </w:r>
          </w:p>
        </w:tc>
      </w:tr>
    </w:tbl>
    <w:p w14:paraId="5A944AD6" w14:textId="77777777" w:rsidR="00A94F64" w:rsidRPr="00CA7C54" w:rsidRDefault="00A94F64" w:rsidP="003B320F">
      <w:pPr>
        <w:pBdr>
          <w:top w:val="nil"/>
          <w:left w:val="nil"/>
          <w:bottom w:val="nil"/>
          <w:right w:val="nil"/>
          <w:between w:val="nil"/>
        </w:pBdr>
        <w:spacing w:before="0" w:line="288" w:lineRule="auto"/>
        <w:ind w:right="142"/>
        <w:contextualSpacing/>
        <w:rPr>
          <w:b/>
          <w:color w:val="000000" w:themeColor="text1"/>
          <w:sz w:val="21"/>
          <w:szCs w:val="21"/>
        </w:rPr>
      </w:pPr>
    </w:p>
    <w:p w14:paraId="0607DE25" w14:textId="77777777" w:rsidR="003C4E04" w:rsidRPr="00CA7C54" w:rsidRDefault="001E748C" w:rsidP="003B320F">
      <w:pPr>
        <w:pBdr>
          <w:top w:val="nil"/>
          <w:left w:val="nil"/>
          <w:bottom w:val="nil"/>
          <w:right w:val="nil"/>
          <w:between w:val="nil"/>
        </w:pBdr>
        <w:spacing w:before="0" w:line="288" w:lineRule="auto"/>
        <w:ind w:right="142"/>
        <w:contextualSpacing/>
        <w:rPr>
          <w:b/>
          <w:color w:val="000000" w:themeColor="text1"/>
          <w:sz w:val="21"/>
          <w:szCs w:val="21"/>
        </w:rPr>
      </w:pPr>
      <w:r w:rsidRPr="00CA7C54">
        <w:rPr>
          <w:b/>
          <w:color w:val="000000" w:themeColor="text1"/>
          <w:sz w:val="21"/>
          <w:szCs w:val="21"/>
        </w:rPr>
        <w:lastRenderedPageBreak/>
        <w:t>Таблиця Г.7</w:t>
      </w:r>
    </w:p>
    <w:tbl>
      <w:tblPr>
        <w:tblStyle w:val="afffffffffffffffffffffffffffffffff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096"/>
        <w:gridCol w:w="747"/>
        <w:gridCol w:w="708"/>
        <w:gridCol w:w="993"/>
        <w:gridCol w:w="992"/>
        <w:gridCol w:w="850"/>
        <w:gridCol w:w="851"/>
        <w:gridCol w:w="992"/>
        <w:gridCol w:w="851"/>
      </w:tblGrid>
      <w:tr w:rsidR="00CA7C54" w:rsidRPr="00CA7C54" w14:paraId="53A0E478" w14:textId="77777777" w:rsidTr="00AE25DB">
        <w:trPr>
          <w:trHeight w:val="391"/>
        </w:trPr>
        <w:tc>
          <w:tcPr>
            <w:tcW w:w="2509" w:type="dxa"/>
            <w:gridSpan w:val="2"/>
            <w:vMerge w:val="restart"/>
            <w:tcBorders>
              <w:top w:val="single" w:sz="4" w:space="0" w:color="000000"/>
              <w:left w:val="single" w:sz="4" w:space="0" w:color="000000"/>
              <w:bottom w:val="single" w:sz="4" w:space="0" w:color="000000"/>
            </w:tcBorders>
            <w:shd w:val="clear" w:color="auto" w:fill="auto"/>
            <w:vAlign w:val="center"/>
          </w:tcPr>
          <w:p w14:paraId="76E1E23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Місце розташування укриття</w:t>
            </w:r>
          </w:p>
        </w:tc>
        <w:tc>
          <w:tcPr>
            <w:tcW w:w="6984"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2B061B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 xml:space="preserve">Коефіціент </w:t>
            </w: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м</w:t>
            </w:r>
            <w:r w:rsidRPr="00CA7C54">
              <w:rPr>
                <w:rFonts w:ascii="Arial" w:eastAsia="Arial" w:hAnsi="Arial" w:cs="Arial"/>
                <w:b/>
                <w:color w:val="000000" w:themeColor="text1"/>
                <w:sz w:val="21"/>
                <w:szCs w:val="21"/>
              </w:rPr>
              <w:t xml:space="preserve"> при ширині зараженої ділянки, яка межує з будинком, м</w:t>
            </w:r>
          </w:p>
        </w:tc>
      </w:tr>
      <w:tr w:rsidR="00CA7C54" w:rsidRPr="00CA7C54" w14:paraId="3DFECBC3" w14:textId="77777777" w:rsidTr="00AE25DB">
        <w:tc>
          <w:tcPr>
            <w:tcW w:w="2509" w:type="dxa"/>
            <w:gridSpan w:val="2"/>
            <w:vMerge/>
            <w:tcBorders>
              <w:top w:val="single" w:sz="4" w:space="0" w:color="000000"/>
              <w:left w:val="single" w:sz="4" w:space="0" w:color="000000"/>
              <w:bottom w:val="single" w:sz="4" w:space="0" w:color="000000"/>
            </w:tcBorders>
            <w:shd w:val="clear" w:color="auto" w:fill="auto"/>
            <w:vAlign w:val="center"/>
          </w:tcPr>
          <w:p w14:paraId="5E69C4A1"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747" w:type="dxa"/>
            <w:tcBorders>
              <w:top w:val="single" w:sz="4" w:space="0" w:color="000000"/>
              <w:left w:val="single" w:sz="4" w:space="0" w:color="000000"/>
              <w:bottom w:val="single" w:sz="4" w:space="0" w:color="000000"/>
            </w:tcBorders>
            <w:shd w:val="clear" w:color="auto" w:fill="auto"/>
          </w:tcPr>
          <w:p w14:paraId="1AA94A0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5</w:t>
            </w:r>
          </w:p>
        </w:tc>
        <w:tc>
          <w:tcPr>
            <w:tcW w:w="708" w:type="dxa"/>
            <w:tcBorders>
              <w:top w:val="single" w:sz="4" w:space="0" w:color="000000"/>
              <w:left w:val="single" w:sz="4" w:space="0" w:color="000000"/>
              <w:bottom w:val="single" w:sz="4" w:space="0" w:color="000000"/>
            </w:tcBorders>
            <w:shd w:val="clear" w:color="auto" w:fill="auto"/>
          </w:tcPr>
          <w:p w14:paraId="6B8AAE5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10</w:t>
            </w:r>
          </w:p>
        </w:tc>
        <w:tc>
          <w:tcPr>
            <w:tcW w:w="993" w:type="dxa"/>
            <w:tcBorders>
              <w:top w:val="single" w:sz="4" w:space="0" w:color="000000"/>
              <w:left w:val="single" w:sz="4" w:space="0" w:color="000000"/>
              <w:bottom w:val="single" w:sz="4" w:space="0" w:color="000000"/>
            </w:tcBorders>
            <w:shd w:val="clear" w:color="auto" w:fill="auto"/>
          </w:tcPr>
          <w:p w14:paraId="424EFC5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20</w:t>
            </w:r>
          </w:p>
        </w:tc>
        <w:tc>
          <w:tcPr>
            <w:tcW w:w="992" w:type="dxa"/>
            <w:tcBorders>
              <w:top w:val="single" w:sz="4" w:space="0" w:color="000000"/>
              <w:left w:val="single" w:sz="4" w:space="0" w:color="000000"/>
              <w:bottom w:val="single" w:sz="4" w:space="0" w:color="000000"/>
            </w:tcBorders>
            <w:shd w:val="clear" w:color="auto" w:fill="auto"/>
          </w:tcPr>
          <w:p w14:paraId="6B34AE5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30</w:t>
            </w:r>
          </w:p>
        </w:tc>
        <w:tc>
          <w:tcPr>
            <w:tcW w:w="850" w:type="dxa"/>
            <w:tcBorders>
              <w:top w:val="single" w:sz="4" w:space="0" w:color="000000"/>
              <w:left w:val="single" w:sz="4" w:space="0" w:color="000000"/>
              <w:bottom w:val="single" w:sz="4" w:space="0" w:color="000000"/>
            </w:tcBorders>
            <w:shd w:val="clear" w:color="auto" w:fill="auto"/>
          </w:tcPr>
          <w:p w14:paraId="5F1113A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40</w:t>
            </w:r>
          </w:p>
        </w:tc>
        <w:tc>
          <w:tcPr>
            <w:tcW w:w="851" w:type="dxa"/>
            <w:tcBorders>
              <w:top w:val="single" w:sz="4" w:space="0" w:color="000000"/>
              <w:left w:val="single" w:sz="4" w:space="0" w:color="000000"/>
              <w:bottom w:val="single" w:sz="4" w:space="0" w:color="000000"/>
            </w:tcBorders>
            <w:shd w:val="clear" w:color="auto" w:fill="auto"/>
          </w:tcPr>
          <w:p w14:paraId="2D2CA63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60</w:t>
            </w:r>
          </w:p>
        </w:tc>
        <w:tc>
          <w:tcPr>
            <w:tcW w:w="992" w:type="dxa"/>
            <w:tcBorders>
              <w:top w:val="single" w:sz="4" w:space="0" w:color="000000"/>
              <w:left w:val="single" w:sz="4" w:space="0" w:color="000000"/>
              <w:bottom w:val="single" w:sz="4" w:space="0" w:color="000000"/>
            </w:tcBorders>
            <w:shd w:val="clear" w:color="auto" w:fill="auto"/>
          </w:tcPr>
          <w:p w14:paraId="24F0978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F27EF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300</w:t>
            </w:r>
          </w:p>
        </w:tc>
      </w:tr>
      <w:tr w:rsidR="00CA7C54" w:rsidRPr="00CA7C54" w14:paraId="69B752DE" w14:textId="77777777" w:rsidTr="00AE25DB">
        <w:tc>
          <w:tcPr>
            <w:tcW w:w="2509" w:type="dxa"/>
            <w:gridSpan w:val="2"/>
            <w:tcBorders>
              <w:top w:val="single" w:sz="4" w:space="0" w:color="000000"/>
              <w:left w:val="single" w:sz="4" w:space="0" w:color="000000"/>
              <w:bottom w:val="single" w:sz="4" w:space="0" w:color="000000"/>
            </w:tcBorders>
            <w:shd w:val="clear" w:color="auto" w:fill="auto"/>
          </w:tcPr>
          <w:p w14:paraId="72DBCA7C" w14:textId="77777777" w:rsidR="003C4E04" w:rsidRPr="00CA7C54" w:rsidRDefault="001E748C" w:rsidP="003B320F">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На першому або підвальному поверсі</w:t>
            </w:r>
          </w:p>
        </w:tc>
        <w:tc>
          <w:tcPr>
            <w:tcW w:w="747" w:type="dxa"/>
            <w:tcBorders>
              <w:top w:val="single" w:sz="4" w:space="0" w:color="000000"/>
              <w:left w:val="single" w:sz="4" w:space="0" w:color="000000"/>
              <w:bottom w:val="single" w:sz="4" w:space="0" w:color="000000"/>
            </w:tcBorders>
            <w:shd w:val="clear" w:color="auto" w:fill="auto"/>
            <w:vAlign w:val="center"/>
          </w:tcPr>
          <w:p w14:paraId="74F3DE4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w:t>
            </w:r>
          </w:p>
        </w:tc>
        <w:tc>
          <w:tcPr>
            <w:tcW w:w="708" w:type="dxa"/>
            <w:tcBorders>
              <w:top w:val="single" w:sz="4" w:space="0" w:color="000000"/>
              <w:left w:val="single" w:sz="4" w:space="0" w:color="000000"/>
              <w:bottom w:val="single" w:sz="4" w:space="0" w:color="000000"/>
            </w:tcBorders>
            <w:shd w:val="clear" w:color="auto" w:fill="auto"/>
            <w:vAlign w:val="center"/>
          </w:tcPr>
          <w:p w14:paraId="4AA3EF2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0,55</w:t>
            </w:r>
          </w:p>
        </w:tc>
        <w:tc>
          <w:tcPr>
            <w:tcW w:w="993" w:type="dxa"/>
            <w:tcBorders>
              <w:top w:val="single" w:sz="4" w:space="0" w:color="000000"/>
              <w:left w:val="single" w:sz="4" w:space="0" w:color="000000"/>
              <w:bottom w:val="single" w:sz="4" w:space="0" w:color="000000"/>
            </w:tcBorders>
            <w:shd w:val="clear" w:color="auto" w:fill="auto"/>
            <w:vAlign w:val="center"/>
          </w:tcPr>
          <w:p w14:paraId="0E19F05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0,65</w:t>
            </w:r>
          </w:p>
        </w:tc>
        <w:tc>
          <w:tcPr>
            <w:tcW w:w="992" w:type="dxa"/>
            <w:tcBorders>
              <w:top w:val="single" w:sz="4" w:space="0" w:color="000000"/>
              <w:left w:val="single" w:sz="4" w:space="0" w:color="000000"/>
              <w:bottom w:val="single" w:sz="4" w:space="0" w:color="000000"/>
            </w:tcBorders>
            <w:shd w:val="clear" w:color="auto" w:fill="auto"/>
            <w:vAlign w:val="center"/>
          </w:tcPr>
          <w:p w14:paraId="14266FF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0,75</w:t>
            </w:r>
          </w:p>
        </w:tc>
        <w:tc>
          <w:tcPr>
            <w:tcW w:w="850" w:type="dxa"/>
            <w:tcBorders>
              <w:top w:val="single" w:sz="4" w:space="0" w:color="000000"/>
              <w:left w:val="single" w:sz="4" w:space="0" w:color="000000"/>
              <w:bottom w:val="single" w:sz="4" w:space="0" w:color="000000"/>
            </w:tcBorders>
            <w:shd w:val="clear" w:color="auto" w:fill="auto"/>
            <w:vAlign w:val="center"/>
          </w:tcPr>
          <w:p w14:paraId="21A2CE5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0,8</w:t>
            </w:r>
          </w:p>
        </w:tc>
        <w:tc>
          <w:tcPr>
            <w:tcW w:w="851" w:type="dxa"/>
            <w:tcBorders>
              <w:top w:val="single" w:sz="4" w:space="0" w:color="000000"/>
              <w:left w:val="single" w:sz="4" w:space="0" w:color="000000"/>
              <w:bottom w:val="single" w:sz="4" w:space="0" w:color="000000"/>
            </w:tcBorders>
            <w:shd w:val="clear" w:color="auto" w:fill="auto"/>
            <w:vAlign w:val="center"/>
          </w:tcPr>
          <w:p w14:paraId="7DD3D25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0,85</w:t>
            </w:r>
          </w:p>
        </w:tc>
        <w:tc>
          <w:tcPr>
            <w:tcW w:w="992" w:type="dxa"/>
            <w:tcBorders>
              <w:top w:val="single" w:sz="4" w:space="0" w:color="000000"/>
              <w:left w:val="single" w:sz="4" w:space="0" w:color="000000"/>
              <w:bottom w:val="single" w:sz="4" w:space="0" w:color="000000"/>
            </w:tcBorders>
            <w:shd w:val="clear" w:color="auto" w:fill="auto"/>
            <w:vAlign w:val="center"/>
          </w:tcPr>
          <w:p w14:paraId="4239973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C098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0,98</w:t>
            </w:r>
          </w:p>
        </w:tc>
      </w:tr>
      <w:tr w:rsidR="00CA7C54" w:rsidRPr="00CA7C54" w14:paraId="59D09ECE" w14:textId="77777777" w:rsidTr="00AE25DB">
        <w:trPr>
          <w:trHeight w:val="642"/>
        </w:trPr>
        <w:tc>
          <w:tcPr>
            <w:tcW w:w="1413" w:type="dxa"/>
            <w:tcBorders>
              <w:top w:val="single" w:sz="4" w:space="0" w:color="000000"/>
              <w:left w:val="single" w:sz="4" w:space="0" w:color="000000"/>
            </w:tcBorders>
            <w:shd w:val="clear" w:color="auto" w:fill="auto"/>
          </w:tcPr>
          <w:p w14:paraId="38F2F706" w14:textId="77777777" w:rsidR="003C4E04" w:rsidRPr="00CA7C54" w:rsidRDefault="001E748C" w:rsidP="003B320F">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w:t>
            </w:r>
          </w:p>
        </w:tc>
        <w:tc>
          <w:tcPr>
            <w:tcW w:w="8080" w:type="dxa"/>
            <w:gridSpan w:val="9"/>
            <w:tcBorders>
              <w:top w:val="single" w:sz="4" w:space="0" w:color="000000"/>
              <w:right w:val="single" w:sz="4" w:space="0" w:color="000000"/>
            </w:tcBorders>
            <w:shd w:val="clear" w:color="auto" w:fill="auto"/>
            <w:vAlign w:val="center"/>
          </w:tcPr>
          <w:p w14:paraId="5BFB7BFE"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Ширина зараженої ділянки – найбільша відстань, що визначається по перпендикуляру від огороджувальних конструкцій укриття до поруч розташованих будівель/споруд.</w:t>
            </w:r>
          </w:p>
        </w:tc>
      </w:tr>
      <w:tr w:rsidR="003C4E04" w:rsidRPr="00CA7C54" w14:paraId="1FD397D2" w14:textId="77777777" w:rsidTr="00AE25DB">
        <w:tc>
          <w:tcPr>
            <w:tcW w:w="1413" w:type="dxa"/>
            <w:tcBorders>
              <w:left w:val="single" w:sz="4" w:space="0" w:color="000000"/>
              <w:bottom w:val="single" w:sz="4" w:space="0" w:color="000000"/>
            </w:tcBorders>
            <w:shd w:val="clear" w:color="auto" w:fill="auto"/>
          </w:tcPr>
          <w:p w14:paraId="33693561" w14:textId="77777777" w:rsidR="003C4E04" w:rsidRPr="00CA7C54" w:rsidRDefault="001E748C" w:rsidP="003B320F">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2.</w:t>
            </w:r>
          </w:p>
        </w:tc>
        <w:tc>
          <w:tcPr>
            <w:tcW w:w="8080" w:type="dxa"/>
            <w:gridSpan w:val="9"/>
            <w:tcBorders>
              <w:bottom w:val="single" w:sz="4" w:space="0" w:color="000000"/>
              <w:right w:val="single" w:sz="4" w:space="0" w:color="000000"/>
            </w:tcBorders>
            <w:shd w:val="clear" w:color="auto" w:fill="auto"/>
            <w:vAlign w:val="center"/>
          </w:tcPr>
          <w:p w14:paraId="66319D55"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color w:val="000000" w:themeColor="text1"/>
                <w:sz w:val="20"/>
                <w:szCs w:val="20"/>
              </w:rPr>
              <w:t xml:space="preserve">При розроблені </w:t>
            </w:r>
            <w:r w:rsidRPr="00CA7C54">
              <w:rPr>
                <w:rFonts w:ascii="Arial" w:eastAsia="Arial" w:hAnsi="Arial" w:cs="Arial"/>
                <w:bCs/>
                <w:color w:val="000000" w:themeColor="text1"/>
                <w:sz w:val="20"/>
                <w:szCs w:val="20"/>
              </w:rPr>
              <w:t>про</w:t>
            </w:r>
            <w:r w:rsidR="00343B3A" w:rsidRPr="00CA7C54">
              <w:rPr>
                <w:rFonts w:ascii="Arial" w:eastAsia="Arial" w:hAnsi="Arial" w:cs="Arial"/>
                <w:bCs/>
                <w:color w:val="000000" w:themeColor="text1"/>
                <w:sz w:val="20"/>
                <w:szCs w:val="20"/>
              </w:rPr>
              <w:t>є</w:t>
            </w:r>
            <w:r w:rsidRPr="00CA7C54">
              <w:rPr>
                <w:rFonts w:ascii="Arial" w:eastAsia="Arial" w:hAnsi="Arial" w:cs="Arial"/>
                <w:bCs/>
                <w:color w:val="000000" w:themeColor="text1"/>
                <w:sz w:val="20"/>
                <w:szCs w:val="20"/>
              </w:rPr>
              <w:t>ктної</w:t>
            </w:r>
            <w:r w:rsidRPr="00CA7C54">
              <w:rPr>
                <w:rFonts w:ascii="Arial" w:eastAsia="Arial" w:hAnsi="Arial" w:cs="Arial"/>
                <w:color w:val="000000" w:themeColor="text1"/>
                <w:sz w:val="20"/>
                <w:szCs w:val="20"/>
              </w:rPr>
              <w:t xml:space="preserve"> документації повторного використання на будівництво ПРУ чи СПП, допускається визначати коефіцієнт захисту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зф</w:t>
            </w:r>
            <w:r w:rsidRPr="00CA7C54">
              <w:rPr>
                <w:rFonts w:ascii="Arial" w:eastAsia="Arial" w:hAnsi="Arial" w:cs="Arial"/>
                <w:color w:val="000000" w:themeColor="text1"/>
                <w:sz w:val="20"/>
                <w:szCs w:val="20"/>
              </w:rPr>
              <w:t xml:space="preserve">, при осереднених значеннях коефіцієнта </w:t>
            </w:r>
            <w:r w:rsidRPr="00CA7C54">
              <w:rPr>
                <w:rFonts w:ascii="Arial" w:eastAsia="Arial" w:hAnsi="Arial" w:cs="Arial"/>
                <w:i/>
                <w:color w:val="000000" w:themeColor="text1"/>
                <w:sz w:val="20"/>
                <w:szCs w:val="20"/>
              </w:rPr>
              <w:t>K</w:t>
            </w:r>
            <w:r w:rsidRPr="00CA7C54">
              <w:rPr>
                <w:rFonts w:ascii="Arial" w:eastAsia="Arial" w:hAnsi="Arial" w:cs="Arial"/>
                <w:i/>
                <w:color w:val="000000" w:themeColor="text1"/>
                <w:sz w:val="20"/>
                <w:szCs w:val="20"/>
                <w:vertAlign w:val="subscript"/>
              </w:rPr>
              <w:t>м</w:t>
            </w:r>
            <w:r w:rsidRPr="00CA7C54">
              <w:rPr>
                <w:rFonts w:ascii="Arial" w:eastAsia="Arial" w:hAnsi="Arial" w:cs="Arial"/>
                <w:color w:val="000000" w:themeColor="text1"/>
                <w:sz w:val="20"/>
                <w:szCs w:val="20"/>
              </w:rPr>
              <w:t xml:space="preserve">, що дорівнюють: </w:t>
            </w:r>
          </w:p>
          <w:p w14:paraId="186DB094"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0,5 – для виробничих та допоміжних будівель споруд на території промислової зони населених пунктів; </w:t>
            </w:r>
          </w:p>
          <w:p w14:paraId="431BEA6B"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0,7 – для будівель/споруд  будь-якого  призначення,  розташованих  на  території  житлової (сельбищної) зони населених пунктів; </w:t>
            </w:r>
          </w:p>
          <w:p w14:paraId="20FCDDBE"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1 – для окремо розташованих будівель/споруд.</w:t>
            </w:r>
          </w:p>
        </w:tc>
      </w:tr>
    </w:tbl>
    <w:p w14:paraId="137405F2" w14:textId="77777777" w:rsidR="003C4E04" w:rsidRPr="00CA7C54" w:rsidRDefault="003C4E04" w:rsidP="003B320F">
      <w:pPr>
        <w:spacing w:before="0" w:line="288" w:lineRule="auto"/>
        <w:contextualSpacing/>
        <w:rPr>
          <w:color w:val="000000" w:themeColor="text1"/>
          <w:sz w:val="21"/>
          <w:szCs w:val="21"/>
        </w:rPr>
      </w:pPr>
    </w:p>
    <w:p w14:paraId="6514C04C" w14:textId="77777777" w:rsidR="003C4E04" w:rsidRPr="00CA7C54" w:rsidRDefault="003C4E04" w:rsidP="003B320F">
      <w:pPr>
        <w:spacing w:before="0" w:line="288" w:lineRule="auto"/>
        <w:contextualSpacing/>
        <w:rPr>
          <w:color w:val="000000" w:themeColor="text1"/>
          <w:sz w:val="21"/>
          <w:szCs w:val="21"/>
        </w:rPr>
      </w:pPr>
    </w:p>
    <w:p w14:paraId="682203F7" w14:textId="77777777" w:rsidR="003C4E04" w:rsidRPr="00CA7C54" w:rsidRDefault="001E748C" w:rsidP="003B320F">
      <w:pPr>
        <w:spacing w:before="0" w:line="288" w:lineRule="auto"/>
        <w:contextualSpacing/>
        <w:rPr>
          <w:color w:val="000000" w:themeColor="text1"/>
          <w:sz w:val="21"/>
          <w:szCs w:val="21"/>
        </w:rPr>
      </w:pPr>
      <w:r w:rsidRPr="00CA7C54">
        <w:rPr>
          <w:color w:val="000000" w:themeColor="text1"/>
          <w:sz w:val="21"/>
          <w:szCs w:val="21"/>
        </w:rPr>
        <w:br w:type="page"/>
      </w:r>
    </w:p>
    <w:p w14:paraId="7BFF0B32" w14:textId="77777777" w:rsidR="003C4E04" w:rsidRPr="00CA7C54" w:rsidRDefault="001E748C">
      <w:pPr>
        <w:pStyle w:val="2"/>
        <w:spacing w:after="0" w:line="240" w:lineRule="auto"/>
        <w:ind w:firstLine="0"/>
        <w:jc w:val="center"/>
        <w:rPr>
          <w:rFonts w:ascii="Arial" w:hAnsi="Arial"/>
          <w:b w:val="0"/>
          <w:bCs w:val="0"/>
          <w:color w:val="000000" w:themeColor="text1"/>
          <w:sz w:val="21"/>
          <w:szCs w:val="21"/>
        </w:rPr>
      </w:pPr>
      <w:bookmarkStart w:id="38" w:name="_heading=h.x65umej0soau" w:colFirst="0" w:colLast="0"/>
      <w:bookmarkEnd w:id="38"/>
      <w:r w:rsidRPr="00CA7C54">
        <w:rPr>
          <w:rFonts w:ascii="Arial" w:hAnsi="Arial"/>
          <w:b w:val="0"/>
          <w:bCs w:val="0"/>
          <w:color w:val="000000" w:themeColor="text1"/>
          <w:sz w:val="21"/>
          <w:szCs w:val="21"/>
        </w:rPr>
        <w:lastRenderedPageBreak/>
        <w:t xml:space="preserve">ДОДАТОК </w:t>
      </w:r>
      <w:r w:rsidR="004E5FF0" w:rsidRPr="00CA7C54">
        <w:rPr>
          <w:rFonts w:ascii="Arial" w:hAnsi="Arial"/>
          <w:b w:val="0"/>
          <w:bCs w:val="0"/>
          <w:color w:val="000000" w:themeColor="text1"/>
          <w:sz w:val="21"/>
          <w:szCs w:val="21"/>
        </w:rPr>
        <w:t>Д</w:t>
      </w:r>
    </w:p>
    <w:p w14:paraId="025D6FA9" w14:textId="77777777" w:rsidR="003C4E04" w:rsidRPr="00CA7C54" w:rsidRDefault="001E748C">
      <w:pPr>
        <w:spacing w:before="0" w:line="240" w:lineRule="auto"/>
        <w:ind w:firstLine="0"/>
        <w:jc w:val="center"/>
        <w:rPr>
          <w:color w:val="000000" w:themeColor="text1"/>
          <w:sz w:val="21"/>
          <w:szCs w:val="21"/>
        </w:rPr>
      </w:pPr>
      <w:r w:rsidRPr="00CA7C54">
        <w:rPr>
          <w:color w:val="000000" w:themeColor="text1"/>
          <w:sz w:val="21"/>
          <w:szCs w:val="21"/>
        </w:rPr>
        <w:t>(обов’язковий)</w:t>
      </w:r>
    </w:p>
    <w:p w14:paraId="5591487C" w14:textId="77777777" w:rsidR="003C4E04" w:rsidRPr="00CA7C54" w:rsidRDefault="001E748C">
      <w:pPr>
        <w:pBdr>
          <w:top w:val="nil"/>
          <w:left w:val="nil"/>
          <w:bottom w:val="nil"/>
          <w:right w:val="nil"/>
          <w:between w:val="nil"/>
        </w:pBdr>
        <w:tabs>
          <w:tab w:val="left" w:pos="2552"/>
        </w:tabs>
        <w:spacing w:line="240" w:lineRule="auto"/>
        <w:ind w:firstLine="0"/>
        <w:jc w:val="center"/>
        <w:rPr>
          <w:rFonts w:eastAsia="Calibri"/>
          <w:b/>
          <w:smallCaps/>
          <w:color w:val="000000" w:themeColor="text1"/>
          <w:sz w:val="21"/>
          <w:szCs w:val="21"/>
        </w:rPr>
      </w:pPr>
      <w:r w:rsidRPr="00CA7C54">
        <w:rPr>
          <w:rFonts w:eastAsia="Calibri"/>
          <w:b/>
          <w:smallCaps/>
          <w:color w:val="000000" w:themeColor="text1"/>
          <w:sz w:val="21"/>
          <w:szCs w:val="21"/>
        </w:rPr>
        <w:t>ВИЗНАЧЕННЯ ТЕПЛОВМІСТУ (ЕНТАЛЬПІЇ) ВНУТРІШНЬОГО ПОВІТРЯ</w:t>
      </w:r>
    </w:p>
    <w:p w14:paraId="4196AFB1" w14:textId="77777777" w:rsidR="003C4E04" w:rsidRPr="00CA7C54" w:rsidRDefault="003C4E04">
      <w:pPr>
        <w:spacing w:line="240" w:lineRule="auto"/>
        <w:rPr>
          <w:rFonts w:eastAsia="Cambria Math"/>
          <w:color w:val="000000" w:themeColor="text1"/>
          <w:sz w:val="21"/>
          <w:szCs w:val="21"/>
        </w:rPr>
      </w:pPr>
    </w:p>
    <w:p w14:paraId="4CDEE055" w14:textId="77777777" w:rsidR="003C4E04" w:rsidRPr="00CA7C54" w:rsidRDefault="001E748C">
      <w:pPr>
        <w:spacing w:line="240" w:lineRule="auto"/>
        <w:ind w:firstLine="142"/>
        <w:rPr>
          <w:rFonts w:ascii="Cambria Math" w:eastAsia="Cambria Math" w:hAnsi="Cambria Math" w:cs="Cambria Math"/>
          <w:color w:val="000000" w:themeColor="text1"/>
          <w:sz w:val="24"/>
          <w:szCs w:val="24"/>
        </w:rPr>
      </w:pPr>
      <w:r w:rsidRPr="00CA7C54">
        <w:rPr>
          <w:rFonts w:ascii="Cambria Math" w:eastAsia="Cambria Math" w:hAnsi="Cambria Math" w:cs="Cambria Math"/>
          <w:noProof/>
          <w:color w:val="000000" w:themeColor="text1"/>
          <w:sz w:val="24"/>
          <w:szCs w:val="24"/>
          <w:lang w:eastAsia="uk-UA"/>
        </w:rPr>
        <w:drawing>
          <wp:inline distT="0" distB="0" distL="0" distR="0" wp14:anchorId="3E5EC191" wp14:editId="5434A91F">
            <wp:extent cx="6120765" cy="6120765"/>
            <wp:effectExtent l="0" t="0" r="0" b="0"/>
            <wp:docPr id="213052445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28"/>
                    <a:srcRect/>
                    <a:stretch>
                      <a:fillRect/>
                    </a:stretch>
                  </pic:blipFill>
                  <pic:spPr>
                    <a:xfrm>
                      <a:off x="0" y="0"/>
                      <a:ext cx="6120765" cy="6120765"/>
                    </a:xfrm>
                    <a:prstGeom prst="rect">
                      <a:avLst/>
                    </a:prstGeom>
                    <a:ln/>
                  </pic:spPr>
                </pic:pic>
              </a:graphicData>
            </a:graphic>
          </wp:inline>
        </w:drawing>
      </w:r>
    </w:p>
    <w:p w14:paraId="1D50FE37" w14:textId="77777777" w:rsidR="003C4E04" w:rsidRPr="00CA7C54" w:rsidRDefault="003C4E04">
      <w:pPr>
        <w:spacing w:line="240" w:lineRule="auto"/>
        <w:jc w:val="center"/>
        <w:rPr>
          <w:rFonts w:ascii="Cambria Math" w:eastAsia="Cambria Math" w:hAnsi="Cambria Math" w:cs="Cambria Math"/>
          <w:color w:val="000000" w:themeColor="text1"/>
          <w:sz w:val="24"/>
          <w:szCs w:val="24"/>
        </w:rPr>
      </w:pPr>
    </w:p>
    <w:p w14:paraId="47353595" w14:textId="77777777" w:rsidR="0041285C" w:rsidRPr="00CA7C54" w:rsidRDefault="001E748C" w:rsidP="0041285C">
      <w:pPr>
        <w:pStyle w:val="2"/>
        <w:spacing w:after="0" w:line="240" w:lineRule="auto"/>
        <w:ind w:firstLine="0"/>
        <w:jc w:val="center"/>
        <w:rPr>
          <w:rFonts w:ascii="Arial" w:hAnsi="Arial"/>
          <w:b w:val="0"/>
          <w:bCs w:val="0"/>
          <w:color w:val="000000" w:themeColor="text1"/>
          <w:sz w:val="21"/>
          <w:szCs w:val="21"/>
        </w:rPr>
      </w:pPr>
      <w:r w:rsidRPr="00CA7C54">
        <w:rPr>
          <w:rFonts w:ascii="Arial" w:hAnsi="Arial"/>
          <w:color w:val="000000" w:themeColor="text1"/>
          <w:sz w:val="21"/>
          <w:szCs w:val="21"/>
        </w:rPr>
        <w:t xml:space="preserve">Рисунок </w:t>
      </w:r>
      <w:r w:rsidR="004E5FF0" w:rsidRPr="00CA7C54">
        <w:rPr>
          <w:rFonts w:ascii="Arial" w:hAnsi="Arial"/>
          <w:color w:val="000000" w:themeColor="text1"/>
          <w:sz w:val="21"/>
          <w:szCs w:val="21"/>
        </w:rPr>
        <w:t>Д</w:t>
      </w:r>
      <w:r w:rsidRPr="00CA7C54">
        <w:rPr>
          <w:rFonts w:ascii="Arial" w:hAnsi="Arial"/>
          <w:color w:val="000000" w:themeColor="text1"/>
          <w:sz w:val="21"/>
          <w:szCs w:val="21"/>
        </w:rPr>
        <w:t>.1</w:t>
      </w:r>
    </w:p>
    <w:p w14:paraId="5F557868" w14:textId="77777777" w:rsidR="003C4E04" w:rsidRPr="00CA7C54" w:rsidRDefault="001E748C">
      <w:pPr>
        <w:spacing w:line="240" w:lineRule="auto"/>
        <w:jc w:val="center"/>
        <w:rPr>
          <w:color w:val="000000" w:themeColor="text1"/>
          <w:sz w:val="21"/>
          <w:szCs w:val="21"/>
        </w:rPr>
      </w:pPr>
      <w:r w:rsidRPr="00CA7C54">
        <w:rPr>
          <w:color w:val="000000" w:themeColor="text1"/>
          <w:sz w:val="21"/>
          <w:szCs w:val="21"/>
        </w:rPr>
        <w:t xml:space="preserve"> – Визначення тепловмісту (ентальпії) внутрішнього повітря при видаленні теплових надлишків системою вентиляції в І режимі (чиста вентиляція) та допустимих</w:t>
      </w:r>
      <w:r w:rsidRPr="00CA7C54">
        <w:rPr>
          <w:color w:val="000000" w:themeColor="text1"/>
          <w:sz w:val="21"/>
          <w:szCs w:val="21"/>
        </w:rPr>
        <w:br/>
        <w:t>сполучень температури та вологості цього повітря для І, ІІІ і V кліматичних районів</w:t>
      </w:r>
    </w:p>
    <w:p w14:paraId="6CF92178" w14:textId="77777777" w:rsidR="003C4E04" w:rsidRPr="00CA7C54" w:rsidRDefault="003C4E04">
      <w:pPr>
        <w:spacing w:line="240" w:lineRule="auto"/>
        <w:rPr>
          <w:rFonts w:ascii="Cambria Math" w:eastAsia="Cambria Math" w:hAnsi="Cambria Math" w:cs="Cambria Math"/>
          <w:color w:val="000000" w:themeColor="text1"/>
          <w:sz w:val="24"/>
          <w:szCs w:val="24"/>
        </w:rPr>
      </w:pPr>
    </w:p>
    <w:p w14:paraId="2C85E3D1" w14:textId="77777777" w:rsidR="003C4E04" w:rsidRPr="00CA7C54" w:rsidRDefault="001E748C">
      <w:pPr>
        <w:rPr>
          <w:rFonts w:ascii="Cambria Math" w:eastAsia="Cambria Math" w:hAnsi="Cambria Math" w:cs="Cambria Math"/>
          <w:b/>
          <w:color w:val="000000" w:themeColor="text1"/>
          <w:sz w:val="24"/>
          <w:szCs w:val="24"/>
        </w:rPr>
      </w:pPr>
      <w:r w:rsidRPr="00CA7C54">
        <w:rPr>
          <w:color w:val="000000" w:themeColor="text1"/>
        </w:rPr>
        <w:br w:type="page"/>
      </w:r>
    </w:p>
    <w:p w14:paraId="2781A012" w14:textId="77777777" w:rsidR="003C4E04" w:rsidRPr="00CA7C54" w:rsidRDefault="003C4E04">
      <w:pPr>
        <w:spacing w:line="240" w:lineRule="auto"/>
        <w:rPr>
          <w:rFonts w:ascii="Cambria Math" w:eastAsia="Cambria Math" w:hAnsi="Cambria Math" w:cs="Cambria Math"/>
          <w:color w:val="000000" w:themeColor="text1"/>
          <w:sz w:val="24"/>
          <w:szCs w:val="24"/>
        </w:rPr>
      </w:pPr>
    </w:p>
    <w:p w14:paraId="32E68F88" w14:textId="77777777" w:rsidR="003C4E04" w:rsidRPr="00CA7C54" w:rsidRDefault="003C4E04">
      <w:pPr>
        <w:spacing w:line="240" w:lineRule="auto"/>
        <w:rPr>
          <w:rFonts w:ascii="Cambria Math" w:eastAsia="Cambria Math" w:hAnsi="Cambria Math" w:cs="Cambria Math"/>
          <w:color w:val="000000" w:themeColor="text1"/>
          <w:sz w:val="24"/>
          <w:szCs w:val="24"/>
        </w:rPr>
      </w:pPr>
    </w:p>
    <w:p w14:paraId="521D28B3" w14:textId="77777777" w:rsidR="003C4E04" w:rsidRPr="00CA7C54" w:rsidRDefault="001E748C">
      <w:pPr>
        <w:spacing w:line="240" w:lineRule="auto"/>
        <w:ind w:firstLine="0"/>
        <w:rPr>
          <w:rFonts w:ascii="Cambria Math" w:eastAsia="Cambria Math" w:hAnsi="Cambria Math" w:cs="Cambria Math"/>
          <w:color w:val="000000" w:themeColor="text1"/>
          <w:sz w:val="24"/>
          <w:szCs w:val="24"/>
        </w:rPr>
      </w:pPr>
      <w:r w:rsidRPr="00CA7C54">
        <w:rPr>
          <w:rFonts w:ascii="Cambria Math" w:eastAsia="Cambria Math" w:hAnsi="Cambria Math" w:cs="Cambria Math"/>
          <w:noProof/>
          <w:color w:val="000000" w:themeColor="text1"/>
          <w:sz w:val="24"/>
          <w:szCs w:val="24"/>
          <w:lang w:eastAsia="uk-UA"/>
        </w:rPr>
        <w:drawing>
          <wp:inline distT="0" distB="0" distL="0" distR="0" wp14:anchorId="0348F51D" wp14:editId="20F00DC3">
            <wp:extent cx="6218897" cy="5849034"/>
            <wp:effectExtent l="0" t="0" r="0" b="0"/>
            <wp:docPr id="213052445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29"/>
                    <a:srcRect l="1867" r="1494"/>
                    <a:stretch>
                      <a:fillRect/>
                    </a:stretch>
                  </pic:blipFill>
                  <pic:spPr>
                    <a:xfrm>
                      <a:off x="0" y="0"/>
                      <a:ext cx="6218897" cy="5849034"/>
                    </a:xfrm>
                    <a:prstGeom prst="rect">
                      <a:avLst/>
                    </a:prstGeom>
                    <a:ln/>
                  </pic:spPr>
                </pic:pic>
              </a:graphicData>
            </a:graphic>
          </wp:inline>
        </w:drawing>
      </w:r>
    </w:p>
    <w:p w14:paraId="43AF4221" w14:textId="77777777" w:rsidR="0041285C" w:rsidRPr="00CA7C54" w:rsidRDefault="001E748C" w:rsidP="0041285C">
      <w:pPr>
        <w:pStyle w:val="2"/>
        <w:spacing w:after="0" w:line="240" w:lineRule="auto"/>
        <w:ind w:firstLine="0"/>
        <w:jc w:val="center"/>
        <w:rPr>
          <w:rFonts w:ascii="Arial" w:hAnsi="Arial"/>
          <w:b w:val="0"/>
          <w:bCs w:val="0"/>
          <w:color w:val="000000" w:themeColor="text1"/>
          <w:sz w:val="21"/>
          <w:szCs w:val="21"/>
        </w:rPr>
      </w:pPr>
      <w:r w:rsidRPr="00CA7C54">
        <w:rPr>
          <w:rFonts w:ascii="Arial" w:hAnsi="Arial"/>
          <w:color w:val="000000" w:themeColor="text1"/>
          <w:sz w:val="21"/>
          <w:szCs w:val="21"/>
        </w:rPr>
        <w:t xml:space="preserve">Рисунок </w:t>
      </w:r>
      <w:r w:rsidR="004E5FF0" w:rsidRPr="00CA7C54">
        <w:rPr>
          <w:rFonts w:ascii="Arial" w:hAnsi="Arial"/>
          <w:color w:val="000000" w:themeColor="text1"/>
          <w:sz w:val="21"/>
          <w:szCs w:val="21"/>
        </w:rPr>
        <w:t>Д</w:t>
      </w:r>
      <w:r w:rsidRPr="00CA7C54">
        <w:rPr>
          <w:rFonts w:ascii="Arial" w:hAnsi="Arial"/>
          <w:color w:val="000000" w:themeColor="text1"/>
          <w:sz w:val="21"/>
          <w:szCs w:val="21"/>
        </w:rPr>
        <w:t>.2</w:t>
      </w:r>
    </w:p>
    <w:p w14:paraId="3588C36E" w14:textId="77777777" w:rsidR="003C4E04" w:rsidRPr="00CA7C54" w:rsidRDefault="001E748C">
      <w:pPr>
        <w:spacing w:line="240" w:lineRule="auto"/>
        <w:jc w:val="center"/>
        <w:rPr>
          <w:color w:val="000000" w:themeColor="text1"/>
          <w:sz w:val="21"/>
          <w:szCs w:val="21"/>
        </w:rPr>
      </w:pPr>
      <w:r w:rsidRPr="00CA7C54">
        <w:rPr>
          <w:color w:val="000000" w:themeColor="text1"/>
          <w:sz w:val="21"/>
          <w:szCs w:val="21"/>
        </w:rPr>
        <w:t xml:space="preserve"> – Визначення тепловмісту (ентальпії) внутрішнього повітря при видаленні теплових надлишків системою вентиляції в І режимі (чиста вентиляція) та допустимих сполучень температури та вологості цього повітря для ІІ і ІV кліматичних районів</w:t>
      </w:r>
    </w:p>
    <w:p w14:paraId="5ABE2BD3" w14:textId="77777777" w:rsidR="003C4E04" w:rsidRPr="00CA7C54" w:rsidRDefault="001E748C">
      <w:pPr>
        <w:rPr>
          <w:color w:val="000000" w:themeColor="text1"/>
          <w:sz w:val="21"/>
          <w:szCs w:val="21"/>
        </w:rPr>
      </w:pPr>
      <w:r w:rsidRPr="00CA7C54">
        <w:rPr>
          <w:color w:val="000000" w:themeColor="text1"/>
          <w:sz w:val="21"/>
          <w:szCs w:val="21"/>
        </w:rPr>
        <w:br w:type="page"/>
      </w:r>
    </w:p>
    <w:p w14:paraId="4CA427D3" w14:textId="77777777" w:rsidR="003C4E04" w:rsidRPr="00CA7C54" w:rsidRDefault="001E748C">
      <w:pPr>
        <w:pStyle w:val="2"/>
        <w:spacing w:after="0" w:line="240" w:lineRule="auto"/>
        <w:ind w:firstLine="0"/>
        <w:jc w:val="center"/>
        <w:rPr>
          <w:rFonts w:ascii="Arial" w:hAnsi="Arial"/>
          <w:b w:val="0"/>
          <w:bCs w:val="0"/>
          <w:color w:val="000000" w:themeColor="text1"/>
          <w:sz w:val="21"/>
          <w:szCs w:val="21"/>
        </w:rPr>
      </w:pPr>
      <w:r w:rsidRPr="00CA7C54">
        <w:rPr>
          <w:rFonts w:ascii="Arial" w:hAnsi="Arial"/>
          <w:b w:val="0"/>
          <w:bCs w:val="0"/>
          <w:color w:val="000000" w:themeColor="text1"/>
          <w:sz w:val="21"/>
          <w:szCs w:val="21"/>
        </w:rPr>
        <w:lastRenderedPageBreak/>
        <w:t xml:space="preserve">ДОДАТОК </w:t>
      </w:r>
      <w:r w:rsidR="004E5FF0" w:rsidRPr="00CA7C54">
        <w:rPr>
          <w:rFonts w:ascii="Arial" w:hAnsi="Arial"/>
          <w:b w:val="0"/>
          <w:bCs w:val="0"/>
          <w:color w:val="000000" w:themeColor="text1"/>
          <w:sz w:val="21"/>
          <w:szCs w:val="21"/>
        </w:rPr>
        <w:t>Е</w:t>
      </w:r>
    </w:p>
    <w:p w14:paraId="5098B240" w14:textId="77777777" w:rsidR="003C4E04" w:rsidRPr="00CA7C54" w:rsidRDefault="001E748C">
      <w:pPr>
        <w:spacing w:before="0" w:line="240" w:lineRule="auto"/>
        <w:ind w:firstLine="0"/>
        <w:jc w:val="center"/>
        <w:rPr>
          <w:color w:val="000000" w:themeColor="text1"/>
          <w:sz w:val="21"/>
          <w:szCs w:val="21"/>
        </w:rPr>
      </w:pPr>
      <w:r w:rsidRPr="00CA7C54">
        <w:rPr>
          <w:color w:val="000000" w:themeColor="text1"/>
          <w:sz w:val="21"/>
          <w:szCs w:val="21"/>
        </w:rPr>
        <w:t>(довідковий)</w:t>
      </w:r>
    </w:p>
    <w:p w14:paraId="0CFB30F9" w14:textId="77777777" w:rsidR="003C4E04" w:rsidRPr="00CA7C54" w:rsidRDefault="001E748C">
      <w:pPr>
        <w:pBdr>
          <w:top w:val="nil"/>
          <w:left w:val="nil"/>
          <w:bottom w:val="nil"/>
          <w:right w:val="nil"/>
          <w:between w:val="nil"/>
        </w:pBdr>
        <w:tabs>
          <w:tab w:val="left" w:pos="2552"/>
        </w:tabs>
        <w:spacing w:line="240" w:lineRule="auto"/>
        <w:ind w:firstLine="0"/>
        <w:jc w:val="center"/>
        <w:rPr>
          <w:rFonts w:eastAsia="Calibri"/>
          <w:b/>
          <w:smallCaps/>
          <w:color w:val="000000" w:themeColor="text1"/>
          <w:sz w:val="21"/>
          <w:szCs w:val="21"/>
        </w:rPr>
      </w:pPr>
      <w:r w:rsidRPr="00CA7C54">
        <w:rPr>
          <w:rFonts w:eastAsia="Calibri"/>
          <w:b/>
          <w:smallCaps/>
          <w:color w:val="000000" w:themeColor="text1"/>
          <w:sz w:val="21"/>
          <w:szCs w:val="21"/>
        </w:rPr>
        <w:t>ОСНОВНІ ТЕХНІЧНІ ХАРАКТЕРИСТИКИ ТИПОВИХ ПРОТИВИБУХОВИХ ПРИСТРОЇВ ТА ЕЛЕКТРОРУЧНИХ ВЕНТИЛЯТОРІВ</w:t>
      </w:r>
    </w:p>
    <w:p w14:paraId="1B926D44" w14:textId="77777777" w:rsidR="003C4E04" w:rsidRPr="00CA7C54" w:rsidRDefault="003C4E04">
      <w:pPr>
        <w:spacing w:line="240" w:lineRule="auto"/>
        <w:rPr>
          <w:color w:val="000000" w:themeColor="text1"/>
          <w:sz w:val="21"/>
          <w:szCs w:val="21"/>
        </w:rPr>
      </w:pPr>
    </w:p>
    <w:p w14:paraId="5B769501" w14:textId="77777777" w:rsidR="003C4E04" w:rsidRPr="00EB63CF" w:rsidRDefault="001E748C" w:rsidP="00EB63CF">
      <w:pPr>
        <w:pStyle w:val="2"/>
        <w:spacing w:before="0" w:after="100" w:afterAutospacing="1" w:line="240" w:lineRule="auto"/>
        <w:ind w:firstLine="0"/>
        <w:jc w:val="left"/>
        <w:rPr>
          <w:rFonts w:ascii="Arial" w:hAnsi="Arial"/>
          <w:color w:val="000000" w:themeColor="text1"/>
          <w:sz w:val="21"/>
          <w:szCs w:val="21"/>
        </w:rPr>
      </w:pPr>
      <w:r w:rsidRPr="00CA7C54">
        <w:rPr>
          <w:rFonts w:ascii="Arial" w:hAnsi="Arial"/>
          <w:color w:val="000000" w:themeColor="text1"/>
          <w:sz w:val="21"/>
          <w:szCs w:val="21"/>
        </w:rPr>
        <w:t xml:space="preserve">Таблиця </w:t>
      </w:r>
      <w:r w:rsidR="004E5FF0" w:rsidRPr="00CA7C54">
        <w:rPr>
          <w:rFonts w:ascii="Arial" w:hAnsi="Arial"/>
          <w:color w:val="000000" w:themeColor="text1"/>
          <w:sz w:val="21"/>
          <w:szCs w:val="21"/>
        </w:rPr>
        <w:t>Е</w:t>
      </w:r>
      <w:r w:rsidRPr="00CA7C54">
        <w:rPr>
          <w:rFonts w:ascii="Arial" w:hAnsi="Arial"/>
          <w:color w:val="000000" w:themeColor="text1"/>
          <w:sz w:val="21"/>
          <w:szCs w:val="21"/>
        </w:rPr>
        <w:t>.1</w:t>
      </w:r>
      <w:r w:rsidRPr="00EB63CF">
        <w:rPr>
          <w:rFonts w:ascii="Arial" w:hAnsi="Arial"/>
          <w:b w:val="0"/>
          <w:bCs w:val="0"/>
          <w:color w:val="000000" w:themeColor="text1"/>
          <w:sz w:val="21"/>
          <w:szCs w:val="21"/>
        </w:rPr>
        <w:t>– Основні технічні характеристики типових противибухових пристроїв</w:t>
      </w:r>
    </w:p>
    <w:tbl>
      <w:tblPr>
        <w:tblStyle w:val="afffffffffffffffffffffffffffffffff5"/>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984"/>
        <w:gridCol w:w="1560"/>
        <w:gridCol w:w="1559"/>
        <w:gridCol w:w="1701"/>
        <w:gridCol w:w="1559"/>
      </w:tblGrid>
      <w:tr w:rsidR="00CA7C54" w:rsidRPr="00CA7C54" w14:paraId="1EFF3E0E" w14:textId="77777777" w:rsidTr="003A17BC">
        <w:trPr>
          <w:trHeight w:val="401"/>
        </w:trPr>
        <w:tc>
          <w:tcPr>
            <w:tcW w:w="3397" w:type="dxa"/>
            <w:gridSpan w:val="2"/>
            <w:vMerge w:val="restart"/>
          </w:tcPr>
          <w:p w14:paraId="6F3F3641" w14:textId="77777777" w:rsidR="003C4E04" w:rsidRPr="00CA7C54" w:rsidRDefault="001E748C">
            <w:pPr>
              <w:spacing w:after="12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 xml:space="preserve">Основні </w:t>
            </w:r>
            <w:r w:rsidRPr="00CA7C54">
              <w:rPr>
                <w:rFonts w:ascii="Arial" w:eastAsia="Arial" w:hAnsi="Arial" w:cs="Arial"/>
                <w:b/>
                <w:color w:val="000000" w:themeColor="text1"/>
                <w:sz w:val="21"/>
                <w:szCs w:val="21"/>
              </w:rPr>
              <w:br/>
              <w:t>характеристики</w:t>
            </w:r>
          </w:p>
        </w:tc>
        <w:tc>
          <w:tcPr>
            <w:tcW w:w="6379" w:type="dxa"/>
            <w:gridSpan w:val="4"/>
          </w:tcPr>
          <w:p w14:paraId="67115538" w14:textId="77777777" w:rsidR="003C4E04" w:rsidRPr="00CA7C54" w:rsidRDefault="001E748C">
            <w:pPr>
              <w:spacing w:after="12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Противибухові пристрої</w:t>
            </w:r>
          </w:p>
        </w:tc>
      </w:tr>
      <w:tr w:rsidR="00CA7C54" w:rsidRPr="00CA7C54" w14:paraId="38E66358" w14:textId="77777777" w:rsidTr="003A17BC">
        <w:tc>
          <w:tcPr>
            <w:tcW w:w="3397" w:type="dxa"/>
            <w:gridSpan w:val="2"/>
            <w:vMerge/>
          </w:tcPr>
          <w:p w14:paraId="40FC6A77"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1"/>
                <w:szCs w:val="21"/>
              </w:rPr>
            </w:pPr>
          </w:p>
        </w:tc>
        <w:tc>
          <w:tcPr>
            <w:tcW w:w="1560" w:type="dxa"/>
          </w:tcPr>
          <w:p w14:paraId="2E8D26BB"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МЗС</w:t>
            </w:r>
          </w:p>
        </w:tc>
        <w:tc>
          <w:tcPr>
            <w:tcW w:w="1559" w:type="dxa"/>
          </w:tcPr>
          <w:p w14:paraId="7813A30E"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УЗС-1</w:t>
            </w:r>
          </w:p>
        </w:tc>
        <w:tc>
          <w:tcPr>
            <w:tcW w:w="1701" w:type="dxa"/>
          </w:tcPr>
          <w:p w14:paraId="24634919"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УЗС-8</w:t>
            </w:r>
          </w:p>
        </w:tc>
        <w:tc>
          <w:tcPr>
            <w:tcW w:w="1559" w:type="dxa"/>
          </w:tcPr>
          <w:p w14:paraId="0FF8050C"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УЗС-25</w:t>
            </w:r>
          </w:p>
        </w:tc>
      </w:tr>
      <w:tr w:rsidR="00CA7C54" w:rsidRPr="00CA7C54" w14:paraId="12789D30" w14:textId="77777777" w:rsidTr="003A17BC">
        <w:tc>
          <w:tcPr>
            <w:tcW w:w="3397" w:type="dxa"/>
            <w:gridSpan w:val="2"/>
          </w:tcPr>
          <w:p w14:paraId="797DF378"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Номінальні витрати повітря, м</w:t>
            </w:r>
            <w:r w:rsidRPr="00CA7C54">
              <w:rPr>
                <w:rFonts w:ascii="Arial" w:eastAsia="Arial" w:hAnsi="Arial" w:cs="Arial"/>
                <w:color w:val="000000" w:themeColor="text1"/>
                <w:sz w:val="21"/>
                <w:szCs w:val="21"/>
                <w:vertAlign w:val="superscript"/>
              </w:rPr>
              <w:t>3</w:t>
            </w:r>
            <w:r w:rsidRPr="00CA7C54">
              <w:rPr>
                <w:rFonts w:ascii="Arial" w:eastAsia="Arial" w:hAnsi="Arial" w:cs="Arial"/>
                <w:color w:val="000000" w:themeColor="text1"/>
                <w:sz w:val="21"/>
                <w:szCs w:val="21"/>
              </w:rPr>
              <w:t>/год</w:t>
            </w:r>
          </w:p>
        </w:tc>
        <w:tc>
          <w:tcPr>
            <w:tcW w:w="1560" w:type="dxa"/>
          </w:tcPr>
          <w:p w14:paraId="6FF22DE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1 500</w:t>
            </w:r>
          </w:p>
        </w:tc>
        <w:tc>
          <w:tcPr>
            <w:tcW w:w="1559" w:type="dxa"/>
          </w:tcPr>
          <w:p w14:paraId="38D761D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8 000</w:t>
            </w:r>
          </w:p>
        </w:tc>
        <w:tc>
          <w:tcPr>
            <w:tcW w:w="1701" w:type="dxa"/>
          </w:tcPr>
          <w:p w14:paraId="39D233A0"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8 000</w:t>
            </w:r>
          </w:p>
        </w:tc>
        <w:tc>
          <w:tcPr>
            <w:tcW w:w="1559" w:type="dxa"/>
          </w:tcPr>
          <w:p w14:paraId="501360E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25 000</w:t>
            </w:r>
          </w:p>
        </w:tc>
      </w:tr>
      <w:tr w:rsidR="00CA7C54" w:rsidRPr="00CA7C54" w14:paraId="1E75B61E" w14:textId="77777777" w:rsidTr="003A17BC">
        <w:tc>
          <w:tcPr>
            <w:tcW w:w="3397" w:type="dxa"/>
            <w:gridSpan w:val="2"/>
          </w:tcPr>
          <w:p w14:paraId="3833012C" w14:textId="77777777" w:rsidR="003C4E04" w:rsidRPr="00CA7C54" w:rsidRDefault="001E748C">
            <w:pPr>
              <w:spacing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Номінальний аеродинамічний опір</w:t>
            </w:r>
          </w:p>
        </w:tc>
        <w:tc>
          <w:tcPr>
            <w:tcW w:w="1560" w:type="dxa"/>
          </w:tcPr>
          <w:p w14:paraId="17C0BA72"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50 – 250  </w:t>
            </w:r>
          </w:p>
          <w:p w14:paraId="57BD6980"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 – 25</w:t>
            </w:r>
          </w:p>
        </w:tc>
        <w:tc>
          <w:tcPr>
            <w:tcW w:w="1559" w:type="dxa"/>
          </w:tcPr>
          <w:p w14:paraId="18853549"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100 – 150  </w:t>
            </w:r>
          </w:p>
          <w:p w14:paraId="4959E69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 – 15</w:t>
            </w:r>
          </w:p>
        </w:tc>
        <w:tc>
          <w:tcPr>
            <w:tcW w:w="1701" w:type="dxa"/>
          </w:tcPr>
          <w:p w14:paraId="18EF3998"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100 – 150  </w:t>
            </w:r>
          </w:p>
          <w:p w14:paraId="2C814BCB"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 – 15</w:t>
            </w:r>
          </w:p>
        </w:tc>
        <w:tc>
          <w:tcPr>
            <w:tcW w:w="1559" w:type="dxa"/>
          </w:tcPr>
          <w:p w14:paraId="774580D6"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100 – 150  </w:t>
            </w:r>
          </w:p>
          <w:p w14:paraId="406C86A1"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 – 15</w:t>
            </w:r>
          </w:p>
        </w:tc>
      </w:tr>
      <w:tr w:rsidR="00CA7C54" w:rsidRPr="00CA7C54" w14:paraId="18A2D4DF" w14:textId="77777777" w:rsidTr="003A17BC">
        <w:tc>
          <w:tcPr>
            <w:tcW w:w="3397" w:type="dxa"/>
            <w:gridSpan w:val="2"/>
          </w:tcPr>
          <w:p w14:paraId="24D85865"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Довжина, мм</w:t>
            </w:r>
          </w:p>
        </w:tc>
        <w:tc>
          <w:tcPr>
            <w:tcW w:w="1560" w:type="dxa"/>
          </w:tcPr>
          <w:p w14:paraId="1AC3D6B6"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385</w:t>
            </w:r>
          </w:p>
        </w:tc>
        <w:tc>
          <w:tcPr>
            <w:tcW w:w="1559" w:type="dxa"/>
          </w:tcPr>
          <w:p w14:paraId="6610CA8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649</w:t>
            </w:r>
          </w:p>
        </w:tc>
        <w:tc>
          <w:tcPr>
            <w:tcW w:w="1701" w:type="dxa"/>
          </w:tcPr>
          <w:p w14:paraId="2D37532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749</w:t>
            </w:r>
          </w:p>
        </w:tc>
        <w:tc>
          <w:tcPr>
            <w:tcW w:w="1559" w:type="dxa"/>
          </w:tcPr>
          <w:p w14:paraId="3E7E918E"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2197</w:t>
            </w:r>
          </w:p>
        </w:tc>
      </w:tr>
      <w:tr w:rsidR="00CA7C54" w:rsidRPr="00CA7C54" w14:paraId="4F0B4E2C" w14:textId="77777777" w:rsidTr="003A17BC">
        <w:tc>
          <w:tcPr>
            <w:tcW w:w="3397" w:type="dxa"/>
            <w:gridSpan w:val="2"/>
          </w:tcPr>
          <w:p w14:paraId="39CD3226"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Ширина, мм</w:t>
            </w:r>
          </w:p>
        </w:tc>
        <w:tc>
          <w:tcPr>
            <w:tcW w:w="1560" w:type="dxa"/>
          </w:tcPr>
          <w:p w14:paraId="1009AC0E"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345</w:t>
            </w:r>
          </w:p>
        </w:tc>
        <w:tc>
          <w:tcPr>
            <w:tcW w:w="1559" w:type="dxa"/>
          </w:tcPr>
          <w:p w14:paraId="5E1A5D2A"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595</w:t>
            </w:r>
          </w:p>
        </w:tc>
        <w:tc>
          <w:tcPr>
            <w:tcW w:w="1701" w:type="dxa"/>
          </w:tcPr>
          <w:p w14:paraId="34750A6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695</w:t>
            </w:r>
          </w:p>
        </w:tc>
        <w:tc>
          <w:tcPr>
            <w:tcW w:w="1559" w:type="dxa"/>
          </w:tcPr>
          <w:p w14:paraId="091D95DF"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815</w:t>
            </w:r>
          </w:p>
        </w:tc>
      </w:tr>
      <w:tr w:rsidR="00CA7C54" w:rsidRPr="00CA7C54" w14:paraId="4CE8A3D2" w14:textId="77777777" w:rsidTr="003A17BC">
        <w:tc>
          <w:tcPr>
            <w:tcW w:w="3397" w:type="dxa"/>
            <w:gridSpan w:val="2"/>
          </w:tcPr>
          <w:p w14:paraId="7FC2D6BB"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Товщина, мм</w:t>
            </w:r>
          </w:p>
        </w:tc>
        <w:tc>
          <w:tcPr>
            <w:tcW w:w="1560" w:type="dxa"/>
          </w:tcPr>
          <w:p w14:paraId="70B4C196"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305</w:t>
            </w:r>
          </w:p>
        </w:tc>
        <w:tc>
          <w:tcPr>
            <w:tcW w:w="1559" w:type="dxa"/>
          </w:tcPr>
          <w:p w14:paraId="617388DB"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146</w:t>
            </w:r>
          </w:p>
        </w:tc>
        <w:tc>
          <w:tcPr>
            <w:tcW w:w="1701" w:type="dxa"/>
          </w:tcPr>
          <w:p w14:paraId="28563305"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215</w:t>
            </w:r>
          </w:p>
        </w:tc>
        <w:tc>
          <w:tcPr>
            <w:tcW w:w="1559" w:type="dxa"/>
          </w:tcPr>
          <w:p w14:paraId="0DF00B28"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360</w:t>
            </w:r>
          </w:p>
        </w:tc>
      </w:tr>
      <w:tr w:rsidR="00CA7C54" w:rsidRPr="00CA7C54" w14:paraId="2E23D642" w14:textId="77777777" w:rsidTr="003A17BC">
        <w:tc>
          <w:tcPr>
            <w:tcW w:w="3397" w:type="dxa"/>
            <w:gridSpan w:val="2"/>
          </w:tcPr>
          <w:p w14:paraId="13E1822A" w14:textId="77777777" w:rsidR="003C4E04" w:rsidRPr="00CA7C54" w:rsidRDefault="001E748C">
            <w:pPr>
              <w:spacing w:before="0" w:line="240"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Об’єм розширювальної камери (ділянка трубопроводу) за противибуховим пристроєм, м</w:t>
            </w:r>
            <w:r w:rsidRPr="00CA7C54">
              <w:rPr>
                <w:rFonts w:ascii="Arial" w:eastAsia="Arial" w:hAnsi="Arial" w:cs="Arial"/>
                <w:color w:val="000000" w:themeColor="text1"/>
                <w:sz w:val="21"/>
                <w:szCs w:val="21"/>
                <w:vertAlign w:val="superscript"/>
              </w:rPr>
              <w:t>3</w:t>
            </w:r>
          </w:p>
        </w:tc>
        <w:tc>
          <w:tcPr>
            <w:tcW w:w="1560" w:type="dxa"/>
          </w:tcPr>
          <w:p w14:paraId="4D4B34B0"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w:t>
            </w:r>
          </w:p>
        </w:tc>
        <w:tc>
          <w:tcPr>
            <w:tcW w:w="1559" w:type="dxa"/>
          </w:tcPr>
          <w:p w14:paraId="59311CF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1701" w:type="dxa"/>
          </w:tcPr>
          <w:p w14:paraId="4C308E6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1559" w:type="dxa"/>
          </w:tcPr>
          <w:p w14:paraId="7DD34C5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r>
      <w:tr w:rsidR="00CA7C54" w:rsidRPr="00CA7C54" w14:paraId="7A95C8DE" w14:textId="77777777" w:rsidTr="003A17BC">
        <w:trPr>
          <w:trHeight w:val="530"/>
        </w:trPr>
        <w:tc>
          <w:tcPr>
            <w:tcW w:w="1413" w:type="dxa"/>
          </w:tcPr>
          <w:p w14:paraId="2FDF6E2E" w14:textId="77777777" w:rsidR="003C4E04" w:rsidRPr="00CA7C54" w:rsidRDefault="001E748C">
            <w:pPr>
              <w:spacing w:before="0" w:line="240" w:lineRule="auto"/>
              <w:ind w:firstLine="0"/>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Примітка 1.</w:t>
            </w:r>
          </w:p>
        </w:tc>
        <w:tc>
          <w:tcPr>
            <w:tcW w:w="8363" w:type="dxa"/>
            <w:gridSpan w:val="5"/>
          </w:tcPr>
          <w:p w14:paraId="2992AA23"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Величина аеродинамічного опору залежить від місця та спроби встановлення противибухових пристроїв.</w:t>
            </w:r>
          </w:p>
        </w:tc>
      </w:tr>
      <w:tr w:rsidR="00CA7C54" w:rsidRPr="00CA7C54" w14:paraId="0E8F4044" w14:textId="77777777" w:rsidTr="003A17BC">
        <w:trPr>
          <w:trHeight w:val="498"/>
        </w:trPr>
        <w:tc>
          <w:tcPr>
            <w:tcW w:w="1413" w:type="dxa"/>
          </w:tcPr>
          <w:p w14:paraId="5F47E9C7" w14:textId="77777777" w:rsidR="003C4E04" w:rsidRPr="00CA7C54" w:rsidRDefault="001E748C">
            <w:pPr>
              <w:spacing w:before="0" w:line="240" w:lineRule="auto"/>
              <w:ind w:firstLine="0"/>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Примітка 2.</w:t>
            </w:r>
          </w:p>
        </w:tc>
        <w:tc>
          <w:tcPr>
            <w:tcW w:w="8363" w:type="dxa"/>
            <w:gridSpan w:val="5"/>
          </w:tcPr>
          <w:p w14:paraId="64E05E51"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Допускається застосування інших противибухових пристроїв (аналогів) із забезпеченням необхідних технічних параметрів.</w:t>
            </w:r>
          </w:p>
        </w:tc>
      </w:tr>
      <w:tr w:rsidR="00CA7C54" w:rsidRPr="00CA7C54" w14:paraId="2FEF4A66" w14:textId="77777777" w:rsidTr="003A17BC">
        <w:trPr>
          <w:trHeight w:val="366"/>
        </w:trPr>
        <w:tc>
          <w:tcPr>
            <w:tcW w:w="1413" w:type="dxa"/>
          </w:tcPr>
          <w:p w14:paraId="28A12754" w14:textId="77777777" w:rsidR="003C4E04" w:rsidRPr="00CA7C54" w:rsidRDefault="001E748C">
            <w:pPr>
              <w:spacing w:before="0" w:line="240" w:lineRule="auto"/>
              <w:ind w:firstLine="0"/>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Примітка 3.</w:t>
            </w:r>
          </w:p>
        </w:tc>
        <w:tc>
          <w:tcPr>
            <w:tcW w:w="8363" w:type="dxa"/>
            <w:gridSpan w:val="5"/>
          </w:tcPr>
          <w:p w14:paraId="496E84F3" w14:textId="77777777" w:rsidR="003C4E04" w:rsidRPr="00CA7C54" w:rsidRDefault="001E748C">
            <w:pPr>
              <w:spacing w:before="0" w:line="240" w:lineRule="auto"/>
              <w:ind w:firstLine="0"/>
              <w:rPr>
                <w:rFonts w:ascii="Arial" w:eastAsia="Arial" w:hAnsi="Arial" w:cs="Arial"/>
                <w:color w:val="000000" w:themeColor="text1"/>
                <w:sz w:val="21"/>
                <w:szCs w:val="21"/>
                <w:highlight w:val="white"/>
              </w:rPr>
            </w:pPr>
            <w:r w:rsidRPr="00CA7C54">
              <w:rPr>
                <w:rFonts w:ascii="Arial" w:eastAsia="Arial" w:hAnsi="Arial" w:cs="Arial"/>
                <w:color w:val="000000" w:themeColor="text1"/>
                <w:sz w:val="21"/>
                <w:szCs w:val="21"/>
                <w:highlight w:val="white"/>
              </w:rPr>
              <w:t>Для значень номінального аеродинамічного опору над рискою наведено значення у[Н/м</w:t>
            </w:r>
            <w:r w:rsidRPr="00CA7C54">
              <w:rPr>
                <w:rFonts w:ascii="Arial" w:eastAsia="Arial" w:hAnsi="Arial" w:cs="Arial"/>
                <w:color w:val="000000" w:themeColor="text1"/>
                <w:sz w:val="21"/>
                <w:szCs w:val="21"/>
                <w:highlight w:val="white"/>
                <w:vertAlign w:val="superscript"/>
              </w:rPr>
              <w:t>2</w:t>
            </w:r>
            <w:r w:rsidRPr="00CA7C54">
              <w:rPr>
                <w:rFonts w:ascii="Arial" w:eastAsia="Arial" w:hAnsi="Arial" w:cs="Arial"/>
                <w:color w:val="000000" w:themeColor="text1"/>
                <w:sz w:val="21"/>
                <w:szCs w:val="21"/>
                <w:highlight w:val="white"/>
              </w:rPr>
              <w:t>], під рискою у [кгс/м</w:t>
            </w:r>
            <w:r w:rsidRPr="00CA7C54">
              <w:rPr>
                <w:rFonts w:ascii="Arial" w:eastAsia="Arial" w:hAnsi="Arial" w:cs="Arial"/>
                <w:color w:val="000000" w:themeColor="text1"/>
                <w:sz w:val="21"/>
                <w:szCs w:val="21"/>
                <w:highlight w:val="white"/>
                <w:vertAlign w:val="superscript"/>
              </w:rPr>
              <w:t>2</w:t>
            </w:r>
            <w:r w:rsidRPr="00CA7C54">
              <w:rPr>
                <w:rFonts w:ascii="Arial" w:eastAsia="Arial" w:hAnsi="Arial" w:cs="Arial"/>
                <w:color w:val="000000" w:themeColor="text1"/>
                <w:sz w:val="21"/>
                <w:szCs w:val="21"/>
                <w:highlight w:val="white"/>
              </w:rPr>
              <w:t>]</w:t>
            </w:r>
          </w:p>
        </w:tc>
      </w:tr>
    </w:tbl>
    <w:p w14:paraId="0A060905" w14:textId="77777777" w:rsidR="003C4E04" w:rsidRPr="00CA7C54" w:rsidRDefault="001E748C">
      <w:pPr>
        <w:spacing w:after="120" w:line="240" w:lineRule="auto"/>
        <w:rPr>
          <w:color w:val="000000" w:themeColor="text1"/>
          <w:sz w:val="21"/>
          <w:szCs w:val="21"/>
        </w:rPr>
      </w:pPr>
      <w:r w:rsidRPr="00CA7C54">
        <w:rPr>
          <w:b/>
          <w:color w:val="000000" w:themeColor="text1"/>
          <w:sz w:val="21"/>
          <w:szCs w:val="21"/>
        </w:rPr>
        <w:t xml:space="preserve">Таблиця </w:t>
      </w:r>
      <w:r w:rsidR="004E5FF0" w:rsidRPr="00CA7C54">
        <w:rPr>
          <w:b/>
          <w:color w:val="000000" w:themeColor="text1"/>
          <w:sz w:val="21"/>
          <w:szCs w:val="21"/>
        </w:rPr>
        <w:t>Е</w:t>
      </w:r>
      <w:r w:rsidRPr="00CA7C54">
        <w:rPr>
          <w:b/>
          <w:color w:val="000000" w:themeColor="text1"/>
          <w:sz w:val="21"/>
          <w:szCs w:val="21"/>
        </w:rPr>
        <w:t>.2</w:t>
      </w:r>
      <w:r w:rsidRPr="00CA7C54">
        <w:rPr>
          <w:color w:val="000000" w:themeColor="text1"/>
          <w:sz w:val="21"/>
          <w:szCs w:val="21"/>
        </w:rPr>
        <w:t xml:space="preserve"> – Основні технічні характеристики типових електроручних вентиляторів</w:t>
      </w:r>
    </w:p>
    <w:tbl>
      <w:tblPr>
        <w:tblStyle w:val="afffffffffffffffffffffffffffffffff6"/>
        <w:tblW w:w="9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268"/>
        <w:gridCol w:w="2126"/>
        <w:gridCol w:w="1978"/>
      </w:tblGrid>
      <w:tr w:rsidR="00CA7C54" w:rsidRPr="00CA7C54" w14:paraId="3642773A" w14:textId="77777777" w:rsidTr="004E5FF0">
        <w:trPr>
          <w:trHeight w:val="391"/>
          <w:jc w:val="center"/>
        </w:trPr>
        <w:tc>
          <w:tcPr>
            <w:tcW w:w="3402" w:type="dxa"/>
            <w:vMerge w:val="restart"/>
          </w:tcPr>
          <w:p w14:paraId="2494AFC1" w14:textId="77777777" w:rsidR="003C4E04" w:rsidRPr="00CA7C54" w:rsidRDefault="001E748C">
            <w:pPr>
              <w:spacing w:before="24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Показники</w:t>
            </w:r>
          </w:p>
        </w:tc>
        <w:tc>
          <w:tcPr>
            <w:tcW w:w="6372" w:type="dxa"/>
            <w:gridSpan w:val="3"/>
          </w:tcPr>
          <w:p w14:paraId="772735A8" w14:textId="77777777" w:rsidR="003C4E04" w:rsidRPr="00CA7C54" w:rsidRDefault="001E748C">
            <w:pPr>
              <w:spacing w:before="6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Типи електроручних вентиляторів</w:t>
            </w:r>
          </w:p>
        </w:tc>
      </w:tr>
      <w:tr w:rsidR="00CA7C54" w:rsidRPr="00CA7C54" w14:paraId="012846B3" w14:textId="77777777" w:rsidTr="004E5FF0">
        <w:trPr>
          <w:jc w:val="center"/>
        </w:trPr>
        <w:tc>
          <w:tcPr>
            <w:tcW w:w="3402" w:type="dxa"/>
            <w:vMerge/>
          </w:tcPr>
          <w:p w14:paraId="2EE4B607"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1"/>
                <w:szCs w:val="21"/>
              </w:rPr>
            </w:pPr>
          </w:p>
        </w:tc>
        <w:tc>
          <w:tcPr>
            <w:tcW w:w="2268" w:type="dxa"/>
          </w:tcPr>
          <w:p w14:paraId="1727E8B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ЕРВ-72-2</w:t>
            </w:r>
          </w:p>
        </w:tc>
        <w:tc>
          <w:tcPr>
            <w:tcW w:w="2126" w:type="dxa"/>
          </w:tcPr>
          <w:p w14:paraId="711844FE"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ЕРВ-72-3</w:t>
            </w:r>
          </w:p>
        </w:tc>
        <w:tc>
          <w:tcPr>
            <w:tcW w:w="1978" w:type="dxa"/>
          </w:tcPr>
          <w:p w14:paraId="4B1BB62A"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ЕРВ-600-300</w:t>
            </w:r>
          </w:p>
        </w:tc>
      </w:tr>
      <w:tr w:rsidR="00CA7C54" w:rsidRPr="00CA7C54" w14:paraId="169A5F88" w14:textId="77777777" w:rsidTr="004E5FF0">
        <w:trPr>
          <w:jc w:val="center"/>
        </w:trPr>
        <w:tc>
          <w:tcPr>
            <w:tcW w:w="3402" w:type="dxa"/>
          </w:tcPr>
          <w:p w14:paraId="012CE18D"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Продуктивність:</w:t>
            </w:r>
          </w:p>
          <w:p w14:paraId="31D58B42" w14:textId="77777777" w:rsidR="003C4E04" w:rsidRPr="00CA7C54" w:rsidRDefault="001E748C">
            <w:pPr>
              <w:pBdr>
                <w:top w:val="nil"/>
                <w:left w:val="nil"/>
                <w:bottom w:val="nil"/>
                <w:right w:val="nil"/>
                <w:between w:val="nil"/>
              </w:pBd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 режимом чистої вентиляції, м</w:t>
            </w:r>
            <w:r w:rsidRPr="00CA7C54">
              <w:rPr>
                <w:rFonts w:ascii="Arial" w:eastAsia="Arial" w:hAnsi="Arial" w:cs="Arial"/>
                <w:color w:val="000000" w:themeColor="text1"/>
                <w:sz w:val="21"/>
                <w:szCs w:val="21"/>
                <w:vertAlign w:val="superscript"/>
              </w:rPr>
              <w:t>3</w:t>
            </w:r>
            <w:r w:rsidRPr="00CA7C54">
              <w:rPr>
                <w:rFonts w:ascii="Arial" w:eastAsia="Arial" w:hAnsi="Arial" w:cs="Arial"/>
                <w:color w:val="000000" w:themeColor="text1"/>
                <w:sz w:val="21"/>
                <w:szCs w:val="21"/>
              </w:rPr>
              <w:t>/год</w:t>
            </w:r>
          </w:p>
          <w:p w14:paraId="684C2851"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 режимом фільтровентиляції, м</w:t>
            </w:r>
            <w:r w:rsidRPr="00CA7C54">
              <w:rPr>
                <w:rFonts w:ascii="Arial" w:eastAsia="Arial" w:hAnsi="Arial" w:cs="Arial"/>
                <w:color w:val="000000" w:themeColor="text1"/>
                <w:sz w:val="21"/>
                <w:szCs w:val="21"/>
                <w:vertAlign w:val="superscript"/>
              </w:rPr>
              <w:t>3</w:t>
            </w:r>
            <w:r w:rsidRPr="00CA7C54">
              <w:rPr>
                <w:rFonts w:ascii="Arial" w:eastAsia="Arial" w:hAnsi="Arial" w:cs="Arial"/>
                <w:color w:val="000000" w:themeColor="text1"/>
                <w:sz w:val="21"/>
                <w:szCs w:val="21"/>
              </w:rPr>
              <w:t>/год</w:t>
            </w:r>
          </w:p>
        </w:tc>
        <w:tc>
          <w:tcPr>
            <w:tcW w:w="2268" w:type="dxa"/>
            <w:vAlign w:val="center"/>
          </w:tcPr>
          <w:p w14:paraId="4CB3ABF7" w14:textId="77777777" w:rsidR="003C4E04" w:rsidRPr="00CA7C54" w:rsidRDefault="003C4E04">
            <w:pPr>
              <w:spacing w:before="0" w:line="240" w:lineRule="auto"/>
              <w:ind w:firstLine="0"/>
              <w:jc w:val="center"/>
              <w:rPr>
                <w:rFonts w:ascii="Arial" w:eastAsia="Arial" w:hAnsi="Arial" w:cs="Arial"/>
                <w:color w:val="000000" w:themeColor="text1"/>
                <w:sz w:val="21"/>
                <w:szCs w:val="21"/>
              </w:rPr>
            </w:pPr>
          </w:p>
          <w:p w14:paraId="23D9008B"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 — 1650</w:t>
            </w:r>
          </w:p>
          <w:p w14:paraId="56F697DB"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2126" w:type="dxa"/>
            <w:vAlign w:val="center"/>
          </w:tcPr>
          <w:p w14:paraId="4D2C91B6" w14:textId="77777777" w:rsidR="003C4E04" w:rsidRPr="00CA7C54" w:rsidRDefault="003C4E04">
            <w:pPr>
              <w:spacing w:before="0" w:line="240" w:lineRule="auto"/>
              <w:ind w:firstLine="0"/>
              <w:jc w:val="center"/>
              <w:rPr>
                <w:rFonts w:ascii="Arial" w:eastAsia="Arial" w:hAnsi="Arial" w:cs="Arial"/>
                <w:color w:val="000000" w:themeColor="text1"/>
                <w:sz w:val="21"/>
                <w:szCs w:val="21"/>
              </w:rPr>
            </w:pPr>
          </w:p>
          <w:p w14:paraId="41DED53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1750 — 2350</w:t>
            </w:r>
          </w:p>
          <w:p w14:paraId="1CA5D674"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1978" w:type="dxa"/>
            <w:vAlign w:val="center"/>
          </w:tcPr>
          <w:p w14:paraId="2120DA36" w14:textId="77777777" w:rsidR="003C4E04" w:rsidRPr="00CA7C54" w:rsidRDefault="003C4E04">
            <w:pPr>
              <w:spacing w:before="0" w:line="240" w:lineRule="auto"/>
              <w:ind w:firstLine="0"/>
              <w:jc w:val="center"/>
              <w:rPr>
                <w:rFonts w:ascii="Arial" w:eastAsia="Arial" w:hAnsi="Arial" w:cs="Arial"/>
                <w:color w:val="000000" w:themeColor="text1"/>
                <w:sz w:val="21"/>
                <w:szCs w:val="21"/>
              </w:rPr>
            </w:pPr>
          </w:p>
          <w:p w14:paraId="04601AB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600</w:t>
            </w:r>
          </w:p>
          <w:p w14:paraId="75ECC04E"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w:t>
            </w:r>
          </w:p>
        </w:tc>
      </w:tr>
      <w:tr w:rsidR="00CA7C54" w:rsidRPr="00CA7C54" w14:paraId="6B4B4532" w14:textId="77777777" w:rsidTr="004E5FF0">
        <w:trPr>
          <w:trHeight w:val="616"/>
          <w:jc w:val="center"/>
        </w:trPr>
        <w:tc>
          <w:tcPr>
            <w:tcW w:w="3402" w:type="dxa"/>
          </w:tcPr>
          <w:p w14:paraId="3B4FAD2A"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Повний напір за режимом фільтровентиляції</w:t>
            </w:r>
          </w:p>
        </w:tc>
        <w:tc>
          <w:tcPr>
            <w:tcW w:w="2268" w:type="dxa"/>
          </w:tcPr>
          <w:p w14:paraId="7AB2E60B"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270 – 200  </w:t>
            </w:r>
          </w:p>
          <w:p w14:paraId="3C302045" w14:textId="77777777" w:rsidR="003C4E04" w:rsidRPr="00CA7C54" w:rsidRDefault="001E748C">
            <w:pPr>
              <w:spacing w:before="0" w:line="240" w:lineRule="auto"/>
              <w:ind w:firstLine="0"/>
              <w:jc w:val="center"/>
              <w:rPr>
                <w:rFonts w:ascii="Arial" w:eastAsia="Arial" w:hAnsi="Arial" w:cs="Arial"/>
                <w:color w:val="000000" w:themeColor="text1"/>
                <w:sz w:val="21"/>
                <w:szCs w:val="21"/>
                <w:highlight w:val="yellow"/>
              </w:rPr>
            </w:pPr>
            <w:r w:rsidRPr="00CA7C54">
              <w:rPr>
                <w:rFonts w:ascii="Arial" w:eastAsia="Arial" w:hAnsi="Arial" w:cs="Arial"/>
                <w:color w:val="000000" w:themeColor="text1"/>
                <w:sz w:val="21"/>
                <w:szCs w:val="21"/>
              </w:rPr>
              <w:t>27 – 20</w:t>
            </w:r>
          </w:p>
        </w:tc>
        <w:tc>
          <w:tcPr>
            <w:tcW w:w="2126" w:type="dxa"/>
          </w:tcPr>
          <w:p w14:paraId="1D52BCAD"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250 – 200  </w:t>
            </w:r>
          </w:p>
          <w:p w14:paraId="0A1D08E0"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rPr>
              <w:t>25 – 20</w:t>
            </w:r>
          </w:p>
          <w:p w14:paraId="16EA2C8E" w14:textId="77777777" w:rsidR="003C4E04" w:rsidRPr="00CA7C54" w:rsidRDefault="003C4E04">
            <w:pPr>
              <w:spacing w:before="0" w:line="240" w:lineRule="auto"/>
              <w:ind w:firstLine="0"/>
              <w:jc w:val="center"/>
              <w:rPr>
                <w:rFonts w:ascii="Arial" w:eastAsia="Arial" w:hAnsi="Arial" w:cs="Arial"/>
                <w:color w:val="000000" w:themeColor="text1"/>
                <w:sz w:val="21"/>
                <w:szCs w:val="21"/>
              </w:rPr>
            </w:pPr>
          </w:p>
        </w:tc>
        <w:tc>
          <w:tcPr>
            <w:tcW w:w="1978" w:type="dxa"/>
          </w:tcPr>
          <w:p w14:paraId="30BBF963"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1250 </w:t>
            </w:r>
          </w:p>
          <w:p w14:paraId="365B0E7A"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rPr>
              <w:t xml:space="preserve">125 </w:t>
            </w:r>
          </w:p>
          <w:p w14:paraId="5E472B0C" w14:textId="77777777" w:rsidR="003C4E04" w:rsidRPr="00CA7C54" w:rsidRDefault="003C4E04">
            <w:pPr>
              <w:spacing w:before="0" w:line="240" w:lineRule="auto"/>
              <w:ind w:firstLine="0"/>
              <w:jc w:val="center"/>
              <w:rPr>
                <w:rFonts w:ascii="Arial" w:eastAsia="Arial" w:hAnsi="Arial" w:cs="Arial"/>
                <w:color w:val="000000" w:themeColor="text1"/>
                <w:sz w:val="21"/>
                <w:szCs w:val="21"/>
                <w:u w:val="single"/>
              </w:rPr>
            </w:pPr>
          </w:p>
        </w:tc>
      </w:tr>
      <w:tr w:rsidR="00CA7C54" w:rsidRPr="00CA7C54" w14:paraId="7326E8F6" w14:textId="77777777" w:rsidTr="004E5FF0">
        <w:trPr>
          <w:jc w:val="center"/>
        </w:trPr>
        <w:tc>
          <w:tcPr>
            <w:tcW w:w="3402" w:type="dxa"/>
          </w:tcPr>
          <w:p w14:paraId="41AA8733"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Повний напір за режимом чистої вентиляції</w:t>
            </w:r>
          </w:p>
        </w:tc>
        <w:tc>
          <w:tcPr>
            <w:tcW w:w="2268" w:type="dxa"/>
          </w:tcPr>
          <w:p w14:paraId="46118911"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2126" w:type="dxa"/>
          </w:tcPr>
          <w:p w14:paraId="29C42D57"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1978" w:type="dxa"/>
          </w:tcPr>
          <w:p w14:paraId="660C261D"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600  </w:t>
            </w:r>
          </w:p>
          <w:p w14:paraId="7B1F199F"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w:t>
            </w:r>
          </w:p>
        </w:tc>
      </w:tr>
    </w:tbl>
    <w:p w14:paraId="36C41D7A" w14:textId="77777777" w:rsidR="007D5313" w:rsidRPr="00CA7C54" w:rsidRDefault="007D5313">
      <w:pPr>
        <w:rPr>
          <w:color w:val="000000" w:themeColor="text1"/>
        </w:rPr>
      </w:pPr>
      <w:r w:rsidRPr="00CA7C54">
        <w:rPr>
          <w:color w:val="000000" w:themeColor="text1"/>
        </w:rPr>
        <w:br w:type="page"/>
      </w:r>
    </w:p>
    <w:tbl>
      <w:tblPr>
        <w:tblStyle w:val="afffffffffffffffffffffffffffffffff6"/>
        <w:tblW w:w="100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268"/>
        <w:gridCol w:w="2268"/>
        <w:gridCol w:w="2126"/>
        <w:gridCol w:w="1978"/>
      </w:tblGrid>
      <w:tr w:rsidR="00CA7C54" w:rsidRPr="00CA7C54" w14:paraId="01CF0A31" w14:textId="77777777" w:rsidTr="007D5313">
        <w:trPr>
          <w:jc w:val="center"/>
        </w:trPr>
        <w:tc>
          <w:tcPr>
            <w:tcW w:w="10053" w:type="dxa"/>
            <w:gridSpan w:val="5"/>
            <w:tcBorders>
              <w:top w:val="nil"/>
              <w:left w:val="nil"/>
              <w:right w:val="nil"/>
            </w:tcBorders>
          </w:tcPr>
          <w:p w14:paraId="1CABB1C1" w14:textId="77777777" w:rsidR="007D5313" w:rsidRPr="00CA7C54" w:rsidRDefault="007D5313" w:rsidP="007D5313">
            <w:pPr>
              <w:spacing w:before="0" w:line="240" w:lineRule="auto"/>
              <w:ind w:firstLine="0"/>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 xml:space="preserve">Кінець Таблиці </w:t>
            </w:r>
            <w:r w:rsidR="004E5FF0" w:rsidRPr="00CA7C54">
              <w:rPr>
                <w:rFonts w:ascii="Arial" w:hAnsi="Arial" w:cs="Arial"/>
                <w:color w:val="000000" w:themeColor="text1"/>
                <w:sz w:val="21"/>
                <w:szCs w:val="21"/>
              </w:rPr>
              <w:t>Е</w:t>
            </w:r>
            <w:r w:rsidRPr="00CA7C54">
              <w:rPr>
                <w:rFonts w:ascii="Arial" w:hAnsi="Arial" w:cs="Arial"/>
                <w:color w:val="000000" w:themeColor="text1"/>
                <w:sz w:val="21"/>
                <w:szCs w:val="21"/>
              </w:rPr>
              <w:t>.2</w:t>
            </w:r>
          </w:p>
        </w:tc>
      </w:tr>
      <w:tr w:rsidR="00CA7C54" w:rsidRPr="00CA7C54" w14:paraId="3342A9B9" w14:textId="77777777" w:rsidTr="007D5313">
        <w:trPr>
          <w:jc w:val="center"/>
        </w:trPr>
        <w:tc>
          <w:tcPr>
            <w:tcW w:w="3681" w:type="dxa"/>
            <w:gridSpan w:val="2"/>
            <w:vMerge w:val="restart"/>
          </w:tcPr>
          <w:p w14:paraId="7EC69B71" w14:textId="77777777" w:rsidR="007D5313" w:rsidRPr="00CA7C54" w:rsidRDefault="007D5313" w:rsidP="007D5313">
            <w:pPr>
              <w:spacing w:before="0" w:line="240" w:lineRule="auto"/>
              <w:ind w:firstLine="0"/>
              <w:rPr>
                <w:color w:val="000000" w:themeColor="text1"/>
                <w:sz w:val="21"/>
                <w:szCs w:val="21"/>
              </w:rPr>
            </w:pPr>
            <w:r w:rsidRPr="00CA7C54">
              <w:rPr>
                <w:rFonts w:ascii="Arial" w:eastAsia="Arial" w:hAnsi="Arial" w:cs="Arial"/>
                <w:b/>
                <w:color w:val="000000" w:themeColor="text1"/>
                <w:sz w:val="21"/>
                <w:szCs w:val="21"/>
              </w:rPr>
              <w:t>Показники</w:t>
            </w:r>
          </w:p>
        </w:tc>
        <w:tc>
          <w:tcPr>
            <w:tcW w:w="6372" w:type="dxa"/>
            <w:gridSpan w:val="3"/>
          </w:tcPr>
          <w:p w14:paraId="24462D40" w14:textId="77777777" w:rsidR="007D5313" w:rsidRPr="00CA7C54" w:rsidRDefault="007D5313" w:rsidP="007D5313">
            <w:pPr>
              <w:spacing w:before="0" w:line="240" w:lineRule="auto"/>
              <w:ind w:firstLine="0"/>
              <w:jc w:val="center"/>
              <w:rPr>
                <w:color w:val="000000" w:themeColor="text1"/>
                <w:sz w:val="21"/>
                <w:szCs w:val="21"/>
              </w:rPr>
            </w:pPr>
            <w:r w:rsidRPr="00CA7C54">
              <w:rPr>
                <w:rFonts w:ascii="Arial" w:eastAsia="Arial" w:hAnsi="Arial" w:cs="Arial"/>
                <w:b/>
                <w:color w:val="000000" w:themeColor="text1"/>
                <w:sz w:val="21"/>
                <w:szCs w:val="21"/>
              </w:rPr>
              <w:t>Типи електроручних вентиляторів</w:t>
            </w:r>
          </w:p>
        </w:tc>
      </w:tr>
      <w:tr w:rsidR="00CA7C54" w:rsidRPr="00CA7C54" w14:paraId="64AB08B7" w14:textId="77777777" w:rsidTr="007D5313">
        <w:trPr>
          <w:jc w:val="center"/>
        </w:trPr>
        <w:tc>
          <w:tcPr>
            <w:tcW w:w="3681" w:type="dxa"/>
            <w:gridSpan w:val="2"/>
            <w:vMerge/>
          </w:tcPr>
          <w:p w14:paraId="1F75DDE6" w14:textId="77777777" w:rsidR="007D5313" w:rsidRPr="00CA7C54" w:rsidRDefault="007D5313" w:rsidP="007D5313">
            <w:pPr>
              <w:spacing w:before="0" w:line="240" w:lineRule="auto"/>
              <w:ind w:firstLine="0"/>
              <w:rPr>
                <w:color w:val="000000" w:themeColor="text1"/>
                <w:sz w:val="21"/>
                <w:szCs w:val="21"/>
              </w:rPr>
            </w:pPr>
          </w:p>
        </w:tc>
        <w:tc>
          <w:tcPr>
            <w:tcW w:w="2268" w:type="dxa"/>
          </w:tcPr>
          <w:p w14:paraId="07CE832B" w14:textId="77777777" w:rsidR="007D5313" w:rsidRPr="00CA7C54" w:rsidRDefault="007D5313" w:rsidP="007D5313">
            <w:pPr>
              <w:spacing w:before="0" w:line="240" w:lineRule="auto"/>
              <w:ind w:firstLine="0"/>
              <w:jc w:val="center"/>
              <w:rPr>
                <w:color w:val="000000" w:themeColor="text1"/>
                <w:sz w:val="21"/>
                <w:szCs w:val="21"/>
              </w:rPr>
            </w:pPr>
            <w:r w:rsidRPr="00CA7C54">
              <w:rPr>
                <w:rFonts w:ascii="Arial" w:eastAsia="Arial" w:hAnsi="Arial" w:cs="Arial"/>
                <w:b/>
                <w:color w:val="000000" w:themeColor="text1"/>
                <w:sz w:val="21"/>
                <w:szCs w:val="21"/>
              </w:rPr>
              <w:t>ЕРВ-72-2</w:t>
            </w:r>
          </w:p>
        </w:tc>
        <w:tc>
          <w:tcPr>
            <w:tcW w:w="2126" w:type="dxa"/>
          </w:tcPr>
          <w:p w14:paraId="188ACE75" w14:textId="77777777" w:rsidR="007D5313" w:rsidRPr="00CA7C54" w:rsidRDefault="007D5313" w:rsidP="007D5313">
            <w:pPr>
              <w:spacing w:before="0" w:line="240" w:lineRule="auto"/>
              <w:ind w:firstLine="0"/>
              <w:jc w:val="center"/>
              <w:rPr>
                <w:color w:val="000000" w:themeColor="text1"/>
                <w:sz w:val="21"/>
                <w:szCs w:val="21"/>
              </w:rPr>
            </w:pPr>
            <w:r w:rsidRPr="00CA7C54">
              <w:rPr>
                <w:rFonts w:ascii="Arial" w:eastAsia="Arial" w:hAnsi="Arial" w:cs="Arial"/>
                <w:b/>
                <w:color w:val="000000" w:themeColor="text1"/>
                <w:sz w:val="21"/>
                <w:szCs w:val="21"/>
              </w:rPr>
              <w:t>ЕРВ-72-3</w:t>
            </w:r>
          </w:p>
        </w:tc>
        <w:tc>
          <w:tcPr>
            <w:tcW w:w="1978" w:type="dxa"/>
          </w:tcPr>
          <w:p w14:paraId="201F1D12" w14:textId="77777777" w:rsidR="007D5313" w:rsidRPr="00CA7C54" w:rsidRDefault="007D5313" w:rsidP="007D5313">
            <w:pPr>
              <w:spacing w:before="0" w:line="240" w:lineRule="auto"/>
              <w:ind w:firstLine="0"/>
              <w:jc w:val="center"/>
              <w:rPr>
                <w:color w:val="000000" w:themeColor="text1"/>
                <w:sz w:val="21"/>
                <w:szCs w:val="21"/>
              </w:rPr>
            </w:pPr>
            <w:r w:rsidRPr="00CA7C54">
              <w:rPr>
                <w:rFonts w:ascii="Arial" w:eastAsia="Arial" w:hAnsi="Arial" w:cs="Arial"/>
                <w:b/>
                <w:color w:val="000000" w:themeColor="text1"/>
                <w:sz w:val="21"/>
                <w:szCs w:val="21"/>
              </w:rPr>
              <w:t>ЕРВ-600-300</w:t>
            </w:r>
          </w:p>
        </w:tc>
      </w:tr>
      <w:tr w:rsidR="00CA7C54" w:rsidRPr="00CA7C54" w14:paraId="10DDD0C5" w14:textId="77777777" w:rsidTr="007D5313">
        <w:trPr>
          <w:jc w:val="center"/>
        </w:trPr>
        <w:tc>
          <w:tcPr>
            <w:tcW w:w="3681" w:type="dxa"/>
            <w:gridSpan w:val="2"/>
          </w:tcPr>
          <w:p w14:paraId="107A31C5" w14:textId="77777777" w:rsidR="007D5313" w:rsidRPr="00CA7C54" w:rsidRDefault="007D5313" w:rsidP="007D5313">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Діаметр робочого колеса</w:t>
            </w:r>
          </w:p>
        </w:tc>
        <w:tc>
          <w:tcPr>
            <w:tcW w:w="2268" w:type="dxa"/>
          </w:tcPr>
          <w:p w14:paraId="3AD40B83"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0,95 </w:t>
            </w:r>
            <w:r w:rsidRPr="00CA7C54">
              <w:rPr>
                <w:rFonts w:ascii="Arial" w:eastAsia="Arial" w:hAnsi="Arial" w:cs="Arial"/>
                <w:i/>
                <w:color w:val="000000" w:themeColor="text1"/>
                <w:sz w:val="21"/>
                <w:szCs w:val="21"/>
              </w:rPr>
              <w:t>D</w:t>
            </w:r>
            <w:r w:rsidRPr="00CA7C54">
              <w:rPr>
                <w:rFonts w:ascii="Arial" w:eastAsia="Arial" w:hAnsi="Arial" w:cs="Arial"/>
                <w:i/>
                <w:color w:val="000000" w:themeColor="text1"/>
                <w:sz w:val="21"/>
                <w:szCs w:val="21"/>
                <w:vertAlign w:val="subscript"/>
              </w:rPr>
              <w:t>н</w:t>
            </w:r>
          </w:p>
        </w:tc>
        <w:tc>
          <w:tcPr>
            <w:tcW w:w="2126" w:type="dxa"/>
          </w:tcPr>
          <w:p w14:paraId="73CA7C39"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1,05 </w:t>
            </w:r>
            <w:r w:rsidRPr="00CA7C54">
              <w:rPr>
                <w:rFonts w:ascii="Arial" w:eastAsia="Arial" w:hAnsi="Arial" w:cs="Arial"/>
                <w:i/>
                <w:color w:val="000000" w:themeColor="text1"/>
                <w:sz w:val="21"/>
                <w:szCs w:val="21"/>
              </w:rPr>
              <w:t>D</w:t>
            </w:r>
            <w:r w:rsidRPr="00CA7C54">
              <w:rPr>
                <w:rFonts w:ascii="Arial" w:eastAsia="Arial" w:hAnsi="Arial" w:cs="Arial"/>
                <w:i/>
                <w:color w:val="000000" w:themeColor="text1"/>
                <w:sz w:val="21"/>
                <w:szCs w:val="21"/>
                <w:vertAlign w:val="subscript"/>
              </w:rPr>
              <w:t>н</w:t>
            </w:r>
          </w:p>
        </w:tc>
        <w:tc>
          <w:tcPr>
            <w:tcW w:w="1978" w:type="dxa"/>
          </w:tcPr>
          <w:p w14:paraId="3A0C9C88"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315 мм</w:t>
            </w:r>
          </w:p>
        </w:tc>
      </w:tr>
      <w:tr w:rsidR="00CA7C54" w:rsidRPr="00CA7C54" w14:paraId="3BCA6EDD" w14:textId="77777777" w:rsidTr="007D5313">
        <w:trPr>
          <w:jc w:val="center"/>
        </w:trPr>
        <w:tc>
          <w:tcPr>
            <w:tcW w:w="3681" w:type="dxa"/>
            <w:gridSpan w:val="2"/>
          </w:tcPr>
          <w:p w14:paraId="289ED45C"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Електродвигун:</w:t>
            </w:r>
          </w:p>
          <w:p w14:paraId="70458923" w14:textId="77777777" w:rsidR="007D5313" w:rsidRPr="00CA7C54" w:rsidRDefault="007D5313" w:rsidP="007D5313">
            <w:pPr>
              <w:pBdr>
                <w:top w:val="nil"/>
                <w:left w:val="nil"/>
                <w:bottom w:val="nil"/>
                <w:right w:val="nil"/>
                <w:between w:val="nil"/>
              </w:pBd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тип/потужність, кВт</w:t>
            </w:r>
          </w:p>
          <w:p w14:paraId="36AAFB00" w14:textId="77777777" w:rsidR="007D5313" w:rsidRPr="00CA7C54" w:rsidRDefault="007D5313" w:rsidP="007D5313">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швидкість обертання, об/хв</w:t>
            </w:r>
          </w:p>
        </w:tc>
        <w:tc>
          <w:tcPr>
            <w:tcW w:w="2268" w:type="dxa"/>
          </w:tcPr>
          <w:p w14:paraId="586C0F6E"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p w14:paraId="4498E666"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АОП-21-4 / 0,27</w:t>
            </w:r>
          </w:p>
          <w:p w14:paraId="38CB9F10"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1 400</w:t>
            </w:r>
          </w:p>
        </w:tc>
        <w:tc>
          <w:tcPr>
            <w:tcW w:w="2126" w:type="dxa"/>
          </w:tcPr>
          <w:p w14:paraId="76A1F1A4"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p w14:paraId="3DC00FB2"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4А71А6 / 0,37</w:t>
            </w:r>
          </w:p>
          <w:p w14:paraId="0C2707E5"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1 000</w:t>
            </w:r>
          </w:p>
        </w:tc>
        <w:tc>
          <w:tcPr>
            <w:tcW w:w="1978" w:type="dxa"/>
          </w:tcPr>
          <w:p w14:paraId="506682B4"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p w14:paraId="07B11B2C"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4АА63 / 0,55</w:t>
            </w:r>
          </w:p>
          <w:p w14:paraId="306C0A0D"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3 000</w:t>
            </w:r>
          </w:p>
        </w:tc>
      </w:tr>
      <w:tr w:rsidR="00CA7C54" w:rsidRPr="00CA7C54" w14:paraId="386F1BF2" w14:textId="77777777" w:rsidTr="007D5313">
        <w:trPr>
          <w:jc w:val="center"/>
        </w:trPr>
        <w:tc>
          <w:tcPr>
            <w:tcW w:w="3681" w:type="dxa"/>
            <w:gridSpan w:val="2"/>
          </w:tcPr>
          <w:p w14:paraId="600BDB77" w14:textId="77777777" w:rsidR="007D5313" w:rsidRPr="00CA7C54" w:rsidRDefault="007D5313" w:rsidP="007D5313">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Кількість працюючих при ручному приводі, чол.</w:t>
            </w:r>
          </w:p>
        </w:tc>
        <w:tc>
          <w:tcPr>
            <w:tcW w:w="2268" w:type="dxa"/>
          </w:tcPr>
          <w:p w14:paraId="41EF5380"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tc>
        <w:tc>
          <w:tcPr>
            <w:tcW w:w="2126" w:type="dxa"/>
          </w:tcPr>
          <w:p w14:paraId="1563253A"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tc>
        <w:tc>
          <w:tcPr>
            <w:tcW w:w="1978" w:type="dxa"/>
          </w:tcPr>
          <w:p w14:paraId="1797DFBD"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tc>
      </w:tr>
      <w:tr w:rsidR="00CA7C54" w:rsidRPr="00CA7C54" w14:paraId="3BEAB7ED" w14:textId="77777777" w:rsidTr="007D5313">
        <w:trPr>
          <w:jc w:val="center"/>
        </w:trPr>
        <w:tc>
          <w:tcPr>
            <w:tcW w:w="3681" w:type="dxa"/>
            <w:gridSpan w:val="2"/>
            <w:vAlign w:val="center"/>
          </w:tcPr>
          <w:p w14:paraId="198FD4EE" w14:textId="77777777" w:rsidR="007D5313" w:rsidRPr="00CA7C54" w:rsidRDefault="007D5313" w:rsidP="007D5313">
            <w:pPr>
              <w:spacing w:before="0" w:line="240"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Маса, кг</w:t>
            </w:r>
          </w:p>
        </w:tc>
        <w:tc>
          <w:tcPr>
            <w:tcW w:w="2268" w:type="dxa"/>
          </w:tcPr>
          <w:p w14:paraId="3DE862E9"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w:t>
            </w:r>
          </w:p>
        </w:tc>
        <w:tc>
          <w:tcPr>
            <w:tcW w:w="2126" w:type="dxa"/>
          </w:tcPr>
          <w:p w14:paraId="1727642E"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116</w:t>
            </w:r>
          </w:p>
        </w:tc>
        <w:tc>
          <w:tcPr>
            <w:tcW w:w="1978" w:type="dxa"/>
          </w:tcPr>
          <w:p w14:paraId="5D3B02E3"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r>
      <w:tr w:rsidR="00CA7C54" w:rsidRPr="00CA7C54" w14:paraId="68D55AB0" w14:textId="77777777" w:rsidTr="007D5313">
        <w:trPr>
          <w:trHeight w:val="196"/>
          <w:jc w:val="center"/>
        </w:trPr>
        <w:tc>
          <w:tcPr>
            <w:tcW w:w="1413" w:type="dxa"/>
          </w:tcPr>
          <w:p w14:paraId="369EC36F" w14:textId="77777777" w:rsidR="007D5313" w:rsidRPr="00CA7C54" w:rsidRDefault="007D5313" w:rsidP="007D5313">
            <w:pPr>
              <w:spacing w:before="0" w:line="240" w:lineRule="auto"/>
              <w:ind w:firstLine="0"/>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1.</w:t>
            </w:r>
          </w:p>
        </w:tc>
        <w:tc>
          <w:tcPr>
            <w:tcW w:w="8640" w:type="dxa"/>
            <w:gridSpan w:val="4"/>
          </w:tcPr>
          <w:p w14:paraId="03BC45FB" w14:textId="77777777" w:rsidR="007D5313" w:rsidRPr="00CA7C54" w:rsidRDefault="007D5313" w:rsidP="007D5313">
            <w:pPr>
              <w:spacing w:before="0" w:line="240" w:lineRule="auto"/>
              <w:ind w:firstLine="0"/>
              <w:rPr>
                <w:rFonts w:ascii="Arial" w:eastAsia="Arial" w:hAnsi="Arial" w:cs="Arial"/>
                <w:color w:val="000000" w:themeColor="text1"/>
                <w:sz w:val="20"/>
                <w:szCs w:val="20"/>
                <w:highlight w:val="yellow"/>
              </w:rPr>
            </w:pPr>
            <w:r w:rsidRPr="00CA7C54">
              <w:rPr>
                <w:rFonts w:ascii="Arial" w:eastAsia="Arial" w:hAnsi="Arial" w:cs="Arial"/>
                <w:color w:val="000000" w:themeColor="text1"/>
                <w:sz w:val="20"/>
                <w:szCs w:val="20"/>
                <w:highlight w:val="white"/>
              </w:rPr>
              <w:t>Для повного напору над рискою наведено значення у [Н/м</w:t>
            </w:r>
            <w:r w:rsidRPr="00CA7C54">
              <w:rPr>
                <w:rFonts w:ascii="Arial" w:eastAsia="Arial" w:hAnsi="Arial" w:cs="Arial"/>
                <w:color w:val="000000" w:themeColor="text1"/>
                <w:sz w:val="20"/>
                <w:szCs w:val="20"/>
                <w:highlight w:val="white"/>
                <w:vertAlign w:val="superscript"/>
              </w:rPr>
              <w:t>2</w:t>
            </w:r>
            <w:r w:rsidRPr="00CA7C54">
              <w:rPr>
                <w:rFonts w:ascii="Arial" w:eastAsia="Arial" w:hAnsi="Arial" w:cs="Arial"/>
                <w:color w:val="000000" w:themeColor="text1"/>
                <w:sz w:val="20"/>
                <w:szCs w:val="20"/>
                <w:highlight w:val="white"/>
              </w:rPr>
              <w:t>], під рискою у [кгс/м</w:t>
            </w:r>
            <w:r w:rsidRPr="00CA7C54">
              <w:rPr>
                <w:rFonts w:ascii="Arial" w:eastAsia="Arial" w:hAnsi="Arial" w:cs="Arial"/>
                <w:color w:val="000000" w:themeColor="text1"/>
                <w:sz w:val="20"/>
                <w:szCs w:val="20"/>
                <w:highlight w:val="white"/>
                <w:vertAlign w:val="superscript"/>
              </w:rPr>
              <w:t>2</w:t>
            </w:r>
            <w:r w:rsidRPr="00CA7C54">
              <w:rPr>
                <w:rFonts w:ascii="Arial" w:eastAsia="Arial" w:hAnsi="Arial" w:cs="Arial"/>
                <w:color w:val="000000" w:themeColor="text1"/>
                <w:sz w:val="20"/>
                <w:szCs w:val="20"/>
                <w:highlight w:val="white"/>
              </w:rPr>
              <w:t>]</w:t>
            </w:r>
          </w:p>
        </w:tc>
      </w:tr>
      <w:tr w:rsidR="007D5313" w:rsidRPr="00CA7C54" w14:paraId="4E36090B" w14:textId="77777777" w:rsidTr="007D5313">
        <w:trPr>
          <w:trHeight w:val="561"/>
          <w:jc w:val="center"/>
        </w:trPr>
        <w:tc>
          <w:tcPr>
            <w:tcW w:w="1413" w:type="dxa"/>
          </w:tcPr>
          <w:p w14:paraId="5C050E18" w14:textId="77777777" w:rsidR="007D5313" w:rsidRPr="00CA7C54" w:rsidRDefault="007D5313" w:rsidP="007D5313">
            <w:pPr>
              <w:spacing w:before="0" w:line="240" w:lineRule="auto"/>
              <w:ind w:firstLine="0"/>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2.</w:t>
            </w:r>
          </w:p>
        </w:tc>
        <w:tc>
          <w:tcPr>
            <w:tcW w:w="8640" w:type="dxa"/>
            <w:gridSpan w:val="4"/>
          </w:tcPr>
          <w:p w14:paraId="48FA87BC" w14:textId="77777777" w:rsidR="007D5313" w:rsidRPr="00CA7C54" w:rsidRDefault="007D5313" w:rsidP="007D5313">
            <w:pPr>
              <w:spacing w:before="0" w:line="240" w:lineRule="auto"/>
              <w:ind w:firstLine="0"/>
              <w:rPr>
                <w:rFonts w:ascii="Arial" w:eastAsia="Arial" w:hAnsi="Arial" w:cs="Arial"/>
                <w:color w:val="000000" w:themeColor="text1"/>
                <w:sz w:val="20"/>
                <w:szCs w:val="20"/>
                <w:highlight w:val="white"/>
              </w:rPr>
            </w:pPr>
            <w:r w:rsidRPr="00CA7C54">
              <w:rPr>
                <w:rFonts w:ascii="Arial" w:eastAsia="Arial" w:hAnsi="Arial" w:cs="Arial"/>
                <w:color w:val="000000" w:themeColor="text1"/>
                <w:sz w:val="20"/>
                <w:szCs w:val="20"/>
                <w:highlight w:val="white"/>
              </w:rPr>
              <w:t>Допускається застосування інших електроручних вентиляторів (аналогів) із забезпеченням необхідних технічних параметрів, їх продуктивність та напір повинні відповідати розрахунковим параметрам вентиляції.</w:t>
            </w:r>
          </w:p>
        </w:tc>
      </w:tr>
    </w:tbl>
    <w:p w14:paraId="0A05CB5C" w14:textId="77777777" w:rsidR="00AC05B5" w:rsidRPr="00CA7C54" w:rsidRDefault="00AC05B5">
      <w:pPr>
        <w:pStyle w:val="2"/>
        <w:spacing w:after="0" w:line="240" w:lineRule="auto"/>
        <w:ind w:firstLine="0"/>
        <w:jc w:val="center"/>
        <w:rPr>
          <w:rFonts w:ascii="Arial" w:hAnsi="Arial"/>
          <w:color w:val="000000" w:themeColor="text1"/>
          <w:sz w:val="21"/>
          <w:szCs w:val="21"/>
        </w:rPr>
      </w:pPr>
    </w:p>
    <w:p w14:paraId="1B572C2A" w14:textId="77777777" w:rsidR="00AC05B5" w:rsidRPr="00CA7C54" w:rsidRDefault="00AC05B5">
      <w:pPr>
        <w:pStyle w:val="2"/>
        <w:spacing w:after="0" w:line="240" w:lineRule="auto"/>
        <w:ind w:firstLine="0"/>
        <w:jc w:val="center"/>
        <w:rPr>
          <w:rFonts w:ascii="Arial" w:hAnsi="Arial"/>
          <w:color w:val="000000" w:themeColor="text1"/>
          <w:sz w:val="21"/>
          <w:szCs w:val="21"/>
        </w:rPr>
      </w:pPr>
      <w:r w:rsidRPr="00CA7C54">
        <w:rPr>
          <w:rFonts w:ascii="Arial" w:hAnsi="Arial"/>
          <w:color w:val="000000" w:themeColor="text1"/>
          <w:sz w:val="21"/>
          <w:szCs w:val="21"/>
        </w:rPr>
        <w:br w:type="page"/>
      </w:r>
    </w:p>
    <w:p w14:paraId="7A461362" w14:textId="77777777" w:rsidR="003C4E04" w:rsidRPr="00CA7C54" w:rsidRDefault="001E748C">
      <w:pPr>
        <w:pStyle w:val="2"/>
        <w:spacing w:after="0" w:line="240" w:lineRule="auto"/>
        <w:ind w:firstLine="0"/>
        <w:jc w:val="center"/>
        <w:rPr>
          <w:rFonts w:ascii="Arial" w:hAnsi="Arial"/>
          <w:b w:val="0"/>
          <w:bCs w:val="0"/>
          <w:color w:val="000000" w:themeColor="text1"/>
          <w:sz w:val="21"/>
          <w:szCs w:val="21"/>
        </w:rPr>
      </w:pPr>
      <w:r w:rsidRPr="00CA7C54">
        <w:rPr>
          <w:rFonts w:ascii="Arial" w:hAnsi="Arial"/>
          <w:b w:val="0"/>
          <w:bCs w:val="0"/>
          <w:color w:val="000000" w:themeColor="text1"/>
          <w:sz w:val="21"/>
          <w:szCs w:val="21"/>
        </w:rPr>
        <w:lastRenderedPageBreak/>
        <w:t xml:space="preserve">ДОДАТОК </w:t>
      </w:r>
      <w:r w:rsidR="005169CF" w:rsidRPr="00CA7C54">
        <w:rPr>
          <w:rFonts w:ascii="Arial" w:hAnsi="Arial"/>
          <w:b w:val="0"/>
          <w:bCs w:val="0"/>
          <w:color w:val="000000" w:themeColor="text1"/>
          <w:sz w:val="21"/>
          <w:szCs w:val="21"/>
        </w:rPr>
        <w:t>Ж</w:t>
      </w:r>
    </w:p>
    <w:p w14:paraId="6D62856B" w14:textId="77777777" w:rsidR="003C4E04" w:rsidRPr="00CA7C54" w:rsidRDefault="001E748C">
      <w:pPr>
        <w:spacing w:before="0" w:line="240" w:lineRule="auto"/>
        <w:ind w:firstLine="0"/>
        <w:jc w:val="center"/>
        <w:rPr>
          <w:color w:val="000000" w:themeColor="text1"/>
          <w:sz w:val="21"/>
          <w:szCs w:val="21"/>
        </w:rPr>
      </w:pPr>
      <w:r w:rsidRPr="00CA7C54">
        <w:rPr>
          <w:color w:val="000000" w:themeColor="text1"/>
          <w:sz w:val="21"/>
          <w:szCs w:val="21"/>
        </w:rPr>
        <w:t>(обов’язковий)</w:t>
      </w:r>
    </w:p>
    <w:p w14:paraId="77A54C95" w14:textId="77777777" w:rsidR="003C4E04" w:rsidRPr="00CA7C54" w:rsidRDefault="001E748C">
      <w:pPr>
        <w:pBdr>
          <w:top w:val="nil"/>
          <w:left w:val="nil"/>
          <w:bottom w:val="nil"/>
          <w:right w:val="nil"/>
          <w:between w:val="nil"/>
        </w:pBdr>
        <w:tabs>
          <w:tab w:val="left" w:pos="2552"/>
        </w:tabs>
        <w:spacing w:line="240" w:lineRule="auto"/>
        <w:ind w:firstLine="0"/>
        <w:jc w:val="center"/>
        <w:rPr>
          <w:color w:val="000000" w:themeColor="text1"/>
          <w:sz w:val="21"/>
          <w:szCs w:val="21"/>
        </w:rPr>
      </w:pPr>
      <w:r w:rsidRPr="00CA7C54">
        <w:rPr>
          <w:rFonts w:eastAsia="Calibri"/>
          <w:b/>
          <w:smallCaps/>
          <w:color w:val="000000" w:themeColor="text1"/>
          <w:sz w:val="21"/>
          <w:szCs w:val="21"/>
        </w:rPr>
        <w:t>МЕТОДИКА РОЗРАХУНКУ ЗАПАСУ СТИСНУТОГО ПОВІТРЯ</w:t>
      </w:r>
    </w:p>
    <w:p w14:paraId="1B77F3EE" w14:textId="77777777" w:rsidR="003C4E04" w:rsidRPr="00CA7C54" w:rsidRDefault="004E5FF0">
      <w:pPr>
        <w:spacing w:line="240" w:lineRule="auto"/>
        <w:rPr>
          <w:b/>
          <w:bCs/>
          <w:color w:val="000000" w:themeColor="text1"/>
          <w:sz w:val="21"/>
          <w:szCs w:val="21"/>
        </w:rPr>
      </w:pPr>
      <w:r w:rsidRPr="00CA7C54">
        <w:rPr>
          <w:b/>
          <w:bCs/>
          <w:color w:val="000000" w:themeColor="text1"/>
          <w:sz w:val="21"/>
          <w:szCs w:val="21"/>
        </w:rPr>
        <w:t>Таблиця Ж.1</w:t>
      </w:r>
    </w:p>
    <w:tbl>
      <w:tblPr>
        <w:tblStyle w:val="afffffffffffffffffffffffffffffffff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127"/>
        <w:gridCol w:w="1134"/>
        <w:gridCol w:w="1134"/>
        <w:gridCol w:w="2693"/>
        <w:gridCol w:w="2410"/>
      </w:tblGrid>
      <w:tr w:rsidR="00CA7C54" w:rsidRPr="00CA7C54" w14:paraId="73764BD7" w14:textId="77777777" w:rsidTr="005210FC">
        <w:trPr>
          <w:trHeight w:val="706"/>
        </w:trPr>
        <w:tc>
          <w:tcPr>
            <w:tcW w:w="562" w:type="dxa"/>
          </w:tcPr>
          <w:p w14:paraId="63D5B86B"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Ч.ч.</w:t>
            </w:r>
          </w:p>
        </w:tc>
        <w:tc>
          <w:tcPr>
            <w:tcW w:w="2127" w:type="dxa"/>
          </w:tcPr>
          <w:p w14:paraId="1910BB3D"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Розрахункова величина</w:t>
            </w:r>
          </w:p>
        </w:tc>
        <w:tc>
          <w:tcPr>
            <w:tcW w:w="1134" w:type="dxa"/>
          </w:tcPr>
          <w:p w14:paraId="31EBC8E3"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Позначе</w:t>
            </w:r>
            <w:r w:rsidR="003A17BC" w:rsidRPr="00CA7C54">
              <w:rPr>
                <w:rFonts w:ascii="Arial" w:hAnsi="Arial" w:cs="Arial"/>
                <w:b/>
                <w:color w:val="000000" w:themeColor="text1"/>
                <w:sz w:val="20"/>
                <w:szCs w:val="20"/>
              </w:rPr>
              <w:t>-</w:t>
            </w:r>
            <w:r w:rsidRPr="00CA7C54">
              <w:rPr>
                <w:rFonts w:ascii="Arial" w:hAnsi="Arial" w:cs="Arial"/>
                <w:b/>
                <w:color w:val="000000" w:themeColor="text1"/>
                <w:sz w:val="20"/>
                <w:szCs w:val="20"/>
              </w:rPr>
              <w:t>ння</w:t>
            </w:r>
          </w:p>
        </w:tc>
        <w:tc>
          <w:tcPr>
            <w:tcW w:w="1134" w:type="dxa"/>
          </w:tcPr>
          <w:p w14:paraId="3D866902"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Один</w:t>
            </w:r>
            <w:r w:rsidR="00817653" w:rsidRPr="00CA7C54">
              <w:rPr>
                <w:rFonts w:ascii="Arial" w:hAnsi="Arial" w:cs="Arial"/>
                <w:b/>
                <w:color w:val="000000" w:themeColor="text1"/>
                <w:sz w:val="20"/>
                <w:szCs w:val="20"/>
              </w:rPr>
              <w:t>и</w:t>
            </w:r>
            <w:r w:rsidRPr="00CA7C54">
              <w:rPr>
                <w:rFonts w:ascii="Arial" w:hAnsi="Arial" w:cs="Arial"/>
                <w:b/>
                <w:color w:val="000000" w:themeColor="text1"/>
                <w:sz w:val="20"/>
                <w:szCs w:val="20"/>
              </w:rPr>
              <w:t>ця виміру</w:t>
            </w:r>
          </w:p>
        </w:tc>
        <w:tc>
          <w:tcPr>
            <w:tcW w:w="2693" w:type="dxa"/>
          </w:tcPr>
          <w:p w14:paraId="68774292"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Розрахункова формула</w:t>
            </w:r>
          </w:p>
        </w:tc>
        <w:tc>
          <w:tcPr>
            <w:tcW w:w="2410" w:type="dxa"/>
          </w:tcPr>
          <w:p w14:paraId="4241DADE"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Примітки</w:t>
            </w:r>
          </w:p>
        </w:tc>
      </w:tr>
      <w:tr w:rsidR="00CA7C54" w:rsidRPr="00CA7C54" w14:paraId="5975E351" w14:textId="77777777" w:rsidTr="005210FC">
        <w:tc>
          <w:tcPr>
            <w:tcW w:w="562" w:type="dxa"/>
          </w:tcPr>
          <w:p w14:paraId="1C48651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w:t>
            </w:r>
          </w:p>
        </w:tc>
        <w:tc>
          <w:tcPr>
            <w:tcW w:w="2127" w:type="dxa"/>
          </w:tcPr>
          <w:p w14:paraId="205B62CD"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Площа приміщення по контуру герметизації</w:t>
            </w:r>
          </w:p>
        </w:tc>
        <w:tc>
          <w:tcPr>
            <w:tcW w:w="1134" w:type="dxa"/>
          </w:tcPr>
          <w:p w14:paraId="6CEA0978"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F</w:t>
            </w:r>
          </w:p>
        </w:tc>
        <w:tc>
          <w:tcPr>
            <w:tcW w:w="1134" w:type="dxa"/>
          </w:tcPr>
          <w:p w14:paraId="697A26DE" w14:textId="77777777" w:rsidR="003C4E04" w:rsidRPr="00CA7C54" w:rsidRDefault="001E748C">
            <w:pPr>
              <w:spacing w:before="0" w:line="240" w:lineRule="auto"/>
              <w:ind w:firstLine="0"/>
              <w:jc w:val="center"/>
              <w:rPr>
                <w:rFonts w:ascii="Arial" w:hAnsi="Arial" w:cs="Arial"/>
                <w:color w:val="000000" w:themeColor="text1"/>
                <w:sz w:val="20"/>
                <w:szCs w:val="20"/>
                <w:vertAlign w:val="superscript"/>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2</w:t>
            </w:r>
          </w:p>
        </w:tc>
        <w:tc>
          <w:tcPr>
            <w:tcW w:w="2693" w:type="dxa"/>
          </w:tcPr>
          <w:p w14:paraId="0E32109B"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За експлікацією приміщень</w:t>
            </w:r>
          </w:p>
        </w:tc>
        <w:tc>
          <w:tcPr>
            <w:tcW w:w="2410" w:type="dxa"/>
          </w:tcPr>
          <w:p w14:paraId="31B3CAC0"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0F256CC1" w14:textId="77777777" w:rsidTr="005210FC">
        <w:tc>
          <w:tcPr>
            <w:tcW w:w="562" w:type="dxa"/>
          </w:tcPr>
          <w:p w14:paraId="1A9E83C7"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2127" w:type="dxa"/>
          </w:tcPr>
          <w:p w14:paraId="4E322B9B"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Площа огороджувальних конструкцій по контуру герметизації</w:t>
            </w:r>
          </w:p>
        </w:tc>
        <w:tc>
          <w:tcPr>
            <w:tcW w:w="1134" w:type="dxa"/>
          </w:tcPr>
          <w:p w14:paraId="75BFA9A1"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F</w:t>
            </w:r>
            <w:r w:rsidRPr="00CA7C54">
              <w:rPr>
                <w:rFonts w:ascii="Arial" w:hAnsi="Arial" w:cs="Arial"/>
                <w:i/>
                <w:color w:val="000000" w:themeColor="text1"/>
                <w:sz w:val="20"/>
                <w:szCs w:val="20"/>
                <w:vertAlign w:val="subscript"/>
              </w:rPr>
              <w:t>огор</w:t>
            </w:r>
          </w:p>
        </w:tc>
        <w:tc>
          <w:tcPr>
            <w:tcW w:w="1134" w:type="dxa"/>
          </w:tcPr>
          <w:p w14:paraId="54DB7AE6"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2</w:t>
            </w:r>
          </w:p>
        </w:tc>
        <w:tc>
          <w:tcPr>
            <w:tcW w:w="2693" w:type="dxa"/>
          </w:tcPr>
          <w:p w14:paraId="0306BBAD"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Те саме</w:t>
            </w:r>
          </w:p>
        </w:tc>
        <w:tc>
          <w:tcPr>
            <w:tcW w:w="2410" w:type="dxa"/>
          </w:tcPr>
          <w:p w14:paraId="345A8176"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485ADD2D" w14:textId="77777777" w:rsidTr="005210FC">
        <w:trPr>
          <w:trHeight w:val="758"/>
        </w:trPr>
        <w:tc>
          <w:tcPr>
            <w:tcW w:w="562" w:type="dxa"/>
          </w:tcPr>
          <w:p w14:paraId="29C9ED4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c>
          <w:tcPr>
            <w:tcW w:w="2127" w:type="dxa"/>
          </w:tcPr>
          <w:p w14:paraId="42A06302"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Об’єм приміщень у контурі герметизації за відніманням об’єму, який здійснюють люди</w:t>
            </w:r>
          </w:p>
        </w:tc>
        <w:tc>
          <w:tcPr>
            <w:tcW w:w="1134" w:type="dxa"/>
          </w:tcPr>
          <w:p w14:paraId="1E030FA2"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V</w:t>
            </w:r>
          </w:p>
        </w:tc>
        <w:tc>
          <w:tcPr>
            <w:tcW w:w="1134" w:type="dxa"/>
          </w:tcPr>
          <w:p w14:paraId="767B6D66"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p>
        </w:tc>
        <w:tc>
          <w:tcPr>
            <w:tcW w:w="2693" w:type="dxa"/>
          </w:tcPr>
          <w:p w14:paraId="7820E10E" w14:textId="77777777" w:rsidR="003C4E04" w:rsidRPr="00CA7C54" w:rsidRDefault="003C4E04">
            <w:pPr>
              <w:spacing w:before="0" w:line="240" w:lineRule="auto"/>
              <w:ind w:firstLine="0"/>
              <w:jc w:val="center"/>
              <w:rPr>
                <w:rFonts w:ascii="Arial" w:hAnsi="Arial" w:cs="Arial"/>
                <w:color w:val="000000" w:themeColor="text1"/>
                <w:sz w:val="20"/>
                <w:szCs w:val="20"/>
              </w:rPr>
            </w:pPr>
          </w:p>
          <w:p w14:paraId="2066D1CB"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V = Fh – nV</w:t>
            </w:r>
            <w:r w:rsidRPr="00CA7C54">
              <w:rPr>
                <w:rFonts w:ascii="Arial" w:hAnsi="Arial" w:cs="Arial"/>
                <w:color w:val="000000" w:themeColor="text1"/>
                <w:sz w:val="20"/>
                <w:szCs w:val="20"/>
                <w:vertAlign w:val="subscript"/>
              </w:rPr>
              <w:t>1</w:t>
            </w:r>
          </w:p>
        </w:tc>
        <w:tc>
          <w:tcPr>
            <w:tcW w:w="2410" w:type="dxa"/>
          </w:tcPr>
          <w:p w14:paraId="238B2E64" w14:textId="77777777" w:rsidR="003C4E04"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h – висота у чистоті, [м]; n – місткість споруди, [люд.];</w:t>
            </w:r>
          </w:p>
          <w:p w14:paraId="2D7F7D68" w14:textId="77777777" w:rsidR="003C4E04" w:rsidRPr="00CA7C54" w:rsidRDefault="003C4E04">
            <w:pPr>
              <w:spacing w:before="0" w:line="240" w:lineRule="auto"/>
              <w:ind w:left="146" w:firstLine="0"/>
              <w:jc w:val="left"/>
              <w:rPr>
                <w:rFonts w:ascii="Arial" w:hAnsi="Arial" w:cs="Arial"/>
                <w:color w:val="000000" w:themeColor="text1"/>
                <w:sz w:val="20"/>
                <w:szCs w:val="20"/>
              </w:rPr>
            </w:pPr>
          </w:p>
          <w:p w14:paraId="0EFAD8C6" w14:textId="77777777" w:rsidR="003C4E04"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V</w:t>
            </w:r>
            <w:r w:rsidRPr="00CA7C54">
              <w:rPr>
                <w:rFonts w:ascii="Arial" w:hAnsi="Arial" w:cs="Arial"/>
                <w:color w:val="000000" w:themeColor="text1"/>
                <w:sz w:val="20"/>
                <w:szCs w:val="20"/>
                <w:vertAlign w:val="subscript"/>
              </w:rPr>
              <w:t>1</w:t>
            </w:r>
            <w:r w:rsidRPr="00CA7C54">
              <w:rPr>
                <w:rFonts w:ascii="Arial" w:hAnsi="Arial" w:cs="Arial"/>
                <w:color w:val="000000" w:themeColor="text1"/>
                <w:sz w:val="20"/>
                <w:szCs w:val="20"/>
              </w:rPr>
              <w:t xml:space="preserve"> – 0,1 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 xml:space="preserve"> (об’єм, який займає одна людина)</w:t>
            </w:r>
          </w:p>
        </w:tc>
      </w:tr>
      <w:tr w:rsidR="00CA7C54" w:rsidRPr="00CA7C54" w14:paraId="32F3C311" w14:textId="77777777" w:rsidTr="005210FC">
        <w:tc>
          <w:tcPr>
            <w:tcW w:w="562" w:type="dxa"/>
          </w:tcPr>
          <w:p w14:paraId="60E3D87E"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w:t>
            </w:r>
          </w:p>
        </w:tc>
        <w:tc>
          <w:tcPr>
            <w:tcW w:w="2127" w:type="dxa"/>
          </w:tcPr>
          <w:p w14:paraId="1FF54F1D"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Витрати повітря на підтримання підпору</w:t>
            </w:r>
          </w:p>
        </w:tc>
        <w:tc>
          <w:tcPr>
            <w:tcW w:w="1134" w:type="dxa"/>
          </w:tcPr>
          <w:p w14:paraId="20E8D03F"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q</w:t>
            </w:r>
          </w:p>
        </w:tc>
        <w:tc>
          <w:tcPr>
            <w:tcW w:w="1134" w:type="dxa"/>
          </w:tcPr>
          <w:p w14:paraId="1E89CA05"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/год</w:t>
            </w:r>
          </w:p>
        </w:tc>
        <w:tc>
          <w:tcPr>
            <w:tcW w:w="2693" w:type="dxa"/>
          </w:tcPr>
          <w:p w14:paraId="2717E015" w14:textId="77777777" w:rsidR="003C4E04" w:rsidRPr="00CA7C54" w:rsidRDefault="003C4E04">
            <w:pPr>
              <w:spacing w:before="0" w:line="240" w:lineRule="auto"/>
              <w:ind w:firstLine="0"/>
              <w:jc w:val="center"/>
              <w:rPr>
                <w:rFonts w:ascii="Arial" w:hAnsi="Arial" w:cs="Arial"/>
                <w:i/>
                <w:color w:val="000000" w:themeColor="text1"/>
                <w:sz w:val="20"/>
                <w:szCs w:val="20"/>
              </w:rPr>
            </w:pPr>
          </w:p>
          <w:p w14:paraId="59FC5D4B" w14:textId="77777777" w:rsidR="003C4E04" w:rsidRPr="00CA7C54" w:rsidRDefault="001E748C">
            <w:pPr>
              <w:spacing w:before="0" w:line="240" w:lineRule="auto"/>
              <w:ind w:firstLine="0"/>
              <w:jc w:val="center"/>
              <w:rPr>
                <w:rFonts w:ascii="Arial" w:hAnsi="Arial" w:cs="Arial"/>
                <w:i/>
                <w:color w:val="000000" w:themeColor="text1"/>
                <w:sz w:val="20"/>
                <w:szCs w:val="20"/>
                <w:vertAlign w:val="subscript"/>
              </w:rPr>
            </w:pPr>
            <w:r w:rsidRPr="00CA7C54">
              <w:rPr>
                <w:rFonts w:ascii="Arial" w:hAnsi="Arial" w:cs="Arial"/>
                <w:i/>
                <w:color w:val="000000" w:themeColor="text1"/>
                <w:sz w:val="20"/>
                <w:szCs w:val="20"/>
              </w:rPr>
              <w:t>q = K</w:t>
            </w:r>
            <w:r w:rsidRPr="00CA7C54">
              <w:rPr>
                <w:rFonts w:ascii="Arial" w:hAnsi="Arial" w:cs="Arial"/>
                <w:i/>
                <w:color w:val="000000" w:themeColor="text1"/>
                <w:sz w:val="20"/>
                <w:szCs w:val="20"/>
                <w:vertAlign w:val="subscript"/>
              </w:rPr>
              <w:t xml:space="preserve">III </w:t>
            </w:r>
            <w:r w:rsidRPr="00CA7C54">
              <w:rPr>
                <w:rFonts w:ascii="Arial" w:hAnsi="Arial" w:cs="Arial"/>
                <w:i/>
                <w:color w:val="000000" w:themeColor="text1"/>
                <w:sz w:val="20"/>
                <w:szCs w:val="20"/>
              </w:rPr>
              <w:t>F</w:t>
            </w:r>
            <w:r w:rsidRPr="00CA7C54">
              <w:rPr>
                <w:rFonts w:ascii="Arial" w:hAnsi="Arial" w:cs="Arial"/>
                <w:i/>
                <w:color w:val="000000" w:themeColor="text1"/>
                <w:sz w:val="20"/>
                <w:szCs w:val="20"/>
                <w:vertAlign w:val="subscript"/>
              </w:rPr>
              <w:t>огор</w:t>
            </w:r>
          </w:p>
        </w:tc>
        <w:tc>
          <w:tcPr>
            <w:tcW w:w="2410" w:type="dxa"/>
          </w:tcPr>
          <w:p w14:paraId="4193F404" w14:textId="77777777" w:rsidR="003A17BC"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K</w:t>
            </w:r>
            <w:r w:rsidRPr="00CA7C54">
              <w:rPr>
                <w:rFonts w:ascii="Arial" w:hAnsi="Arial" w:cs="Arial"/>
                <w:color w:val="000000" w:themeColor="text1"/>
                <w:sz w:val="20"/>
                <w:szCs w:val="20"/>
                <w:vertAlign w:val="subscript"/>
              </w:rPr>
              <w:t>III</w:t>
            </w:r>
            <w:r w:rsidRPr="00CA7C54">
              <w:rPr>
                <w:rFonts w:ascii="Arial" w:hAnsi="Arial" w:cs="Arial"/>
                <w:color w:val="000000" w:themeColor="text1"/>
                <w:sz w:val="20"/>
                <w:szCs w:val="20"/>
              </w:rPr>
              <w:t xml:space="preserve"> – питоме витікання (втрата) повітря крізь 1 м</w:t>
            </w:r>
            <w:r w:rsidRPr="00CA7C54">
              <w:rPr>
                <w:rFonts w:ascii="Arial" w:hAnsi="Arial" w:cs="Arial"/>
                <w:color w:val="000000" w:themeColor="text1"/>
                <w:sz w:val="20"/>
                <w:szCs w:val="20"/>
                <w:vertAlign w:val="superscript"/>
              </w:rPr>
              <w:t>2</w:t>
            </w:r>
            <w:r w:rsidRPr="00CA7C54">
              <w:rPr>
                <w:rFonts w:ascii="Arial" w:hAnsi="Arial" w:cs="Arial"/>
                <w:color w:val="000000" w:themeColor="text1"/>
                <w:sz w:val="20"/>
                <w:szCs w:val="20"/>
              </w:rPr>
              <w:t xml:space="preserve"> огорожі контуру герметизації сховища,</w:t>
            </w:r>
          </w:p>
          <w:p w14:paraId="64051B43" w14:textId="77777777" w:rsidR="003C4E04"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 (м</w:t>
            </w:r>
            <w:r w:rsidRPr="00CA7C54">
              <w:rPr>
                <w:rFonts w:ascii="Arial" w:hAnsi="Arial" w:cs="Arial"/>
                <w:color w:val="000000" w:themeColor="text1"/>
                <w:sz w:val="20"/>
                <w:szCs w:val="20"/>
                <w:vertAlign w:val="superscript"/>
              </w:rPr>
              <w:t>2</w:t>
            </w:r>
            <w:r w:rsidRPr="00CA7C54">
              <w:rPr>
                <w:rFonts w:ascii="Arial" w:hAnsi="Arial" w:cs="Arial"/>
                <w:color w:val="000000" w:themeColor="text1"/>
                <w:sz w:val="20"/>
                <w:szCs w:val="20"/>
              </w:rPr>
              <w:t xml:space="preserve"> год)], приймається за 11.2.1.28</w:t>
            </w:r>
          </w:p>
        </w:tc>
      </w:tr>
      <w:tr w:rsidR="00CA7C54" w:rsidRPr="00CA7C54" w14:paraId="54CE7835" w14:textId="77777777" w:rsidTr="005210FC">
        <w:tc>
          <w:tcPr>
            <w:tcW w:w="562" w:type="dxa"/>
          </w:tcPr>
          <w:p w14:paraId="4C8F21F7"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2127" w:type="dxa"/>
          </w:tcPr>
          <w:p w14:paraId="2A16E2D0"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Питома повітровіддача для забезпечення дихання людей</w:t>
            </w:r>
          </w:p>
        </w:tc>
        <w:tc>
          <w:tcPr>
            <w:tcW w:w="1134" w:type="dxa"/>
          </w:tcPr>
          <w:p w14:paraId="4B08167C"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дих</w:t>
            </w:r>
          </w:p>
        </w:tc>
        <w:tc>
          <w:tcPr>
            <w:tcW w:w="1134" w:type="dxa"/>
          </w:tcPr>
          <w:p w14:paraId="1053737C"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/люд.год</w:t>
            </w:r>
          </w:p>
        </w:tc>
        <w:tc>
          <w:tcPr>
            <w:tcW w:w="2693" w:type="dxa"/>
          </w:tcPr>
          <w:p w14:paraId="6C8206C1" w14:textId="77777777" w:rsidR="003C4E04" w:rsidRPr="00CA7C54" w:rsidRDefault="003C4E04">
            <w:pPr>
              <w:spacing w:before="0" w:line="240" w:lineRule="auto"/>
              <w:ind w:firstLine="0"/>
              <w:jc w:val="center"/>
              <w:rPr>
                <w:rFonts w:ascii="Arial" w:hAnsi="Arial" w:cs="Arial"/>
                <w:color w:val="000000" w:themeColor="text1"/>
                <w:sz w:val="20"/>
                <w:szCs w:val="20"/>
              </w:rPr>
            </w:pPr>
          </w:p>
          <w:p w14:paraId="534A087B"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дих</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a</m:t>
                  </m:r>
                </m:num>
                <m:den>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r>
                    <w:rPr>
                      <w:rFonts w:ascii="Cambria Math" w:eastAsia="Cambria Math" w:hAnsi="Cambria Math" w:cs="Arial"/>
                      <w:color w:val="000000" w:themeColor="text1"/>
                      <w:sz w:val="20"/>
                      <w:szCs w:val="20"/>
                    </w:rPr>
                    <m:t xml:space="preserve">- </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den>
              </m:f>
            </m:oMath>
          </w:p>
        </w:tc>
        <w:tc>
          <w:tcPr>
            <w:tcW w:w="2410" w:type="dxa"/>
          </w:tcPr>
          <w:p w14:paraId="5A3445F3" w14:textId="77777777" w:rsidR="003C4E04"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a – 20 л/люд – норма виділення CO</w:t>
            </w:r>
            <w:r w:rsidRPr="00CA7C54">
              <w:rPr>
                <w:rFonts w:ascii="Arial" w:hAnsi="Arial" w:cs="Arial"/>
                <w:color w:val="000000" w:themeColor="text1"/>
                <w:sz w:val="20"/>
                <w:szCs w:val="20"/>
                <w:vertAlign w:val="subscript"/>
              </w:rPr>
              <w:t>2</w:t>
            </w:r>
            <w:r w:rsidRPr="00CA7C54">
              <w:rPr>
                <w:rFonts w:ascii="Arial" w:hAnsi="Arial" w:cs="Arial"/>
                <w:color w:val="000000" w:themeColor="text1"/>
                <w:sz w:val="20"/>
                <w:szCs w:val="20"/>
              </w:rPr>
              <w:t xml:space="preserve"> однією людиною;</w:t>
            </w:r>
          </w:p>
          <w:p w14:paraId="226C715E" w14:textId="77777777" w:rsidR="003C4E04" w:rsidRPr="00CA7C54" w:rsidRDefault="00DC31F3">
            <w:pPr>
              <w:spacing w:before="0" w:line="240" w:lineRule="auto"/>
              <w:ind w:left="146" w:firstLine="0"/>
              <w:jc w:val="left"/>
              <w:rPr>
                <w:rFonts w:ascii="Arial" w:hAnsi="Arial" w:cs="Arial"/>
                <w:color w:val="000000" w:themeColor="text1"/>
                <w:sz w:val="20"/>
                <w:szCs w:val="20"/>
              </w:rPr>
            </w:pP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r>
                <w:rPr>
                  <w:rFonts w:ascii="Cambria Math" w:eastAsia="Cambria Math" w:hAnsi="Cambria Math" w:cs="Arial"/>
                  <w:color w:val="000000" w:themeColor="text1"/>
                  <w:sz w:val="20"/>
                  <w:szCs w:val="20"/>
                </w:rPr>
                <m:t>-</m:t>
              </m:r>
            </m:oMath>
            <w:r w:rsidR="001E748C" w:rsidRPr="00CA7C54">
              <w:rPr>
                <w:rFonts w:ascii="Arial" w:hAnsi="Arial" w:cs="Arial"/>
                <w:color w:val="000000" w:themeColor="text1"/>
                <w:sz w:val="20"/>
                <w:szCs w:val="20"/>
              </w:rPr>
              <w:t xml:space="preserve"> максимально допустима концентрація CO</w:t>
            </w:r>
            <w:r w:rsidR="001E748C" w:rsidRPr="00CA7C54">
              <w:rPr>
                <w:rFonts w:ascii="Arial" w:hAnsi="Arial" w:cs="Arial"/>
                <w:color w:val="000000" w:themeColor="text1"/>
                <w:sz w:val="20"/>
                <w:szCs w:val="20"/>
                <w:vertAlign w:val="subscript"/>
              </w:rPr>
              <w:t>2</w:t>
            </w:r>
            <w:r w:rsidR="001E748C" w:rsidRPr="00CA7C54">
              <w:rPr>
                <w:rFonts w:ascii="Arial" w:hAnsi="Arial" w:cs="Arial"/>
                <w:color w:val="000000" w:themeColor="text1"/>
                <w:sz w:val="20"/>
                <w:szCs w:val="20"/>
              </w:rPr>
              <w:t xml:space="preserve"> при ІІІ-му  режимі (таблиця 11.2 і таблиця 11.3), [ л/м</w:t>
            </w:r>
            <w:r w:rsidR="001E748C" w:rsidRPr="00CA7C54">
              <w:rPr>
                <w:rFonts w:ascii="Arial" w:hAnsi="Arial" w:cs="Arial"/>
                <w:color w:val="000000" w:themeColor="text1"/>
                <w:sz w:val="20"/>
                <w:szCs w:val="20"/>
                <w:vertAlign w:val="superscript"/>
              </w:rPr>
              <w:t>3</w:t>
            </w:r>
            <w:r w:rsidR="001E748C" w:rsidRPr="00CA7C54">
              <w:rPr>
                <w:rFonts w:ascii="Arial" w:hAnsi="Arial" w:cs="Arial"/>
                <w:color w:val="000000" w:themeColor="text1"/>
                <w:sz w:val="20"/>
                <w:szCs w:val="20"/>
              </w:rPr>
              <w:t xml:space="preserve">]; </w:t>
            </w:r>
          </w:p>
          <w:p w14:paraId="3545E0D1" w14:textId="77777777" w:rsidR="003C4E04" w:rsidRPr="00CA7C54" w:rsidRDefault="00DC31F3">
            <w:pPr>
              <w:spacing w:before="0" w:line="240" w:lineRule="auto"/>
              <w:ind w:left="146" w:firstLine="0"/>
              <w:jc w:val="left"/>
              <w:rPr>
                <w:rFonts w:ascii="Arial" w:hAnsi="Arial" w:cs="Arial"/>
                <w:color w:val="000000" w:themeColor="text1"/>
                <w:sz w:val="20"/>
                <w:szCs w:val="20"/>
              </w:rPr>
            </w:pP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r>
                <w:rPr>
                  <w:rFonts w:ascii="Cambria Math" w:eastAsia="Cambria Math" w:hAnsi="Cambria Math" w:cs="Arial"/>
                  <w:color w:val="000000" w:themeColor="text1"/>
                  <w:sz w:val="20"/>
                  <w:szCs w:val="20"/>
                </w:rPr>
                <m:t xml:space="preserve">=0,4 </m:t>
              </m:r>
            </m:oMath>
            <w:r w:rsidR="001E748C" w:rsidRPr="00CA7C54">
              <w:rPr>
                <w:rFonts w:ascii="Arial" w:hAnsi="Arial" w:cs="Arial"/>
                <w:color w:val="000000" w:themeColor="text1"/>
                <w:sz w:val="20"/>
                <w:szCs w:val="20"/>
              </w:rPr>
              <w:t>– вміст СО</w:t>
            </w:r>
            <w:r w:rsidR="001E748C" w:rsidRPr="00CA7C54">
              <w:rPr>
                <w:rFonts w:ascii="Arial" w:hAnsi="Arial" w:cs="Arial"/>
                <w:color w:val="000000" w:themeColor="text1"/>
                <w:sz w:val="20"/>
                <w:szCs w:val="20"/>
                <w:vertAlign w:val="subscript"/>
              </w:rPr>
              <w:t>2</w:t>
            </w:r>
            <w:r w:rsidR="001E748C" w:rsidRPr="00CA7C54">
              <w:rPr>
                <w:rFonts w:ascii="Arial" w:hAnsi="Arial" w:cs="Arial"/>
                <w:color w:val="000000" w:themeColor="text1"/>
                <w:sz w:val="20"/>
                <w:szCs w:val="20"/>
              </w:rPr>
              <w:t xml:space="preserve"> у повітрі балону, [л/м</w:t>
            </w:r>
            <w:r w:rsidR="001E748C" w:rsidRPr="00CA7C54">
              <w:rPr>
                <w:rFonts w:ascii="Arial" w:hAnsi="Arial" w:cs="Arial"/>
                <w:color w:val="000000" w:themeColor="text1"/>
                <w:sz w:val="20"/>
                <w:szCs w:val="20"/>
                <w:vertAlign w:val="superscript"/>
              </w:rPr>
              <w:t>3</w:t>
            </w:r>
            <w:r w:rsidR="001E748C" w:rsidRPr="00CA7C54">
              <w:rPr>
                <w:rFonts w:ascii="Arial" w:hAnsi="Arial" w:cs="Arial"/>
                <w:color w:val="000000" w:themeColor="text1"/>
                <w:sz w:val="20"/>
                <w:szCs w:val="20"/>
              </w:rPr>
              <w:t>]</w:t>
            </w:r>
          </w:p>
        </w:tc>
      </w:tr>
      <w:tr w:rsidR="00CA7C54" w:rsidRPr="00CA7C54" w14:paraId="4B0AB36D" w14:textId="77777777" w:rsidTr="005210FC">
        <w:tc>
          <w:tcPr>
            <w:tcW w:w="562" w:type="dxa"/>
          </w:tcPr>
          <w:p w14:paraId="0FE671A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w:t>
            </w:r>
          </w:p>
        </w:tc>
        <w:tc>
          <w:tcPr>
            <w:tcW w:w="2127" w:type="dxa"/>
          </w:tcPr>
          <w:p w14:paraId="16A2084E"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Кратність повітрообміну при повітроподачі за поз. 4</w:t>
            </w:r>
          </w:p>
        </w:tc>
        <w:tc>
          <w:tcPr>
            <w:tcW w:w="1134" w:type="dxa"/>
          </w:tcPr>
          <w:p w14:paraId="61255181"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K</w:t>
            </w:r>
            <w:r w:rsidRPr="00CA7C54">
              <w:rPr>
                <w:rFonts w:ascii="Arial" w:hAnsi="Arial" w:cs="Arial"/>
                <w:i/>
                <w:color w:val="000000" w:themeColor="text1"/>
                <w:sz w:val="20"/>
                <w:szCs w:val="20"/>
                <w:vertAlign w:val="subscript"/>
              </w:rPr>
              <w:t>в</w:t>
            </w:r>
          </w:p>
        </w:tc>
        <w:tc>
          <w:tcPr>
            <w:tcW w:w="1134" w:type="dxa"/>
          </w:tcPr>
          <w:p w14:paraId="6FB4B267" w14:textId="77777777" w:rsidR="003C4E04" w:rsidRPr="00CA7C54" w:rsidRDefault="001E748C">
            <w:pP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 xml:space="preserve">год </w:t>
            </w:r>
            <w:r w:rsidRPr="00CA7C54">
              <w:rPr>
                <w:rFonts w:ascii="Arial" w:hAnsi="Arial" w:cs="Arial"/>
                <w:color w:val="000000" w:themeColor="text1"/>
                <w:sz w:val="20"/>
                <w:szCs w:val="20"/>
                <w:highlight w:val="white"/>
                <w:vertAlign w:val="superscript"/>
              </w:rPr>
              <w:t>-1</w:t>
            </w:r>
          </w:p>
        </w:tc>
        <w:tc>
          <w:tcPr>
            <w:tcW w:w="2693" w:type="dxa"/>
          </w:tcPr>
          <w:p w14:paraId="022D12E1"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K</w:t>
            </w:r>
            <w:r w:rsidRPr="00CA7C54">
              <w:rPr>
                <w:rFonts w:ascii="Arial" w:hAnsi="Arial" w:cs="Arial"/>
                <w:color w:val="000000" w:themeColor="text1"/>
                <w:sz w:val="20"/>
                <w:szCs w:val="20"/>
                <w:vertAlign w:val="subscript"/>
              </w:rPr>
              <w:t>в</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q</m:t>
                  </m:r>
                </m:num>
                <m:den>
                  <m:r>
                    <w:rPr>
                      <w:rFonts w:ascii="Cambria Math" w:eastAsia="Cambria Math" w:hAnsi="Cambria Math" w:cs="Arial"/>
                      <w:color w:val="000000" w:themeColor="text1"/>
                      <w:sz w:val="20"/>
                      <w:szCs w:val="20"/>
                    </w:rPr>
                    <m:t>V</m:t>
                  </m:r>
                </m:den>
              </m:f>
            </m:oMath>
          </w:p>
        </w:tc>
        <w:tc>
          <w:tcPr>
            <w:tcW w:w="2410" w:type="dxa"/>
          </w:tcPr>
          <w:p w14:paraId="163A0627"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5B09A01D" w14:textId="77777777" w:rsidTr="005210FC">
        <w:trPr>
          <w:trHeight w:val="472"/>
        </w:trPr>
        <w:tc>
          <w:tcPr>
            <w:tcW w:w="562" w:type="dxa"/>
          </w:tcPr>
          <w:p w14:paraId="74924259"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w:t>
            </w:r>
          </w:p>
        </w:tc>
        <w:tc>
          <w:tcPr>
            <w:tcW w:w="2127" w:type="dxa"/>
          </w:tcPr>
          <w:p w14:paraId="2A0843CC"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Питомий об’єм повітря приміщень</w:t>
            </w:r>
          </w:p>
        </w:tc>
        <w:tc>
          <w:tcPr>
            <w:tcW w:w="1134" w:type="dxa"/>
          </w:tcPr>
          <w:p w14:paraId="1A1DBF81"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V</w:t>
            </w:r>
            <w:r w:rsidRPr="00CA7C54">
              <w:rPr>
                <w:rFonts w:ascii="Arial" w:hAnsi="Arial" w:cs="Arial"/>
                <w:i/>
                <w:color w:val="000000" w:themeColor="text1"/>
                <w:sz w:val="20"/>
                <w:szCs w:val="20"/>
                <w:vertAlign w:val="subscript"/>
              </w:rPr>
              <w:t>пит</w:t>
            </w:r>
          </w:p>
        </w:tc>
        <w:tc>
          <w:tcPr>
            <w:tcW w:w="1134" w:type="dxa"/>
          </w:tcPr>
          <w:p w14:paraId="02487BE7" w14:textId="77777777" w:rsidR="003C4E04" w:rsidRPr="00CA7C54" w:rsidRDefault="001E748C">
            <w:pPr>
              <w:spacing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/люд.</w:t>
            </w:r>
          </w:p>
        </w:tc>
        <w:tc>
          <w:tcPr>
            <w:tcW w:w="2693" w:type="dxa"/>
          </w:tcPr>
          <w:p w14:paraId="31C5FDB3"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V</w:t>
            </w:r>
            <w:r w:rsidRPr="00CA7C54">
              <w:rPr>
                <w:rFonts w:ascii="Arial" w:hAnsi="Arial" w:cs="Arial"/>
                <w:color w:val="000000" w:themeColor="text1"/>
                <w:sz w:val="20"/>
                <w:szCs w:val="20"/>
                <w:vertAlign w:val="subscript"/>
              </w:rPr>
              <w:t>пит</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V</m:t>
                  </m:r>
                </m:num>
                <m:den>
                  <m:r>
                    <w:rPr>
                      <w:rFonts w:ascii="Cambria Math" w:eastAsia="Cambria Math" w:hAnsi="Cambria Math" w:cs="Arial"/>
                      <w:color w:val="000000" w:themeColor="text1"/>
                      <w:sz w:val="20"/>
                      <w:szCs w:val="20"/>
                    </w:rPr>
                    <m:t>n</m:t>
                  </m:r>
                </m:den>
              </m:f>
            </m:oMath>
          </w:p>
        </w:tc>
        <w:tc>
          <w:tcPr>
            <w:tcW w:w="2410" w:type="dxa"/>
          </w:tcPr>
          <w:p w14:paraId="13A27906"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554F6C79" w14:textId="77777777" w:rsidTr="005210FC">
        <w:trPr>
          <w:trHeight w:val="472"/>
        </w:trPr>
        <w:tc>
          <w:tcPr>
            <w:tcW w:w="562" w:type="dxa"/>
          </w:tcPr>
          <w:p w14:paraId="1B505693" w14:textId="77777777" w:rsidR="005210FC" w:rsidRPr="00CA7C54" w:rsidRDefault="005210FC" w:rsidP="005210FC">
            <w:pPr>
              <w:pBdr>
                <w:top w:val="nil"/>
                <w:left w:val="nil"/>
                <w:bottom w:val="nil"/>
                <w:right w:val="nil"/>
                <w:between w:val="nil"/>
              </w:pBdr>
              <w:spacing w:before="0" w:line="240" w:lineRule="auto"/>
              <w:ind w:firstLine="0"/>
              <w:jc w:val="center"/>
              <w:rPr>
                <w:color w:val="000000" w:themeColor="text1"/>
                <w:sz w:val="20"/>
                <w:szCs w:val="20"/>
              </w:rPr>
            </w:pPr>
            <w:r w:rsidRPr="00CA7C54">
              <w:rPr>
                <w:rFonts w:ascii="Arial" w:eastAsia="Arial" w:hAnsi="Arial" w:cs="Arial"/>
                <w:color w:val="000000" w:themeColor="text1"/>
                <w:sz w:val="20"/>
                <w:szCs w:val="20"/>
              </w:rPr>
              <w:t>8</w:t>
            </w:r>
          </w:p>
        </w:tc>
        <w:tc>
          <w:tcPr>
            <w:tcW w:w="2127" w:type="dxa"/>
          </w:tcPr>
          <w:p w14:paraId="7415F74D" w14:textId="77777777" w:rsidR="005210FC" w:rsidRPr="00CA7C54" w:rsidRDefault="005210FC" w:rsidP="005210FC">
            <w:pPr>
              <w:pBdr>
                <w:top w:val="nil"/>
                <w:left w:val="nil"/>
                <w:bottom w:val="nil"/>
                <w:right w:val="nil"/>
                <w:between w:val="nil"/>
              </w:pBdr>
              <w:spacing w:before="0" w:line="240" w:lineRule="auto"/>
              <w:ind w:firstLine="0"/>
              <w:jc w:val="left"/>
              <w:rPr>
                <w:color w:val="000000" w:themeColor="text1"/>
                <w:sz w:val="20"/>
                <w:szCs w:val="20"/>
              </w:rPr>
            </w:pPr>
            <w:r w:rsidRPr="00CA7C54">
              <w:rPr>
                <w:rFonts w:ascii="Arial" w:eastAsia="Arial" w:hAnsi="Arial" w:cs="Arial"/>
                <w:color w:val="000000" w:themeColor="text1"/>
                <w:sz w:val="20"/>
                <w:szCs w:val="20"/>
              </w:rPr>
              <w:t>Питома повітровіддача для підтримування підпору</w:t>
            </w:r>
          </w:p>
        </w:tc>
        <w:tc>
          <w:tcPr>
            <w:tcW w:w="1134" w:type="dxa"/>
          </w:tcPr>
          <w:p w14:paraId="09BD4421" w14:textId="77777777" w:rsidR="005210FC" w:rsidRPr="00CA7C54" w:rsidRDefault="005210FC" w:rsidP="005210FC">
            <w:pPr>
              <w:spacing w:before="0" w:line="240" w:lineRule="auto"/>
              <w:ind w:firstLine="0"/>
              <w:jc w:val="center"/>
              <w:rPr>
                <w:i/>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підп</w:t>
            </w:r>
          </w:p>
        </w:tc>
        <w:tc>
          <w:tcPr>
            <w:tcW w:w="1134" w:type="dxa"/>
          </w:tcPr>
          <w:p w14:paraId="3CEB62E8" w14:textId="77777777" w:rsidR="005210FC" w:rsidRPr="00CA7C54" w:rsidRDefault="005210FC" w:rsidP="005210FC">
            <w:pPr>
              <w:spacing w:line="240" w:lineRule="auto"/>
              <w:ind w:firstLine="0"/>
              <w:jc w:val="center"/>
              <w:rPr>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/люд.год</w:t>
            </w:r>
          </w:p>
        </w:tc>
        <w:tc>
          <w:tcPr>
            <w:tcW w:w="2693" w:type="dxa"/>
          </w:tcPr>
          <w:p w14:paraId="2D3E2B9C" w14:textId="77777777" w:rsidR="005210FC" w:rsidRPr="00CA7C54" w:rsidRDefault="005210FC" w:rsidP="005210FC">
            <w:pPr>
              <w:spacing w:before="0" w:line="240" w:lineRule="auto"/>
              <w:ind w:firstLine="0"/>
              <w:jc w:val="center"/>
              <w:rPr>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 xml:space="preserve">підп </w:t>
            </w:r>
            <w:r w:rsidRPr="00CA7C54">
              <w:rPr>
                <w:rFonts w:ascii="Arial" w:hAnsi="Arial" w:cs="Arial"/>
                <w:i/>
                <w:color w:val="000000" w:themeColor="text1"/>
                <w:sz w:val="20"/>
                <w:szCs w:val="20"/>
              </w:rPr>
              <w:t>= K</w:t>
            </w:r>
            <w:r w:rsidRPr="00CA7C54">
              <w:rPr>
                <w:rFonts w:ascii="Arial" w:hAnsi="Arial" w:cs="Arial"/>
                <w:i/>
                <w:color w:val="000000" w:themeColor="text1"/>
                <w:sz w:val="20"/>
                <w:szCs w:val="20"/>
                <w:vertAlign w:val="subscript"/>
              </w:rPr>
              <w:t>в</w:t>
            </w:r>
            <w:r w:rsidRPr="00CA7C54">
              <w:rPr>
                <w:rFonts w:ascii="Arial" w:hAnsi="Arial" w:cs="Arial"/>
                <w:i/>
                <w:color w:val="000000" w:themeColor="text1"/>
                <w:sz w:val="20"/>
                <w:szCs w:val="20"/>
              </w:rPr>
              <w:t>V</w:t>
            </w:r>
            <w:r w:rsidRPr="00CA7C54">
              <w:rPr>
                <w:rFonts w:ascii="Arial" w:hAnsi="Arial" w:cs="Arial"/>
                <w:i/>
                <w:color w:val="000000" w:themeColor="text1"/>
                <w:sz w:val="20"/>
                <w:szCs w:val="20"/>
                <w:vertAlign w:val="subscript"/>
              </w:rPr>
              <w:t>пит</w:t>
            </w:r>
          </w:p>
        </w:tc>
        <w:tc>
          <w:tcPr>
            <w:tcW w:w="2410" w:type="dxa"/>
          </w:tcPr>
          <w:p w14:paraId="451BC488" w14:textId="77777777" w:rsidR="005210FC" w:rsidRPr="00CA7C54" w:rsidRDefault="005210FC" w:rsidP="005210FC">
            <w:pPr>
              <w:spacing w:before="0" w:line="240" w:lineRule="auto"/>
              <w:ind w:firstLine="0"/>
              <w:jc w:val="center"/>
              <w:rPr>
                <w:color w:val="000000" w:themeColor="text1"/>
                <w:sz w:val="20"/>
                <w:szCs w:val="20"/>
              </w:rPr>
            </w:pPr>
            <w:r w:rsidRPr="00CA7C54">
              <w:rPr>
                <w:rFonts w:ascii="Arial" w:hAnsi="Arial" w:cs="Arial"/>
                <w:color w:val="000000" w:themeColor="text1"/>
                <w:sz w:val="20"/>
                <w:szCs w:val="20"/>
              </w:rPr>
              <w:t>—</w:t>
            </w:r>
          </w:p>
        </w:tc>
      </w:tr>
    </w:tbl>
    <w:p w14:paraId="63013A58" w14:textId="77777777" w:rsidR="005210FC" w:rsidRPr="00CA7C54" w:rsidRDefault="005210FC">
      <w:pPr>
        <w:rPr>
          <w:color w:val="000000" w:themeColor="text1"/>
        </w:rPr>
      </w:pPr>
      <w:r w:rsidRPr="00CA7C54">
        <w:rPr>
          <w:color w:val="000000" w:themeColor="text1"/>
        </w:rPr>
        <w:br w:type="page"/>
      </w:r>
    </w:p>
    <w:tbl>
      <w:tblPr>
        <w:tblStyle w:val="afffffffffffffffffffffffffffffffff7"/>
        <w:tblW w:w="104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985"/>
        <w:gridCol w:w="1134"/>
        <w:gridCol w:w="1276"/>
        <w:gridCol w:w="3260"/>
        <w:gridCol w:w="2268"/>
      </w:tblGrid>
      <w:tr w:rsidR="00CA7C54" w:rsidRPr="00CA7C54" w14:paraId="3A890854" w14:textId="77777777" w:rsidTr="005210FC">
        <w:tc>
          <w:tcPr>
            <w:tcW w:w="10485" w:type="dxa"/>
            <w:gridSpan w:val="6"/>
            <w:tcBorders>
              <w:top w:val="nil"/>
              <w:left w:val="nil"/>
              <w:right w:val="nil"/>
            </w:tcBorders>
          </w:tcPr>
          <w:p w14:paraId="41281A62" w14:textId="77777777" w:rsidR="007D5313" w:rsidRPr="00CA7C54" w:rsidRDefault="007D5313" w:rsidP="007D5313">
            <w:pPr>
              <w:spacing w:before="0" w:line="240" w:lineRule="auto"/>
              <w:ind w:firstLine="0"/>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Ж</w:t>
            </w:r>
            <w:r w:rsidR="00D040E4" w:rsidRPr="00CA7C54">
              <w:rPr>
                <w:rFonts w:ascii="Arial" w:hAnsi="Arial" w:cs="Arial"/>
                <w:color w:val="000000" w:themeColor="text1"/>
                <w:sz w:val="21"/>
                <w:szCs w:val="21"/>
              </w:rPr>
              <w:t>.1</w:t>
            </w:r>
          </w:p>
        </w:tc>
      </w:tr>
      <w:tr w:rsidR="00CA7C54" w:rsidRPr="00CA7C54" w14:paraId="2CCCDB73" w14:textId="77777777" w:rsidTr="00A50F83">
        <w:trPr>
          <w:trHeight w:val="420"/>
        </w:trPr>
        <w:tc>
          <w:tcPr>
            <w:tcW w:w="562" w:type="dxa"/>
          </w:tcPr>
          <w:p w14:paraId="3611597B" w14:textId="77777777" w:rsidR="007D5313" w:rsidRPr="00CA7C54" w:rsidRDefault="007D5313" w:rsidP="007D5313">
            <w:pPr>
              <w:pBdr>
                <w:top w:val="nil"/>
                <w:left w:val="nil"/>
                <w:bottom w:val="nil"/>
                <w:right w:val="nil"/>
                <w:between w:val="nil"/>
              </w:pBdr>
              <w:spacing w:before="0" w:line="240" w:lineRule="auto"/>
              <w:ind w:firstLine="0"/>
              <w:jc w:val="center"/>
              <w:rPr>
                <w:color w:val="000000" w:themeColor="text1"/>
                <w:sz w:val="20"/>
                <w:szCs w:val="20"/>
              </w:rPr>
            </w:pPr>
            <w:r w:rsidRPr="00CA7C54">
              <w:rPr>
                <w:rFonts w:ascii="Arial" w:hAnsi="Arial" w:cs="Arial"/>
                <w:b/>
                <w:color w:val="000000" w:themeColor="text1"/>
                <w:sz w:val="20"/>
                <w:szCs w:val="20"/>
              </w:rPr>
              <w:t>Ч.ч.</w:t>
            </w:r>
          </w:p>
        </w:tc>
        <w:tc>
          <w:tcPr>
            <w:tcW w:w="1985" w:type="dxa"/>
          </w:tcPr>
          <w:p w14:paraId="52A28ACA" w14:textId="77777777" w:rsidR="007D5313" w:rsidRPr="00CA7C54" w:rsidRDefault="007D5313" w:rsidP="007D5313">
            <w:pPr>
              <w:pBdr>
                <w:top w:val="nil"/>
                <w:left w:val="nil"/>
                <w:bottom w:val="nil"/>
                <w:right w:val="nil"/>
                <w:between w:val="nil"/>
              </w:pBdr>
              <w:spacing w:before="0" w:line="240" w:lineRule="auto"/>
              <w:ind w:firstLine="0"/>
              <w:jc w:val="left"/>
              <w:rPr>
                <w:color w:val="000000" w:themeColor="text1"/>
                <w:sz w:val="20"/>
                <w:szCs w:val="20"/>
              </w:rPr>
            </w:pPr>
            <w:r w:rsidRPr="00CA7C54">
              <w:rPr>
                <w:rFonts w:ascii="Arial" w:hAnsi="Arial" w:cs="Arial"/>
                <w:b/>
                <w:color w:val="000000" w:themeColor="text1"/>
                <w:sz w:val="20"/>
                <w:szCs w:val="20"/>
              </w:rPr>
              <w:t>Розрахункова величина</w:t>
            </w:r>
          </w:p>
        </w:tc>
        <w:tc>
          <w:tcPr>
            <w:tcW w:w="1134" w:type="dxa"/>
          </w:tcPr>
          <w:p w14:paraId="40B34FAF" w14:textId="77777777" w:rsidR="007D5313" w:rsidRPr="00CA7C54" w:rsidRDefault="007D5313" w:rsidP="007D5313">
            <w:pPr>
              <w:spacing w:before="0" w:line="240" w:lineRule="auto"/>
              <w:ind w:firstLine="0"/>
              <w:jc w:val="center"/>
              <w:rPr>
                <w:i/>
                <w:color w:val="000000" w:themeColor="text1"/>
                <w:sz w:val="20"/>
                <w:szCs w:val="20"/>
              </w:rPr>
            </w:pPr>
            <w:r w:rsidRPr="00CA7C54">
              <w:rPr>
                <w:rFonts w:ascii="Arial" w:hAnsi="Arial" w:cs="Arial"/>
                <w:b/>
                <w:color w:val="000000" w:themeColor="text1"/>
                <w:sz w:val="20"/>
                <w:szCs w:val="20"/>
              </w:rPr>
              <w:t>Позначе</w:t>
            </w:r>
            <w:r w:rsidR="003A17BC" w:rsidRPr="00CA7C54">
              <w:rPr>
                <w:rFonts w:ascii="Arial" w:hAnsi="Arial" w:cs="Arial"/>
                <w:b/>
                <w:color w:val="000000" w:themeColor="text1"/>
                <w:sz w:val="20"/>
                <w:szCs w:val="20"/>
              </w:rPr>
              <w:t>-</w:t>
            </w:r>
            <w:r w:rsidRPr="00CA7C54">
              <w:rPr>
                <w:rFonts w:ascii="Arial" w:hAnsi="Arial" w:cs="Arial"/>
                <w:b/>
                <w:color w:val="000000" w:themeColor="text1"/>
                <w:sz w:val="20"/>
                <w:szCs w:val="20"/>
              </w:rPr>
              <w:t>ння</w:t>
            </w:r>
          </w:p>
        </w:tc>
        <w:tc>
          <w:tcPr>
            <w:tcW w:w="1276" w:type="dxa"/>
          </w:tcPr>
          <w:p w14:paraId="3A04C06B" w14:textId="77777777" w:rsidR="007D5313" w:rsidRPr="00CA7C54" w:rsidRDefault="007D5313" w:rsidP="007D5313">
            <w:pPr>
              <w:spacing w:line="240" w:lineRule="auto"/>
              <w:ind w:firstLine="0"/>
              <w:jc w:val="center"/>
              <w:rPr>
                <w:color w:val="000000" w:themeColor="text1"/>
                <w:sz w:val="20"/>
                <w:szCs w:val="20"/>
              </w:rPr>
            </w:pPr>
            <w:r w:rsidRPr="00CA7C54">
              <w:rPr>
                <w:rFonts w:ascii="Arial" w:hAnsi="Arial" w:cs="Arial"/>
                <w:b/>
                <w:color w:val="000000" w:themeColor="text1"/>
                <w:sz w:val="20"/>
                <w:szCs w:val="20"/>
              </w:rPr>
              <w:t>Одиниця виміру</w:t>
            </w:r>
          </w:p>
        </w:tc>
        <w:tc>
          <w:tcPr>
            <w:tcW w:w="3260" w:type="dxa"/>
          </w:tcPr>
          <w:p w14:paraId="6356AC86" w14:textId="77777777" w:rsidR="007D5313" w:rsidRPr="00CA7C54" w:rsidRDefault="007D5313" w:rsidP="007D5313">
            <w:pPr>
              <w:spacing w:line="240" w:lineRule="auto"/>
              <w:ind w:firstLine="0"/>
              <w:jc w:val="center"/>
              <w:rPr>
                <w:i/>
                <w:color w:val="000000" w:themeColor="text1"/>
                <w:sz w:val="20"/>
                <w:szCs w:val="20"/>
              </w:rPr>
            </w:pPr>
            <w:r w:rsidRPr="00CA7C54">
              <w:rPr>
                <w:rFonts w:ascii="Arial" w:hAnsi="Arial" w:cs="Arial"/>
                <w:b/>
                <w:color w:val="000000" w:themeColor="text1"/>
                <w:sz w:val="20"/>
                <w:szCs w:val="20"/>
              </w:rPr>
              <w:t>Розрахункова формула</w:t>
            </w:r>
          </w:p>
        </w:tc>
        <w:tc>
          <w:tcPr>
            <w:tcW w:w="2268" w:type="dxa"/>
          </w:tcPr>
          <w:p w14:paraId="0F2580DA" w14:textId="77777777" w:rsidR="007D5313" w:rsidRPr="00CA7C54" w:rsidRDefault="007D5313" w:rsidP="007D5313">
            <w:pPr>
              <w:spacing w:before="0" w:line="240" w:lineRule="auto"/>
              <w:ind w:firstLine="0"/>
              <w:jc w:val="center"/>
              <w:rPr>
                <w:color w:val="000000" w:themeColor="text1"/>
                <w:sz w:val="20"/>
                <w:szCs w:val="20"/>
              </w:rPr>
            </w:pPr>
            <w:r w:rsidRPr="00CA7C54">
              <w:rPr>
                <w:rFonts w:ascii="Arial" w:hAnsi="Arial" w:cs="Arial"/>
                <w:b/>
                <w:color w:val="000000" w:themeColor="text1"/>
                <w:sz w:val="20"/>
                <w:szCs w:val="20"/>
              </w:rPr>
              <w:t>Примітки</w:t>
            </w:r>
          </w:p>
        </w:tc>
      </w:tr>
      <w:tr w:rsidR="00CA7C54" w:rsidRPr="00CA7C54" w14:paraId="6808A7A9" w14:textId="77777777" w:rsidTr="00A50F83">
        <w:tc>
          <w:tcPr>
            <w:tcW w:w="562" w:type="dxa"/>
          </w:tcPr>
          <w:p w14:paraId="4A0BA3B8"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c>
          <w:tcPr>
            <w:tcW w:w="1985" w:type="dxa"/>
          </w:tcPr>
          <w:p w14:paraId="3B94949F"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Зростання концентрації вуглецю за часом</w:t>
            </w:r>
          </w:p>
        </w:tc>
        <w:tc>
          <w:tcPr>
            <w:tcW w:w="1134" w:type="dxa"/>
          </w:tcPr>
          <w:p w14:paraId="4E167C3D"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C</w:t>
            </w:r>
            <w:r w:rsidRPr="00CA7C54">
              <w:rPr>
                <w:rFonts w:ascii="Arial" w:hAnsi="Arial" w:cs="Arial"/>
                <w:i/>
                <w:color w:val="000000" w:themeColor="text1"/>
                <w:sz w:val="20"/>
                <w:szCs w:val="20"/>
                <w:vertAlign w:val="subscript"/>
              </w:rPr>
              <w:t>z</w:t>
            </w:r>
          </w:p>
        </w:tc>
        <w:tc>
          <w:tcPr>
            <w:tcW w:w="1276" w:type="dxa"/>
          </w:tcPr>
          <w:p w14:paraId="4FA92041"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л/м</w:t>
            </w:r>
            <w:r w:rsidRPr="00CA7C54">
              <w:rPr>
                <w:rFonts w:ascii="Arial" w:hAnsi="Arial" w:cs="Arial"/>
                <w:color w:val="000000" w:themeColor="text1"/>
                <w:sz w:val="20"/>
                <w:szCs w:val="20"/>
                <w:vertAlign w:val="superscript"/>
              </w:rPr>
              <w:t>3</w:t>
            </w:r>
          </w:p>
        </w:tc>
        <w:tc>
          <w:tcPr>
            <w:tcW w:w="3260" w:type="dxa"/>
          </w:tcPr>
          <w:p w14:paraId="26472D44"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p>
          <w:p w14:paraId="13A04067"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C</w:t>
            </w:r>
            <w:r w:rsidRPr="00CA7C54">
              <w:rPr>
                <w:rFonts w:ascii="Arial" w:hAnsi="Arial" w:cs="Arial"/>
                <w:color w:val="000000" w:themeColor="text1"/>
                <w:sz w:val="20"/>
                <w:szCs w:val="20"/>
                <w:vertAlign w:val="subscript"/>
              </w:rPr>
              <w:t>z</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vertAlign w:val="subscript"/>
                    </w:rPr>
                  </m:ctrlPr>
                </m:fPr>
                <m:num>
                  <m:r>
                    <w:rPr>
                      <w:rFonts w:ascii="Cambria Math" w:eastAsia="Cambria Math" w:hAnsi="Cambria Math" w:cs="Arial"/>
                      <w:color w:val="000000" w:themeColor="text1"/>
                      <w:sz w:val="20"/>
                      <w:szCs w:val="20"/>
                    </w:rPr>
                    <m:t>a</m:t>
                  </m:r>
                </m:num>
                <m:den>
                  <m:r>
                    <w:rPr>
                      <w:rFonts w:ascii="Cambria Math" w:eastAsia="Cambria Math" w:hAnsi="Cambria Math" w:cs="Arial"/>
                      <w:color w:val="000000" w:themeColor="text1"/>
                      <w:sz w:val="20"/>
                      <w:szCs w:val="20"/>
                    </w:rPr>
                    <m:t>L</m:t>
                  </m:r>
                  <m:r>
                    <w:rPr>
                      <w:rFonts w:ascii="Cambria Math" w:eastAsia="Cambria Math" w:hAnsi="Cambria Math" w:cs="Arial"/>
                      <w:color w:val="000000" w:themeColor="text1"/>
                      <w:sz w:val="20"/>
                      <w:szCs w:val="20"/>
                      <w:vertAlign w:val="subscript"/>
                    </w:rPr>
                    <m:t>підп</m:t>
                  </m:r>
                </m:den>
              </m:f>
              <m:r>
                <w:rPr>
                  <w:rFonts w:ascii="Cambria Math" w:eastAsia="Cambria Math" w:hAnsi="Cambria Math" w:cs="Arial"/>
                  <w:color w:val="000000" w:themeColor="text1"/>
                  <w:sz w:val="20"/>
                  <w:szCs w:val="20"/>
                </w:rPr>
                <m:t xml:space="preserve">+ </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r>
                <w:rPr>
                  <w:rFonts w:ascii="Cambria Math" w:eastAsia="Cambria Math" w:hAnsi="Cambria Math" w:cs="Arial"/>
                  <w:color w:val="000000" w:themeColor="text1"/>
                  <w:sz w:val="20"/>
                  <w:szCs w:val="20"/>
                </w:rPr>
                <m:t xml:space="preserve">)× </m:t>
              </m:r>
            </m:oMath>
          </w:p>
          <w:p w14:paraId="05D379D3" w14:textId="77777777" w:rsidR="007D5313" w:rsidRPr="00CA7C54" w:rsidRDefault="007D5313" w:rsidP="007D5313">
            <w:pPr>
              <w:jc w:val="center"/>
              <w:rPr>
                <w:rFonts w:ascii="Arial" w:eastAsia="Cambria Math" w:hAnsi="Arial" w:cs="Arial"/>
                <w:color w:val="000000" w:themeColor="text1"/>
                <w:sz w:val="20"/>
                <w:szCs w:val="20"/>
              </w:rPr>
            </w:pPr>
            <m:oMathPara>
              <m:oMath>
                <m:r>
                  <w:rPr>
                    <w:rFonts w:ascii="Cambria Math" w:eastAsia="Cambria Math" w:hAnsi="Cambria Math" w:cs="Arial"/>
                    <w:color w:val="000000" w:themeColor="text1"/>
                    <w:sz w:val="20"/>
                    <w:szCs w:val="20"/>
                  </w:rPr>
                  <m:t xml:space="preserve">(1- </m:t>
                </m:r>
                <m:sSup>
                  <m:sSupPr>
                    <m:ctrlPr>
                      <w:rPr>
                        <w:rFonts w:ascii="Cambria Math" w:eastAsia="Cambria Math" w:hAnsi="Cambria Math" w:cs="Arial"/>
                        <w:color w:val="000000" w:themeColor="text1"/>
                        <w:sz w:val="20"/>
                        <w:szCs w:val="20"/>
                      </w:rPr>
                    </m:ctrlPr>
                  </m:sSupPr>
                  <m:e>
                    <m:r>
                      <w:rPr>
                        <w:rFonts w:ascii="Cambria Math" w:eastAsia="Cambria Math" w:hAnsi="Cambria Math" w:cs="Arial"/>
                        <w:color w:val="000000" w:themeColor="text1"/>
                        <w:sz w:val="20"/>
                        <w:szCs w:val="20"/>
                      </w:rPr>
                      <m:t>e</m:t>
                    </m:r>
                  </m:e>
                  <m:sup>
                    <m:r>
                      <w:rPr>
                        <w:rFonts w:ascii="Cambria Math" w:eastAsia="Cambria Math" w:hAnsi="Cambria Math" w:cs="Arial"/>
                        <w:color w:val="000000" w:themeColor="text1"/>
                        <w:sz w:val="20"/>
                        <w:szCs w:val="20"/>
                      </w:rPr>
                      <m:t>-</m:t>
                    </m:r>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K</m:t>
                        </m:r>
                      </m:e>
                      <m:sub>
                        <m:r>
                          <w:rPr>
                            <w:rFonts w:ascii="Cambria Math" w:eastAsia="Cambria Math" w:hAnsi="Cambria Math" w:cs="Arial"/>
                            <w:color w:val="000000" w:themeColor="text1"/>
                            <w:sz w:val="20"/>
                            <w:szCs w:val="20"/>
                          </w:rPr>
                          <m:t>в</m:t>
                        </m:r>
                      </m:sub>
                    </m:sSub>
                    <m:r>
                      <w:rPr>
                        <w:rFonts w:ascii="Cambria Math" w:eastAsia="Cambria Math" w:hAnsi="Cambria Math" w:cs="Arial"/>
                        <w:color w:val="000000" w:themeColor="text1"/>
                        <w:sz w:val="20"/>
                        <w:szCs w:val="20"/>
                      </w:rPr>
                      <m:t>·z</m:t>
                    </m:r>
                  </m:sup>
                </m:sSup>
                <m:r>
                  <w:rPr>
                    <w:rFonts w:ascii="Cambria Math" w:eastAsia="Cambria Math" w:hAnsi="Cambria Math" w:cs="Arial"/>
                    <w:color w:val="000000" w:themeColor="text1"/>
                    <w:sz w:val="20"/>
                    <w:szCs w:val="20"/>
                  </w:rPr>
                  <m:t xml:space="preserve">+ </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 реж ІІ</m:t>
                    </m:r>
                  </m:sub>
                  <m:sup/>
                </m:sSubSup>
                <m:r>
                  <w:rPr>
                    <w:rFonts w:ascii="Cambria Math" w:eastAsia="Cambria Math" w:hAnsi="Cambria Math" w:cs="Arial"/>
                    <w:color w:val="000000" w:themeColor="text1"/>
                    <w:sz w:val="20"/>
                    <w:szCs w:val="20"/>
                  </w:rPr>
                  <m:t>·</m:t>
                </m:r>
                <m:sSup>
                  <m:sSupPr>
                    <m:ctrlPr>
                      <w:rPr>
                        <w:rFonts w:ascii="Cambria Math" w:eastAsia="Cambria Math" w:hAnsi="Cambria Math" w:cs="Arial"/>
                        <w:color w:val="000000" w:themeColor="text1"/>
                        <w:sz w:val="20"/>
                        <w:szCs w:val="20"/>
                      </w:rPr>
                    </m:ctrlPr>
                  </m:sSupPr>
                  <m:e>
                    <m:r>
                      <w:rPr>
                        <w:rFonts w:ascii="Cambria Math" w:eastAsia="Cambria Math" w:hAnsi="Cambria Math" w:cs="Arial"/>
                        <w:color w:val="000000" w:themeColor="text1"/>
                        <w:sz w:val="20"/>
                        <w:szCs w:val="20"/>
                      </w:rPr>
                      <m:t>e</m:t>
                    </m:r>
                  </m:e>
                  <m:sup>
                    <m:r>
                      <w:rPr>
                        <w:rFonts w:ascii="Cambria Math" w:eastAsia="Cambria Math" w:hAnsi="Cambria Math" w:cs="Arial"/>
                        <w:color w:val="000000" w:themeColor="text1"/>
                        <w:sz w:val="20"/>
                        <w:szCs w:val="20"/>
                      </w:rPr>
                      <m:t>-</m:t>
                    </m:r>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K</m:t>
                        </m:r>
                      </m:e>
                      <m:sub>
                        <m:r>
                          <w:rPr>
                            <w:rFonts w:ascii="Cambria Math" w:eastAsia="Cambria Math" w:hAnsi="Cambria Math" w:cs="Arial"/>
                            <w:color w:val="000000" w:themeColor="text1"/>
                            <w:sz w:val="20"/>
                            <w:szCs w:val="20"/>
                          </w:rPr>
                          <m:t>в</m:t>
                        </m:r>
                      </m:sub>
                    </m:sSub>
                    <m:r>
                      <w:rPr>
                        <w:rFonts w:ascii="Cambria Math" w:eastAsia="Cambria Math" w:hAnsi="Cambria Math" w:cs="Arial"/>
                        <w:color w:val="000000" w:themeColor="text1"/>
                        <w:sz w:val="20"/>
                        <w:szCs w:val="20"/>
                      </w:rPr>
                      <m:t>·z</m:t>
                    </m:r>
                  </m:sup>
                </m:sSup>
                <m:r>
                  <w:rPr>
                    <w:rFonts w:ascii="Cambria Math" w:eastAsia="Cambria Math" w:hAnsi="Cambria Math" w:cs="Arial"/>
                    <w:color w:val="000000" w:themeColor="text1"/>
                    <w:sz w:val="20"/>
                    <w:szCs w:val="20"/>
                  </w:rPr>
                  <m:t xml:space="preserve">) </m:t>
                </m:r>
              </m:oMath>
            </m:oMathPara>
          </w:p>
        </w:tc>
        <w:tc>
          <w:tcPr>
            <w:tcW w:w="2268" w:type="dxa"/>
          </w:tcPr>
          <w:p w14:paraId="1CF5554B" w14:textId="77777777" w:rsidR="007D5313" w:rsidRPr="00CA7C54" w:rsidRDefault="00DC31F3" w:rsidP="007D5313">
            <w:pPr>
              <w:spacing w:before="0" w:line="240" w:lineRule="auto"/>
              <w:ind w:left="138" w:firstLine="0"/>
              <w:jc w:val="left"/>
              <w:rPr>
                <w:rFonts w:ascii="Arial" w:hAnsi="Arial" w:cs="Arial"/>
                <w:color w:val="000000" w:themeColor="text1"/>
                <w:sz w:val="20"/>
                <w:szCs w:val="20"/>
              </w:rPr>
            </w:pPr>
            <m:oMath>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 реж ІІ</m:t>
                  </m:r>
                </m:sub>
              </m:sSub>
            </m:oMath>
            <w:r w:rsidR="007D5313" w:rsidRPr="00CA7C54">
              <w:rPr>
                <w:rFonts w:ascii="Arial" w:hAnsi="Arial" w:cs="Arial"/>
                <w:color w:val="000000" w:themeColor="text1"/>
                <w:sz w:val="20"/>
                <w:szCs w:val="20"/>
              </w:rPr>
              <w:t xml:space="preserve">=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a</m:t>
                  </m:r>
                </m:num>
                <m:den>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L</m:t>
                      </m:r>
                    </m:e>
                    <m:sub>
                      <m:r>
                        <w:rPr>
                          <w:rFonts w:ascii="Cambria Math" w:eastAsia="Cambria Math" w:hAnsi="Cambria Math" w:cs="Arial"/>
                          <w:color w:val="000000" w:themeColor="text1"/>
                          <w:sz w:val="20"/>
                          <w:szCs w:val="20"/>
                        </w:rPr>
                        <m:t>2</m:t>
                      </m:r>
                    </m:sub>
                  </m:sSub>
                </m:den>
              </m:f>
            </m:oMath>
            <w:r w:rsidR="007D5313" w:rsidRPr="00CA7C54">
              <w:rPr>
                <w:rFonts w:ascii="Arial" w:hAnsi="Arial" w:cs="Arial"/>
                <w:color w:val="000000" w:themeColor="text1"/>
                <w:sz w:val="20"/>
                <w:szCs w:val="20"/>
              </w:rPr>
              <w:t xml:space="preserve"> + </w:t>
            </w: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oMath>
            <w:r w:rsidR="007D5313" w:rsidRPr="00CA7C54">
              <w:rPr>
                <w:rFonts w:ascii="Arial" w:hAnsi="Arial" w:cs="Arial"/>
                <w:color w:val="000000" w:themeColor="text1"/>
                <w:sz w:val="20"/>
                <w:szCs w:val="20"/>
              </w:rPr>
              <w:t>=10,4 – початкова розрахункова концентрація СО</w:t>
            </w:r>
            <w:r w:rsidR="007D5313" w:rsidRPr="00CA7C54">
              <w:rPr>
                <w:rFonts w:ascii="Arial" w:hAnsi="Arial" w:cs="Arial"/>
                <w:color w:val="000000" w:themeColor="text1"/>
                <w:sz w:val="20"/>
                <w:szCs w:val="20"/>
                <w:vertAlign w:val="subscript"/>
              </w:rPr>
              <w:t xml:space="preserve">2 </w:t>
            </w:r>
            <w:r w:rsidR="007D5313" w:rsidRPr="00CA7C54">
              <w:rPr>
                <w:rFonts w:ascii="Arial" w:hAnsi="Arial" w:cs="Arial"/>
                <w:color w:val="000000" w:themeColor="text1"/>
                <w:sz w:val="20"/>
                <w:szCs w:val="20"/>
              </w:rPr>
              <w:t>у момент переходу з ІІ-го на ІІІ-ій режим, л/м</w:t>
            </w:r>
            <w:r w:rsidR="007D5313" w:rsidRPr="00CA7C54">
              <w:rPr>
                <w:rFonts w:ascii="Arial" w:hAnsi="Arial" w:cs="Arial"/>
                <w:color w:val="000000" w:themeColor="text1"/>
                <w:sz w:val="20"/>
                <w:szCs w:val="20"/>
                <w:vertAlign w:val="superscript"/>
              </w:rPr>
              <w:t>3</w:t>
            </w:r>
            <w:r w:rsidR="007D5313" w:rsidRPr="00CA7C54">
              <w:rPr>
                <w:rFonts w:ascii="Arial" w:hAnsi="Arial" w:cs="Arial"/>
                <w:color w:val="000000" w:themeColor="text1"/>
                <w:sz w:val="20"/>
                <w:szCs w:val="20"/>
              </w:rPr>
              <w:t>];</w:t>
            </w:r>
          </w:p>
          <w:p w14:paraId="0AD5D639"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2</w:t>
            </w:r>
            <w:r w:rsidRPr="00CA7C54">
              <w:rPr>
                <w:rFonts w:ascii="Arial" w:hAnsi="Arial" w:cs="Arial"/>
                <w:color w:val="000000" w:themeColor="text1"/>
                <w:sz w:val="20"/>
                <w:szCs w:val="20"/>
              </w:rPr>
              <w:t xml:space="preserve"> – мінімальна повітровіддача у </w:t>
            </w:r>
          </w:p>
          <w:p w14:paraId="4887F01E"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 xml:space="preserve">ІІ-му режимі, що дорівнює </w:t>
            </w:r>
          </w:p>
          <w:p w14:paraId="22139D92"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2 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/(люд.·год);</w:t>
            </w:r>
          </w:p>
          <w:p w14:paraId="6590A861"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 xml:space="preserve">в цій формулі </w:t>
            </w:r>
          </w:p>
          <w:p w14:paraId="79986FDF"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m:oMathPara>
              <m:oMath>
                <m:r>
                  <w:rPr>
                    <w:rFonts w:ascii="Cambria Math" w:eastAsia="Cambria Math" w:hAnsi="Cambria Math" w:cs="Arial"/>
                    <w:color w:val="000000" w:themeColor="text1"/>
                    <w:sz w:val="20"/>
                    <w:szCs w:val="20"/>
                  </w:rPr>
                  <m:t>z=</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oMath>
            </m:oMathPara>
          </w:p>
        </w:tc>
      </w:tr>
      <w:tr w:rsidR="00CA7C54" w:rsidRPr="00CA7C54" w14:paraId="3495EF60" w14:textId="77777777" w:rsidTr="00A50F83">
        <w:trPr>
          <w:trHeight w:val="1302"/>
        </w:trPr>
        <w:tc>
          <w:tcPr>
            <w:tcW w:w="562" w:type="dxa"/>
          </w:tcPr>
          <w:p w14:paraId="2F14DCBB"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985" w:type="dxa"/>
          </w:tcPr>
          <w:p w14:paraId="4E64BFB5"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Тривалість перебування на мінімальній повітровіддачі згідно поз. 8 до нарощування концентрації CO</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xml:space="preserve"> до максимального значення </w:t>
            </w: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CO</m:t>
                  </m:r>
                  <m:r>
                    <w:rPr>
                      <w:rFonts w:ascii="Cambria Math" w:eastAsia="Cambria Math" w:hAnsi="Cambria Math" w:cs="Arial"/>
                      <w:color w:val="000000" w:themeColor="text1"/>
                      <w:sz w:val="20"/>
                      <w:szCs w:val="20"/>
                      <w:vertAlign w:val="subscript"/>
                    </w:rPr>
                    <m:t>2</m:t>
                  </m:r>
                </m:sub>
                <m:sup>
                  <m:r>
                    <w:rPr>
                      <w:rFonts w:ascii="Cambria Math" w:eastAsia="Cambria Math" w:hAnsi="Cambria Math" w:cs="Arial"/>
                      <w:color w:val="000000" w:themeColor="text1"/>
                      <w:sz w:val="20"/>
                      <w:szCs w:val="20"/>
                    </w:rPr>
                    <m:t>max</m:t>
                  </m:r>
                </m:sup>
              </m:sSubSup>
            </m:oMath>
          </w:p>
        </w:tc>
        <w:tc>
          <w:tcPr>
            <w:tcW w:w="1134" w:type="dxa"/>
          </w:tcPr>
          <w:p w14:paraId="0A1B716D" w14:textId="77777777" w:rsidR="007D5313" w:rsidRPr="00CA7C54" w:rsidRDefault="00DC31F3" w:rsidP="007D5313">
            <w:pPr>
              <w:jc w:val="center"/>
              <w:rPr>
                <w:rFonts w:ascii="Arial" w:eastAsia="Cambria Math" w:hAnsi="Arial" w:cs="Arial"/>
                <w:color w:val="000000" w:themeColor="text1"/>
                <w:sz w:val="20"/>
                <w:szCs w:val="20"/>
              </w:rPr>
            </w:pPr>
            <m:oMathPara>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oMath>
            </m:oMathPara>
          </w:p>
        </w:tc>
        <w:tc>
          <w:tcPr>
            <w:tcW w:w="1276" w:type="dxa"/>
          </w:tcPr>
          <w:p w14:paraId="59DB20F0"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год.</w:t>
            </w:r>
          </w:p>
        </w:tc>
        <w:tc>
          <w:tcPr>
            <w:tcW w:w="3260" w:type="dxa"/>
          </w:tcPr>
          <w:p w14:paraId="468B75D2" w14:textId="77777777" w:rsidR="007D5313" w:rsidRPr="00CA7C54" w:rsidRDefault="00DC31F3" w:rsidP="007D5313">
            <w:pPr>
              <w:jc w:val="center"/>
              <w:rPr>
                <w:rFonts w:ascii="Arial" w:eastAsia="Cambria Math" w:hAnsi="Arial" w:cs="Arial"/>
                <w:color w:val="000000" w:themeColor="text1"/>
                <w:sz w:val="20"/>
                <w:szCs w:val="20"/>
              </w:rPr>
            </w:pPr>
            <m:oMathPara>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r>
                      <w:rPr>
                        <w:rFonts w:ascii="Cambria Math" w:eastAsia="Cambria Math" w:hAnsi="Cambria Math" w:cs="Arial"/>
                        <w:color w:val="000000" w:themeColor="text1"/>
                        <w:sz w:val="20"/>
                        <w:szCs w:val="20"/>
                      </w:rPr>
                      <m:t>CO</m:t>
                    </m:r>
                    <m:r>
                      <w:rPr>
                        <w:rFonts w:ascii="Cambria Math" w:eastAsia="Cambria Math" w:hAnsi="Cambria Math" w:cs="Arial"/>
                        <w:color w:val="000000" w:themeColor="text1"/>
                        <w:sz w:val="20"/>
                        <w:szCs w:val="20"/>
                        <w:vertAlign w:val="subscript"/>
                      </w:rPr>
                      <m:t>2</m:t>
                    </m:r>
                  </m:sub>
                  <m:sup>
                    <m:r>
                      <w:rPr>
                        <w:rFonts w:ascii="Cambria Math" w:eastAsia="Cambria Math" w:hAnsi="Cambria Math" w:cs="Arial"/>
                        <w:color w:val="000000" w:themeColor="text1"/>
                        <w:sz w:val="20"/>
                        <w:szCs w:val="20"/>
                      </w:rPr>
                      <m:t>max</m:t>
                    </m:r>
                  </m:sup>
                </m:sSubSup>
                <m:r>
                  <w:rPr>
                    <w:rFonts w:ascii="Cambria Math" w:eastAsia="Cambria Math" w:hAnsi="Cambria Math" w:cs="Arial"/>
                    <w:color w:val="000000" w:themeColor="text1"/>
                    <w:sz w:val="20"/>
                    <w:szCs w:val="20"/>
                  </w:rPr>
                  <m:t xml:space="preserve">= </m:t>
                </m:r>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1</m:t>
                    </m:r>
                  </m:num>
                  <m:den>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K</m:t>
                        </m:r>
                      </m:e>
                      <m:sub>
                        <m:r>
                          <w:rPr>
                            <w:rFonts w:ascii="Cambria Math" w:eastAsia="Cambria Math" w:hAnsi="Cambria Math" w:cs="Arial"/>
                            <w:color w:val="000000" w:themeColor="text1"/>
                            <w:sz w:val="20"/>
                            <w:szCs w:val="20"/>
                          </w:rPr>
                          <m:t>в</m:t>
                        </m:r>
                      </m:sub>
                    </m:sSub>
                  </m:den>
                </m:f>
                <m:r>
                  <w:rPr>
                    <w:rFonts w:ascii="Cambria Math" w:eastAsia="Cambria Math" w:hAnsi="Cambria Math" w:cs="Arial"/>
                    <w:color w:val="000000" w:themeColor="text1"/>
                    <w:sz w:val="20"/>
                    <w:szCs w:val="20"/>
                  </w:rPr>
                  <m:t xml:space="preserve"> ln</m:t>
                </m:r>
                <m:d>
                  <m:dPr>
                    <m:ctrlPr>
                      <w:rPr>
                        <w:rFonts w:ascii="Cambria Math" w:eastAsia="Cambria Math" w:hAnsi="Cambria Math" w:cs="Arial"/>
                        <w:color w:val="000000" w:themeColor="text1"/>
                        <w:sz w:val="20"/>
                        <w:szCs w:val="20"/>
                      </w:rPr>
                    </m:ctrlPr>
                  </m:dPr>
                  <m:e>
                    <m:f>
                      <m:fPr>
                        <m:ctrlPr>
                          <w:rPr>
                            <w:rFonts w:ascii="Cambria Math" w:eastAsia="Cambria Math" w:hAnsi="Cambria Math" w:cs="Arial"/>
                            <w:color w:val="000000" w:themeColor="text1"/>
                            <w:sz w:val="20"/>
                            <w:szCs w:val="20"/>
                          </w:rPr>
                        </m:ctrlPr>
                      </m:fPr>
                      <m:num>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a</m:t>
                            </m:r>
                          </m:num>
                          <m:den>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L</m:t>
                                </m:r>
                              </m:e>
                              <m:sub>
                                <m:r>
                                  <w:rPr>
                                    <w:rFonts w:ascii="Cambria Math" w:eastAsia="Cambria Math" w:hAnsi="Cambria Math" w:cs="Arial"/>
                                    <w:color w:val="000000" w:themeColor="text1"/>
                                    <w:sz w:val="20"/>
                                    <w:szCs w:val="20"/>
                                  </w:rPr>
                                  <m:t>підпв</m:t>
                                </m:r>
                              </m:sub>
                            </m:sSub>
                          </m:den>
                        </m:f>
                        <m:r>
                          <w:rPr>
                            <w:rFonts w:ascii="Cambria Math" w:eastAsia="Cambria Math" w:hAnsi="Cambria Math" w:cs="Arial"/>
                            <w:color w:val="000000" w:themeColor="text1"/>
                            <w:sz w:val="20"/>
                            <w:szCs w:val="20"/>
                          </w:rPr>
                          <m:t>+</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r>
                          <w:rPr>
                            <w:rFonts w:ascii="Cambria Math" w:eastAsia="Cambria Math" w:hAnsi="Cambria Math" w:cs="Arial"/>
                            <w:color w:val="000000" w:themeColor="text1"/>
                            <w:sz w:val="20"/>
                            <w:szCs w:val="20"/>
                          </w:rPr>
                          <m:t>-</m:t>
                        </m:r>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 реж ІІ</m:t>
                            </m:r>
                          </m:sub>
                        </m:sSub>
                      </m:num>
                      <m:den>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a</m:t>
                            </m:r>
                          </m:num>
                          <m:den>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L</m:t>
                                </m:r>
                              </m:e>
                              <m:sub>
                                <m:r>
                                  <w:rPr>
                                    <w:rFonts w:ascii="Cambria Math" w:eastAsia="Cambria Math" w:hAnsi="Cambria Math" w:cs="Arial"/>
                                    <w:color w:val="000000" w:themeColor="text1"/>
                                    <w:sz w:val="20"/>
                                    <w:szCs w:val="20"/>
                                  </w:rPr>
                                  <m:t>підпв</m:t>
                                </m:r>
                              </m:sub>
                            </m:sSub>
                          </m:den>
                        </m:f>
                        <m:r>
                          <w:rPr>
                            <w:rFonts w:ascii="Cambria Math" w:eastAsia="Cambria Math" w:hAnsi="Cambria Math" w:cs="Arial"/>
                            <w:color w:val="000000" w:themeColor="text1"/>
                            <w:sz w:val="20"/>
                            <w:szCs w:val="20"/>
                          </w:rPr>
                          <m:t>+</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r>
                          <w:rPr>
                            <w:rFonts w:ascii="Cambria Math" w:eastAsia="Cambria Math" w:hAnsi="Cambria Math" w:cs="Arial"/>
                            <w:color w:val="000000" w:themeColor="text1"/>
                            <w:sz w:val="20"/>
                            <w:szCs w:val="20"/>
                          </w:rPr>
                          <m:t xml:space="preserve">- </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den>
                    </m:f>
                  </m:e>
                </m:d>
              </m:oMath>
            </m:oMathPara>
          </w:p>
        </w:tc>
        <w:tc>
          <w:tcPr>
            <w:tcW w:w="2268" w:type="dxa"/>
          </w:tcPr>
          <w:p w14:paraId="6F33E2EF"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0CE86B8C" w14:textId="77777777" w:rsidTr="00A50F83">
        <w:trPr>
          <w:trHeight w:val="992"/>
        </w:trPr>
        <w:tc>
          <w:tcPr>
            <w:tcW w:w="562" w:type="dxa"/>
          </w:tcPr>
          <w:p w14:paraId="770CF5C9"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w:t>
            </w:r>
          </w:p>
        </w:tc>
        <w:tc>
          <w:tcPr>
            <w:tcW w:w="1985" w:type="dxa"/>
          </w:tcPr>
          <w:p w14:paraId="473E1DE6"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Технічний запас повітря для підтримання підпору та забезпечення дихання людей</w:t>
            </w:r>
          </w:p>
        </w:tc>
        <w:tc>
          <w:tcPr>
            <w:tcW w:w="1134" w:type="dxa"/>
          </w:tcPr>
          <w:p w14:paraId="350DE064"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G</w:t>
            </w:r>
            <w:r w:rsidRPr="00CA7C54">
              <w:rPr>
                <w:rFonts w:ascii="Arial" w:hAnsi="Arial" w:cs="Arial"/>
                <w:i/>
                <w:color w:val="000000" w:themeColor="text1"/>
                <w:sz w:val="20"/>
                <w:szCs w:val="20"/>
                <w:vertAlign w:val="subscript"/>
              </w:rPr>
              <w:t>теор</w:t>
            </w:r>
          </w:p>
        </w:tc>
        <w:tc>
          <w:tcPr>
            <w:tcW w:w="1276" w:type="dxa"/>
          </w:tcPr>
          <w:p w14:paraId="70661C04"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нм</w:t>
            </w:r>
            <w:r w:rsidRPr="00CA7C54">
              <w:rPr>
                <w:rFonts w:ascii="Arial" w:hAnsi="Arial" w:cs="Arial"/>
                <w:color w:val="000000" w:themeColor="text1"/>
                <w:sz w:val="20"/>
                <w:szCs w:val="20"/>
                <w:vertAlign w:val="superscript"/>
              </w:rPr>
              <w:t>3</w:t>
            </w:r>
          </w:p>
        </w:tc>
        <w:tc>
          <w:tcPr>
            <w:tcW w:w="3260" w:type="dxa"/>
          </w:tcPr>
          <w:p w14:paraId="184DAE6E"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G</w:t>
            </w:r>
            <w:r w:rsidRPr="00CA7C54">
              <w:rPr>
                <w:rFonts w:ascii="Arial" w:hAnsi="Arial" w:cs="Arial"/>
                <w:color w:val="000000" w:themeColor="text1"/>
                <w:sz w:val="20"/>
                <w:szCs w:val="20"/>
                <w:vertAlign w:val="subscript"/>
              </w:rPr>
              <w:t xml:space="preserve">теор </w:t>
            </w:r>
            <w:r w:rsidRPr="00CA7C54">
              <w:rPr>
                <w:rFonts w:ascii="Arial" w:hAnsi="Arial" w:cs="Arial"/>
                <w:color w:val="000000" w:themeColor="text1"/>
                <w:sz w:val="20"/>
                <w:szCs w:val="20"/>
              </w:rPr>
              <w:t>=L</w:t>
            </w:r>
            <w:r w:rsidRPr="00CA7C54">
              <w:rPr>
                <w:rFonts w:ascii="Arial" w:hAnsi="Arial" w:cs="Arial"/>
                <w:color w:val="000000" w:themeColor="text1"/>
                <w:sz w:val="20"/>
                <w:szCs w:val="20"/>
                <w:vertAlign w:val="subscript"/>
              </w:rPr>
              <w:t>підп</w:t>
            </w: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oMath>
            <w:r w:rsidRPr="00CA7C54">
              <w:rPr>
                <w:rFonts w:ascii="Arial" w:hAnsi="Arial" w:cs="Arial"/>
                <w:color w:val="000000" w:themeColor="text1"/>
                <w:sz w:val="20"/>
                <w:szCs w:val="20"/>
              </w:rPr>
              <w:t>n + L</w:t>
            </w:r>
            <w:r w:rsidRPr="00CA7C54">
              <w:rPr>
                <w:rFonts w:ascii="Arial" w:hAnsi="Arial" w:cs="Arial"/>
                <w:color w:val="000000" w:themeColor="text1"/>
                <w:sz w:val="20"/>
                <w:szCs w:val="20"/>
                <w:vertAlign w:val="subscript"/>
              </w:rPr>
              <w:t>дих</w:t>
            </w:r>
            <w:r w:rsidRPr="00CA7C54">
              <w:rPr>
                <w:rFonts w:ascii="Arial" w:hAnsi="Arial" w:cs="Arial"/>
                <w:color w:val="000000" w:themeColor="text1"/>
                <w:sz w:val="20"/>
                <w:szCs w:val="20"/>
              </w:rPr>
              <w:t xml:space="preserve"> (</w:t>
            </w:r>
            <m:oMath>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z</m:t>
                  </m:r>
                </m:e>
                <m:sub>
                  <m:r>
                    <w:rPr>
                      <w:rFonts w:ascii="Cambria Math" w:eastAsia="Cambria Math" w:hAnsi="Cambria Math" w:cs="Arial"/>
                      <w:color w:val="000000" w:themeColor="text1"/>
                      <w:sz w:val="20"/>
                      <w:szCs w:val="20"/>
                    </w:rPr>
                    <m:t>III</m:t>
                  </m:r>
                </m:sub>
              </m:sSub>
              <m:r>
                <w:rPr>
                  <w:rFonts w:ascii="Cambria Math" w:eastAsia="Cambria Math" w:hAnsi="Cambria Math" w:cs="Arial"/>
                  <w:color w:val="000000" w:themeColor="text1"/>
                  <w:sz w:val="20"/>
                  <w:szCs w:val="20"/>
                </w:rPr>
                <m:t>-</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oMath>
            <w:r w:rsidRPr="00CA7C54">
              <w:rPr>
                <w:rFonts w:ascii="Arial" w:hAnsi="Arial" w:cs="Arial"/>
                <w:color w:val="000000" w:themeColor="text1"/>
                <w:sz w:val="20"/>
                <w:szCs w:val="20"/>
              </w:rPr>
              <w:t>)·n</w:t>
            </w:r>
          </w:p>
        </w:tc>
        <w:tc>
          <w:tcPr>
            <w:tcW w:w="2268" w:type="dxa"/>
          </w:tcPr>
          <w:p w14:paraId="772977DE"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i/>
                <w:color w:val="000000" w:themeColor="text1"/>
                <w:sz w:val="20"/>
                <w:szCs w:val="20"/>
              </w:rPr>
              <w:t>z</w:t>
            </w:r>
            <w:r w:rsidRPr="00CA7C54">
              <w:rPr>
                <w:rFonts w:ascii="Arial" w:hAnsi="Arial" w:cs="Arial"/>
                <w:i/>
                <w:color w:val="000000" w:themeColor="text1"/>
                <w:sz w:val="20"/>
                <w:szCs w:val="20"/>
                <w:vertAlign w:val="subscript"/>
              </w:rPr>
              <w:t xml:space="preserve">III </w:t>
            </w:r>
            <w:r w:rsidRPr="00CA7C54">
              <w:rPr>
                <w:rFonts w:ascii="Arial" w:hAnsi="Arial" w:cs="Arial"/>
                <w:color w:val="000000" w:themeColor="text1"/>
                <w:sz w:val="20"/>
                <w:szCs w:val="20"/>
              </w:rPr>
              <w:t>– тривалість ІІІ-го режиму за 11.2.1.1</w:t>
            </w:r>
          </w:p>
        </w:tc>
      </w:tr>
      <w:tr w:rsidR="00CA7C54" w:rsidRPr="00CA7C54" w14:paraId="09DEE222" w14:textId="77777777" w:rsidTr="00A50F83">
        <w:tc>
          <w:tcPr>
            <w:tcW w:w="562" w:type="dxa"/>
          </w:tcPr>
          <w:p w14:paraId="4B72A2EA"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w:t>
            </w:r>
          </w:p>
        </w:tc>
        <w:tc>
          <w:tcPr>
            <w:tcW w:w="1985" w:type="dxa"/>
          </w:tcPr>
          <w:p w14:paraId="07E0C8AC"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Запас повітря для компенсації коливань атмосферного тиску</w:t>
            </w:r>
          </w:p>
        </w:tc>
        <w:tc>
          <w:tcPr>
            <w:tcW w:w="1134" w:type="dxa"/>
          </w:tcPr>
          <w:p w14:paraId="557F23E8"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G</w:t>
            </w:r>
            <w:r w:rsidRPr="00CA7C54">
              <w:rPr>
                <w:rFonts w:ascii="Arial" w:hAnsi="Arial" w:cs="Arial"/>
                <w:i/>
                <w:color w:val="000000" w:themeColor="text1"/>
                <w:sz w:val="20"/>
                <w:szCs w:val="20"/>
                <w:vertAlign w:val="subscript"/>
              </w:rPr>
              <w:t>колив</w:t>
            </w:r>
          </w:p>
        </w:tc>
        <w:tc>
          <w:tcPr>
            <w:tcW w:w="1276" w:type="dxa"/>
          </w:tcPr>
          <w:p w14:paraId="099168AE"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нм</w:t>
            </w:r>
            <w:r w:rsidRPr="00CA7C54">
              <w:rPr>
                <w:rFonts w:ascii="Arial" w:hAnsi="Arial" w:cs="Arial"/>
                <w:color w:val="000000" w:themeColor="text1"/>
                <w:sz w:val="20"/>
                <w:szCs w:val="20"/>
                <w:vertAlign w:val="superscript"/>
              </w:rPr>
              <w:t>3</w:t>
            </w:r>
          </w:p>
        </w:tc>
        <w:tc>
          <w:tcPr>
            <w:tcW w:w="3260" w:type="dxa"/>
          </w:tcPr>
          <w:p w14:paraId="2A69962E"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G</w:t>
            </w:r>
            <w:r w:rsidRPr="00CA7C54">
              <w:rPr>
                <w:rFonts w:ascii="Arial" w:hAnsi="Arial" w:cs="Arial"/>
                <w:color w:val="000000" w:themeColor="text1"/>
                <w:sz w:val="20"/>
                <w:szCs w:val="20"/>
                <w:vertAlign w:val="subscript"/>
              </w:rPr>
              <w:t>колив</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30</m:t>
                  </m:r>
                </m:num>
                <m:den>
                  <m:r>
                    <w:rPr>
                      <w:rFonts w:ascii="Cambria Math" w:eastAsia="Cambria Math" w:hAnsi="Cambria Math" w:cs="Arial"/>
                      <w:color w:val="000000" w:themeColor="text1"/>
                      <w:sz w:val="20"/>
                      <w:szCs w:val="20"/>
                    </w:rPr>
                    <m:t>1000</m:t>
                  </m:r>
                </m:den>
              </m:f>
              <m:r>
                <w:rPr>
                  <w:rFonts w:ascii="Cambria Math" w:eastAsia="Cambria Math" w:hAnsi="Cambria Math" w:cs="Arial"/>
                  <w:color w:val="000000" w:themeColor="text1"/>
                  <w:sz w:val="20"/>
                  <w:szCs w:val="20"/>
                </w:rPr>
                <m:t>V</m:t>
              </m:r>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z</m:t>
                  </m:r>
                </m:e>
                <m:sub>
                  <m:r>
                    <w:rPr>
                      <w:rFonts w:ascii="Cambria Math" w:eastAsia="Cambria Math" w:hAnsi="Cambria Math" w:cs="Arial"/>
                      <w:color w:val="000000" w:themeColor="text1"/>
                      <w:sz w:val="20"/>
                      <w:szCs w:val="20"/>
                    </w:rPr>
                    <m:t>III</m:t>
                  </m:r>
                </m:sub>
              </m:sSub>
            </m:oMath>
          </w:p>
        </w:tc>
        <w:tc>
          <w:tcPr>
            <w:tcW w:w="2268" w:type="dxa"/>
          </w:tcPr>
          <w:p w14:paraId="2FB33AAE"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 xml:space="preserve">30 – межа коливань атмосферного тиску, </w:t>
            </w:r>
            <w:r w:rsidRPr="00CA7C54">
              <w:rPr>
                <w:rFonts w:ascii="Arial" w:hAnsi="Arial" w:cs="Arial"/>
                <w:color w:val="000000" w:themeColor="text1"/>
                <w:sz w:val="20"/>
                <w:szCs w:val="20"/>
              </w:rPr>
              <w:br/>
              <w:t>[кгс/(год м</w:t>
            </w:r>
            <w:r w:rsidRPr="00CA7C54">
              <w:rPr>
                <w:rFonts w:ascii="Arial" w:hAnsi="Arial" w:cs="Arial"/>
                <w:color w:val="000000" w:themeColor="text1"/>
                <w:sz w:val="20"/>
                <w:szCs w:val="20"/>
                <w:vertAlign w:val="superscript"/>
              </w:rPr>
              <w:t>2</w:t>
            </w:r>
            <w:r w:rsidRPr="00CA7C54">
              <w:rPr>
                <w:rFonts w:ascii="Arial" w:hAnsi="Arial" w:cs="Arial"/>
                <w:color w:val="000000" w:themeColor="text1"/>
                <w:sz w:val="20"/>
                <w:szCs w:val="20"/>
              </w:rPr>
              <w:t>)]</w:t>
            </w:r>
          </w:p>
        </w:tc>
      </w:tr>
      <w:tr w:rsidR="00CA7C54" w:rsidRPr="00CA7C54" w14:paraId="6E66008F" w14:textId="77777777" w:rsidTr="00A50F83">
        <w:tc>
          <w:tcPr>
            <w:tcW w:w="562" w:type="dxa"/>
          </w:tcPr>
          <w:p w14:paraId="4695D950"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13</w:t>
            </w:r>
          </w:p>
        </w:tc>
        <w:tc>
          <w:tcPr>
            <w:tcW w:w="1985" w:type="dxa"/>
          </w:tcPr>
          <w:p w14:paraId="7DBEBD48"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Загальний запас стисненого повітря для сховищ та СПП з урахуванням витрат при зберіганні та неповному використанні об'єму приміщення</w:t>
            </w:r>
          </w:p>
        </w:tc>
        <w:tc>
          <w:tcPr>
            <w:tcW w:w="1134" w:type="dxa"/>
          </w:tcPr>
          <w:p w14:paraId="19707097"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G</w:t>
            </w:r>
            <w:r w:rsidRPr="00CA7C54">
              <w:rPr>
                <w:rFonts w:ascii="Arial" w:hAnsi="Arial" w:cs="Arial"/>
                <w:i/>
                <w:color w:val="000000" w:themeColor="text1"/>
                <w:sz w:val="20"/>
                <w:szCs w:val="20"/>
                <w:vertAlign w:val="subscript"/>
              </w:rPr>
              <w:t>заг</w:t>
            </w:r>
          </w:p>
        </w:tc>
        <w:tc>
          <w:tcPr>
            <w:tcW w:w="1276" w:type="dxa"/>
          </w:tcPr>
          <w:p w14:paraId="099C0708"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нм</w:t>
            </w:r>
            <w:r w:rsidRPr="00CA7C54">
              <w:rPr>
                <w:rFonts w:ascii="Arial" w:hAnsi="Arial" w:cs="Arial"/>
                <w:color w:val="000000" w:themeColor="text1"/>
                <w:sz w:val="20"/>
                <w:szCs w:val="20"/>
                <w:vertAlign w:val="superscript"/>
              </w:rPr>
              <w:t>3</w:t>
            </w:r>
          </w:p>
        </w:tc>
        <w:tc>
          <w:tcPr>
            <w:tcW w:w="3260" w:type="dxa"/>
          </w:tcPr>
          <w:p w14:paraId="41C67DE5"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G</w:t>
            </w:r>
            <w:r w:rsidRPr="00CA7C54">
              <w:rPr>
                <w:rFonts w:ascii="Arial" w:hAnsi="Arial" w:cs="Arial"/>
                <w:color w:val="000000" w:themeColor="text1"/>
                <w:sz w:val="20"/>
                <w:szCs w:val="20"/>
                <w:vertAlign w:val="subscript"/>
              </w:rPr>
              <w:t>заг</w:t>
            </w:r>
            <w:r w:rsidRPr="00CA7C54">
              <w:rPr>
                <w:rFonts w:ascii="Arial" w:hAnsi="Arial" w:cs="Arial"/>
                <w:color w:val="000000" w:themeColor="text1"/>
                <w:sz w:val="20"/>
                <w:szCs w:val="20"/>
              </w:rPr>
              <w:t xml:space="preserve"> = (G</w:t>
            </w:r>
            <w:r w:rsidRPr="00CA7C54">
              <w:rPr>
                <w:rFonts w:ascii="Arial" w:hAnsi="Arial" w:cs="Arial"/>
                <w:color w:val="000000" w:themeColor="text1"/>
                <w:sz w:val="20"/>
                <w:szCs w:val="20"/>
                <w:vertAlign w:val="subscript"/>
              </w:rPr>
              <w:t>теор</w:t>
            </w:r>
            <w:r w:rsidRPr="00CA7C54">
              <w:rPr>
                <w:rFonts w:ascii="Arial" w:hAnsi="Arial" w:cs="Arial"/>
                <w:color w:val="000000" w:themeColor="text1"/>
                <w:sz w:val="20"/>
                <w:szCs w:val="20"/>
              </w:rPr>
              <w:t xml:space="preserve"> + G</w:t>
            </w:r>
            <w:r w:rsidRPr="00CA7C54">
              <w:rPr>
                <w:rFonts w:ascii="Arial" w:hAnsi="Arial" w:cs="Arial"/>
                <w:color w:val="000000" w:themeColor="text1"/>
                <w:sz w:val="20"/>
                <w:szCs w:val="20"/>
                <w:vertAlign w:val="subscript"/>
              </w:rPr>
              <w:t>колив</w:t>
            </w:r>
            <w:r w:rsidRPr="00CA7C54">
              <w:rPr>
                <w:rFonts w:ascii="Arial" w:hAnsi="Arial" w:cs="Arial"/>
                <w:color w:val="000000" w:themeColor="text1"/>
                <w:sz w:val="20"/>
                <w:szCs w:val="20"/>
              </w:rPr>
              <w:t>)·1,3</w:t>
            </w:r>
          </w:p>
        </w:tc>
        <w:tc>
          <w:tcPr>
            <w:tcW w:w="2268" w:type="dxa"/>
          </w:tcPr>
          <w:p w14:paraId="76D898AC"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p>
        </w:tc>
      </w:tr>
      <w:tr w:rsidR="00CA7C54" w:rsidRPr="00CA7C54" w14:paraId="06D487D5" w14:textId="77777777" w:rsidTr="00A50F83">
        <w:trPr>
          <w:trHeight w:val="546"/>
        </w:trPr>
        <w:tc>
          <w:tcPr>
            <w:tcW w:w="562" w:type="dxa"/>
          </w:tcPr>
          <w:p w14:paraId="5A305460"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14</w:t>
            </w:r>
          </w:p>
        </w:tc>
        <w:tc>
          <w:tcPr>
            <w:tcW w:w="1985" w:type="dxa"/>
          </w:tcPr>
          <w:p w14:paraId="0B21CC68"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Розрахункова кількість балонів А-40 (або аналог)</w:t>
            </w:r>
          </w:p>
        </w:tc>
        <w:tc>
          <w:tcPr>
            <w:tcW w:w="1134" w:type="dxa"/>
          </w:tcPr>
          <w:p w14:paraId="2AAB69FB"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n</w:t>
            </w:r>
            <w:r w:rsidRPr="00CA7C54">
              <w:rPr>
                <w:rFonts w:ascii="Arial" w:hAnsi="Arial" w:cs="Arial"/>
                <w:i/>
                <w:color w:val="000000" w:themeColor="text1"/>
                <w:sz w:val="20"/>
                <w:szCs w:val="20"/>
                <w:vertAlign w:val="subscript"/>
              </w:rPr>
              <w:t>б</w:t>
            </w:r>
          </w:p>
        </w:tc>
        <w:tc>
          <w:tcPr>
            <w:tcW w:w="1276" w:type="dxa"/>
          </w:tcPr>
          <w:p w14:paraId="0D0D7E81"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шт.</w:t>
            </w:r>
          </w:p>
        </w:tc>
        <w:tc>
          <w:tcPr>
            <w:tcW w:w="3260" w:type="dxa"/>
          </w:tcPr>
          <w:p w14:paraId="59BAD6CE"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n</w:t>
            </w:r>
            <w:r w:rsidRPr="00CA7C54">
              <w:rPr>
                <w:rFonts w:ascii="Arial" w:hAnsi="Arial" w:cs="Arial"/>
                <w:color w:val="000000" w:themeColor="text1"/>
                <w:sz w:val="20"/>
                <w:szCs w:val="20"/>
                <w:vertAlign w:val="subscript"/>
              </w:rPr>
              <w:t>б</w:t>
            </w:r>
            <w:r w:rsidRPr="00CA7C54">
              <w:rPr>
                <w:rFonts w:ascii="Arial" w:hAnsi="Arial" w:cs="Arial"/>
                <w:color w:val="000000" w:themeColor="text1"/>
                <w:sz w:val="20"/>
                <w:szCs w:val="20"/>
              </w:rPr>
              <w:t xml:space="preserve"> = </w:t>
            </w:r>
            <m:oMath>
              <m:f>
                <m:fPr>
                  <m:ctrlPr>
                    <w:rPr>
                      <w:rFonts w:ascii="Cambria Math" w:hAnsi="Cambria Math" w:cs="Arial"/>
                      <w:color w:val="000000" w:themeColor="text1"/>
                      <w:sz w:val="20"/>
                      <w:szCs w:val="20"/>
                    </w:rPr>
                  </m:ctrlPr>
                </m:fPr>
                <m:num>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G</m:t>
                      </m:r>
                    </m:e>
                    <m:sub>
                      <m:r>
                        <w:rPr>
                          <w:rFonts w:ascii="Cambria Math" w:eastAsia="Cambria Math" w:hAnsi="Cambria Math" w:cs="Arial"/>
                          <w:color w:val="000000" w:themeColor="text1"/>
                          <w:sz w:val="20"/>
                          <w:szCs w:val="20"/>
                        </w:rPr>
                        <m:t>заг</m:t>
                      </m:r>
                    </m:sub>
                  </m:sSub>
                </m:num>
                <m:den>
                  <m:r>
                    <w:rPr>
                      <w:rFonts w:ascii="Cambria Math" w:eastAsia="Cambria Math" w:hAnsi="Cambria Math" w:cs="Arial"/>
                      <w:color w:val="000000" w:themeColor="text1"/>
                      <w:sz w:val="20"/>
                      <w:szCs w:val="20"/>
                    </w:rPr>
                    <m:t>σ</m:t>
                  </m:r>
                </m:den>
              </m:f>
            </m:oMath>
          </w:p>
        </w:tc>
        <w:tc>
          <w:tcPr>
            <w:tcW w:w="2268" w:type="dxa"/>
          </w:tcPr>
          <w:p w14:paraId="6FCF82A9"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σ – ємність балону А-40 (або аналог) при тиску 150 атм., [ нм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w:t>
            </w:r>
          </w:p>
        </w:tc>
      </w:tr>
    </w:tbl>
    <w:p w14:paraId="226BA25D" w14:textId="77777777" w:rsidR="00817653" w:rsidRPr="00CA7C54" w:rsidRDefault="00817653">
      <w:pPr>
        <w:pStyle w:val="2"/>
        <w:spacing w:line="240" w:lineRule="auto"/>
        <w:ind w:firstLine="0"/>
        <w:jc w:val="center"/>
        <w:rPr>
          <w:color w:val="000000" w:themeColor="text1"/>
        </w:rPr>
      </w:pPr>
      <w:r w:rsidRPr="00CA7C54">
        <w:rPr>
          <w:color w:val="000000" w:themeColor="text1"/>
        </w:rPr>
        <w:br w:type="page"/>
      </w:r>
    </w:p>
    <w:p w14:paraId="1640952A" w14:textId="77777777" w:rsidR="004E5FF0" w:rsidRPr="00CA7C54" w:rsidRDefault="004E5FF0" w:rsidP="004E5FF0">
      <w:pPr>
        <w:pStyle w:val="2"/>
        <w:spacing w:after="0" w:line="240" w:lineRule="auto"/>
        <w:ind w:firstLine="0"/>
        <w:jc w:val="center"/>
        <w:rPr>
          <w:rFonts w:ascii="Arial" w:hAnsi="Arial"/>
          <w:b w:val="0"/>
          <w:bCs w:val="0"/>
          <w:color w:val="000000" w:themeColor="text1"/>
          <w:sz w:val="21"/>
          <w:szCs w:val="21"/>
        </w:rPr>
      </w:pPr>
      <w:r w:rsidRPr="00CA7C54">
        <w:rPr>
          <w:rFonts w:ascii="Arial" w:hAnsi="Arial"/>
          <w:b w:val="0"/>
          <w:bCs w:val="0"/>
          <w:color w:val="000000" w:themeColor="text1"/>
          <w:sz w:val="21"/>
          <w:szCs w:val="21"/>
        </w:rPr>
        <w:lastRenderedPageBreak/>
        <w:t>ДОДАТОК И</w:t>
      </w:r>
    </w:p>
    <w:p w14:paraId="46A73BC2" w14:textId="77777777" w:rsidR="004E5FF0" w:rsidRPr="00CA7C54" w:rsidRDefault="004E5FF0" w:rsidP="004E5FF0">
      <w:pPr>
        <w:spacing w:before="0" w:line="240" w:lineRule="auto"/>
        <w:ind w:firstLine="0"/>
        <w:jc w:val="center"/>
        <w:rPr>
          <w:color w:val="000000" w:themeColor="text1"/>
          <w:sz w:val="21"/>
          <w:szCs w:val="21"/>
        </w:rPr>
      </w:pPr>
      <w:r w:rsidRPr="00CA7C54">
        <w:rPr>
          <w:color w:val="000000" w:themeColor="text1"/>
          <w:sz w:val="21"/>
          <w:szCs w:val="21"/>
        </w:rPr>
        <w:t>(</w:t>
      </w:r>
      <w:r w:rsidR="009C4A66">
        <w:rPr>
          <w:color w:val="000000" w:themeColor="text1"/>
          <w:sz w:val="21"/>
          <w:szCs w:val="21"/>
        </w:rPr>
        <w:t>довідковий</w:t>
      </w:r>
      <w:r w:rsidRPr="00CA7C54">
        <w:rPr>
          <w:color w:val="000000" w:themeColor="text1"/>
          <w:sz w:val="21"/>
          <w:szCs w:val="21"/>
        </w:rPr>
        <w:t>)</w:t>
      </w:r>
    </w:p>
    <w:p w14:paraId="18AC509B" w14:textId="77777777" w:rsidR="004E5FF0" w:rsidRPr="00CA7C54" w:rsidRDefault="004E5FF0" w:rsidP="004E5FF0">
      <w:pPr>
        <w:spacing w:before="0" w:line="240" w:lineRule="auto"/>
        <w:ind w:firstLine="0"/>
        <w:jc w:val="center"/>
        <w:rPr>
          <w:color w:val="000000" w:themeColor="text1"/>
          <w:sz w:val="21"/>
          <w:szCs w:val="21"/>
        </w:rPr>
      </w:pPr>
    </w:p>
    <w:p w14:paraId="259CF698" w14:textId="77777777" w:rsidR="003C4E04" w:rsidRPr="00CA7C54" w:rsidRDefault="001E748C" w:rsidP="005169CF">
      <w:pPr>
        <w:pStyle w:val="2"/>
        <w:spacing w:before="0" w:after="0" w:line="288" w:lineRule="auto"/>
        <w:ind w:firstLine="0"/>
        <w:contextualSpacing/>
        <w:jc w:val="center"/>
        <w:rPr>
          <w:rFonts w:ascii="Arial" w:hAnsi="Arial"/>
          <w:color w:val="000000" w:themeColor="text1"/>
          <w:sz w:val="21"/>
          <w:szCs w:val="21"/>
        </w:rPr>
      </w:pPr>
      <w:r w:rsidRPr="00CA7C54">
        <w:rPr>
          <w:rFonts w:ascii="Arial" w:hAnsi="Arial"/>
          <w:color w:val="000000" w:themeColor="text1"/>
          <w:sz w:val="21"/>
          <w:szCs w:val="21"/>
        </w:rPr>
        <w:t>БІБЛІОГРАФІЯ</w:t>
      </w:r>
    </w:p>
    <w:p w14:paraId="11ACE61C" w14:textId="791598C1" w:rsidR="003C4E04" w:rsidRPr="00CA7C54" w:rsidRDefault="001E748C" w:rsidP="00DF1B73">
      <w:pPr>
        <w:spacing w:before="0" w:line="288" w:lineRule="auto"/>
        <w:ind w:firstLine="709"/>
        <w:contextualSpacing/>
        <w:rPr>
          <w:color w:val="000000" w:themeColor="text1"/>
          <w:sz w:val="21"/>
          <w:szCs w:val="21"/>
        </w:rPr>
      </w:pPr>
      <w:r w:rsidRPr="00CA7C54">
        <w:rPr>
          <w:color w:val="000000" w:themeColor="text1"/>
          <w:sz w:val="21"/>
          <w:szCs w:val="21"/>
        </w:rPr>
        <w:t>1. </w:t>
      </w:r>
      <w:hyperlink r:id="rId330" w:anchor="Text" w:history="1">
        <w:r w:rsidRPr="002B5EB5">
          <w:rPr>
            <w:rStyle w:val="ac"/>
            <w:rFonts w:cs="Arial"/>
            <w:sz w:val="21"/>
            <w:szCs w:val="21"/>
          </w:rPr>
          <w:t>Кодекс цивільного захисту України</w:t>
        </w:r>
      </w:hyperlink>
    </w:p>
    <w:p w14:paraId="31047F30" w14:textId="262E295D"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2. </w:t>
      </w:r>
      <w:hyperlink r:id="rId331" w:anchor="Text" w:history="1">
        <w:r w:rsidRPr="002B5EB5">
          <w:rPr>
            <w:rStyle w:val="ac"/>
            <w:rFonts w:cs="Arial"/>
            <w:sz w:val="21"/>
            <w:szCs w:val="21"/>
          </w:rPr>
          <w:t>Закон України «Про використання ядерної енергії»</w:t>
        </w:r>
      </w:hyperlink>
    </w:p>
    <w:p w14:paraId="14902510" w14:textId="10D58C63"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3. </w:t>
      </w:r>
      <w:hyperlink r:id="rId332" w:anchor="Text" w:history="1">
        <w:r w:rsidRPr="002B5EB5">
          <w:rPr>
            <w:rStyle w:val="ac"/>
            <w:rFonts w:cs="Arial"/>
            <w:sz w:val="21"/>
            <w:szCs w:val="21"/>
          </w:rPr>
          <w:t>Закон України «Про мобілізаційну підготовку та мобілізацію»</w:t>
        </w:r>
      </w:hyperlink>
    </w:p>
    <w:p w14:paraId="78EA9B5E" w14:textId="6B319D4C"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4. </w:t>
      </w:r>
      <w:hyperlink r:id="rId333" w:anchor="Text" w:history="1">
        <w:r w:rsidRPr="002B5EB5">
          <w:rPr>
            <w:rStyle w:val="ac"/>
            <w:rFonts w:cs="Arial"/>
            <w:sz w:val="21"/>
            <w:szCs w:val="21"/>
          </w:rPr>
          <w:t>Закон України «Про об’єкти підвищеної небезпеки»</w:t>
        </w:r>
      </w:hyperlink>
    </w:p>
    <w:p w14:paraId="5B576D11" w14:textId="1277E82C"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5. </w:t>
      </w:r>
      <w:hyperlink r:id="rId334" w:anchor="Text" w:history="1">
        <w:r w:rsidRPr="002B5EB5">
          <w:rPr>
            <w:rStyle w:val="ac"/>
            <w:rFonts w:cs="Arial"/>
            <w:sz w:val="21"/>
            <w:szCs w:val="21"/>
          </w:rPr>
          <w:t>Закон України «Про регулювання містобудівної діяльності»</w:t>
        </w:r>
      </w:hyperlink>
    </w:p>
    <w:p w14:paraId="44001232" w14:textId="4896BCFE"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6. </w:t>
      </w:r>
      <w:hyperlink r:id="rId335" w:anchor="Text" w:history="1">
        <w:r w:rsidRPr="002B5EB5">
          <w:rPr>
            <w:rStyle w:val="ac"/>
            <w:rFonts w:cs="Arial"/>
            <w:sz w:val="21"/>
            <w:szCs w:val="21"/>
          </w:rPr>
          <w:t xml:space="preserve">Перелік об’єктів, що належать суб’єктам господарювання, </w:t>
        </w:r>
        <w:r w:rsidR="00C1349F" w:rsidRPr="002B5EB5">
          <w:rPr>
            <w:rStyle w:val="ac"/>
            <w:rFonts w:cs="Arial"/>
            <w:sz w:val="21"/>
            <w:szCs w:val="21"/>
          </w:rPr>
          <w:t>проекту</w:t>
        </w:r>
        <w:r w:rsidRPr="002B5EB5">
          <w:rPr>
            <w:rStyle w:val="ac"/>
            <w:rFonts w:cs="Arial"/>
            <w:sz w:val="21"/>
            <w:szCs w:val="21"/>
          </w:rPr>
          <w:t xml:space="preserve">вання яких здійснюється з урахуванням вимог інженерно-технічних заходів цивільного захисту, що затверджений постановою Кабінету Міністрів України від 09 січня 2014  № 6 «Про затвердження переліку об’єктів, що належать суб’єктам господарювання, </w:t>
        </w:r>
        <w:r w:rsidR="00C1349F" w:rsidRPr="002B5EB5">
          <w:rPr>
            <w:rStyle w:val="ac"/>
            <w:rFonts w:cs="Arial"/>
            <w:sz w:val="21"/>
            <w:szCs w:val="21"/>
          </w:rPr>
          <w:t>проекту</w:t>
        </w:r>
        <w:r w:rsidRPr="002B5EB5">
          <w:rPr>
            <w:rStyle w:val="ac"/>
            <w:rFonts w:cs="Arial"/>
            <w:sz w:val="21"/>
            <w:szCs w:val="21"/>
          </w:rPr>
          <w:t>вання яких здійснюється з урахуванням вимог інженерно-технічних заходів цивільного захисту»</w:t>
        </w:r>
      </w:hyperlink>
    </w:p>
    <w:p w14:paraId="51C6ED04" w14:textId="6BE22F5B"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7. </w:t>
      </w:r>
      <w:hyperlink r:id="rId336" w:anchor="Text" w:history="1">
        <w:r w:rsidRPr="002B5EB5">
          <w:rPr>
            <w:rStyle w:val="ac"/>
            <w:rFonts w:cs="Arial"/>
            <w:sz w:val="21"/>
            <w:szCs w:val="21"/>
          </w:rPr>
          <w:t>Порядок створення, утримання фонду захисних споруд цивільного захисту та ведення його обліку, затверджений постановою Кабінету Міністрів України від 10 березня 2017  № 138 «Деякі питання використання захисних споруд цивільного захисту»</w:t>
        </w:r>
      </w:hyperlink>
    </w:p>
    <w:p w14:paraId="577F9F06" w14:textId="7777777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8. Наказ ДСНС від 02.06.2012 № 128  Про організацію впровадження інженерно-технічних заходів цивільного захисту</w:t>
      </w:r>
    </w:p>
    <w:p w14:paraId="56048A96" w14:textId="7D4EEEA2"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9. Порядок віднесення міст до відповідних груп цивільної оборони, затверджений </w:t>
      </w:r>
      <w:hyperlink r:id="rId337" w:anchor="Text" w:history="1">
        <w:r w:rsidRPr="002B5EB5">
          <w:rPr>
            <w:rStyle w:val="ac"/>
            <w:rFonts w:cs="Arial"/>
            <w:sz w:val="21"/>
            <w:szCs w:val="21"/>
          </w:rPr>
          <w:t>постановою Кабінету Міністрів України від 29 жовтня 2003  № 1695</w:t>
        </w:r>
      </w:hyperlink>
      <w:r w:rsidRPr="00CA7C54">
        <w:rPr>
          <w:color w:val="000000" w:themeColor="text1"/>
          <w:sz w:val="21"/>
          <w:szCs w:val="21"/>
        </w:rPr>
        <w:t xml:space="preserve"> «Про затвердження Порядку віднесення міст до відповідних груп цивільної оборони» (у редакції </w:t>
      </w:r>
      <w:hyperlink r:id="rId338" w:anchor="Text" w:history="1">
        <w:r w:rsidRPr="00B53D48">
          <w:rPr>
            <w:rStyle w:val="ac"/>
            <w:rFonts w:cs="Arial"/>
            <w:sz w:val="21"/>
            <w:szCs w:val="21"/>
          </w:rPr>
          <w:t>постанови Кабінету Міністрів України» від 17 жовтня 2013  № 765</w:t>
        </w:r>
      </w:hyperlink>
      <w:r w:rsidRPr="00CA7C54">
        <w:rPr>
          <w:color w:val="000000" w:themeColor="text1"/>
          <w:sz w:val="21"/>
          <w:szCs w:val="21"/>
        </w:rPr>
        <w:t xml:space="preserve"> «Про внесення змін до Постанови Кабінету Міністрів України від 29 жовтня 2003  № 1695 «Про затвердження Порядку віднесення міст до відповідних груп цивільної оборони»)</w:t>
      </w:r>
    </w:p>
    <w:p w14:paraId="07457B6E" w14:textId="5825B52F"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10. Порядок віднесення об’єктів національної економіки до категорій з цивільної оборони (цивільного захисту), затверджений постановою Кабінету Міністрів України від 02 березня 2010 № 227 «Про затвердження Порядку віднесення об’єктів національної економіки до категорій з цивільної оборони (цивільного захисту)» (у редакції постанови Кабінету Міністрів України від 24 липня 2013  № 545 «Про внесення змін до Постанови Кабінету Міністрів України від 02 березня 2010  № 227 «Про затвердження Порядку віднесення об’єктів національної економіки до категорій з цивільної оборони (цивільного захисту)»</w:t>
      </w:r>
    </w:p>
    <w:p w14:paraId="0F9CE3C3" w14:textId="31B72272"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11. Вимоги щодо утримання та експлуатації захисних споруд цивільного захисту, затверджені </w:t>
      </w:r>
      <w:hyperlink r:id="rId339" w:anchor="Text" w:history="1">
        <w:r w:rsidRPr="00161A7F">
          <w:rPr>
            <w:rStyle w:val="ac"/>
            <w:rFonts w:cs="Arial"/>
            <w:sz w:val="21"/>
            <w:szCs w:val="21"/>
          </w:rPr>
          <w:t>наказом МВС від 09.07.2017 № 579</w:t>
        </w:r>
      </w:hyperlink>
      <w:r w:rsidRPr="00CA7C54">
        <w:rPr>
          <w:color w:val="000000" w:themeColor="text1"/>
          <w:sz w:val="21"/>
          <w:szCs w:val="21"/>
        </w:rPr>
        <w:t xml:space="preserve"> «Про затвердження вимог з питань використання та обліку фонду захисних споруд цивільного захисту», зареєстрованим у Міністерстві юстиції України 30 липня 2018  за № 879/32331</w:t>
      </w:r>
    </w:p>
    <w:p w14:paraId="10DA572E" w14:textId="7777777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12. ПУЕ Правила улаштування електроустановок, затверджені наказом Міненерговугілля України від 21.07.2017 № 476</w:t>
      </w:r>
    </w:p>
    <w:p w14:paraId="234F410D" w14:textId="0E345361" w:rsidR="003C4E04" w:rsidRPr="00DF1B73" w:rsidRDefault="001E748C" w:rsidP="00DF1B73">
      <w:pPr>
        <w:spacing w:before="0" w:line="288" w:lineRule="auto"/>
        <w:ind w:firstLine="709"/>
        <w:contextualSpacing/>
        <w:rPr>
          <w:color w:val="000000" w:themeColor="text1"/>
          <w:sz w:val="21"/>
          <w:szCs w:val="21"/>
        </w:rPr>
      </w:pPr>
      <w:r w:rsidRPr="00CA7C54">
        <w:rPr>
          <w:color w:val="000000" w:themeColor="text1"/>
          <w:sz w:val="21"/>
          <w:szCs w:val="21"/>
        </w:rPr>
        <w:t xml:space="preserve">13. Правила пожежної безпеки в Україні, затверджені наказом </w:t>
      </w:r>
      <w:hyperlink r:id="rId340" w:anchor="Text" w:history="1">
        <w:r w:rsidRPr="00161A7F">
          <w:rPr>
            <w:rStyle w:val="ac"/>
            <w:rFonts w:cs="Arial"/>
            <w:sz w:val="21"/>
            <w:szCs w:val="21"/>
          </w:rPr>
          <w:t>Міністерства внутрішніх справ України 30.12.2014 № 1417</w:t>
        </w:r>
      </w:hyperlink>
      <w:r w:rsidRPr="00CA7C54">
        <w:rPr>
          <w:color w:val="000000" w:themeColor="text1"/>
          <w:sz w:val="21"/>
          <w:szCs w:val="21"/>
        </w:rPr>
        <w:t xml:space="preserve">, зареєстрованим в Міністерстві юстиції України 05 березня 2015  за </w:t>
      </w:r>
      <w:r w:rsidR="00DF1B73">
        <w:rPr>
          <w:color w:val="000000" w:themeColor="text1"/>
          <w:sz w:val="21"/>
          <w:szCs w:val="21"/>
        </w:rPr>
        <w:t xml:space="preserve"> </w:t>
      </w:r>
      <w:r w:rsidRPr="00CA7C54">
        <w:rPr>
          <w:color w:val="000000" w:themeColor="text1"/>
          <w:sz w:val="21"/>
          <w:szCs w:val="21"/>
        </w:rPr>
        <w:t>№ 252/2669</w:t>
      </w:r>
    </w:p>
    <w:p w14:paraId="327F522F" w14:textId="7777777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14. Правила експлуатації та типові норми належності вогнегасників, затверджені наказом МВС України від 15.01.2018  № 25</w:t>
      </w:r>
    </w:p>
    <w:p w14:paraId="5980B355" w14:textId="0CEA765A"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15. </w:t>
      </w:r>
      <w:hyperlink r:id="rId341" w:history="1">
        <w:r w:rsidRPr="00B53D48">
          <w:rPr>
            <w:rStyle w:val="ac"/>
            <w:rFonts w:cs="Arial"/>
            <w:sz w:val="21"/>
            <w:szCs w:val="21"/>
          </w:rPr>
          <w:t>ДБН В.1.2-6:2021</w:t>
        </w:r>
      </w:hyperlink>
      <w:r w:rsidRPr="00CA7C54">
        <w:rPr>
          <w:color w:val="000000" w:themeColor="text1"/>
          <w:sz w:val="21"/>
          <w:szCs w:val="21"/>
        </w:rPr>
        <w:t xml:space="preserve"> Основні вимоги до будівель і споруд. Механічний опір та стійкість</w:t>
      </w:r>
    </w:p>
    <w:p w14:paraId="396CB10D" w14:textId="52CDFC51"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16. </w:t>
      </w:r>
      <w:hyperlink r:id="rId342" w:history="1">
        <w:r w:rsidRPr="00B53D48">
          <w:rPr>
            <w:rStyle w:val="ac"/>
            <w:rFonts w:cs="Arial"/>
            <w:sz w:val="21"/>
            <w:szCs w:val="21"/>
          </w:rPr>
          <w:t>ДБН В.2.2-15:2019</w:t>
        </w:r>
      </w:hyperlink>
      <w:r w:rsidRPr="00CA7C54">
        <w:rPr>
          <w:color w:val="000000" w:themeColor="text1"/>
          <w:sz w:val="21"/>
          <w:szCs w:val="21"/>
        </w:rPr>
        <w:t xml:space="preserve"> Будинки і споруди. Житлові будинки. Основні положення</w:t>
      </w:r>
    </w:p>
    <w:p w14:paraId="19D10C27" w14:textId="4BEDDDD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17. </w:t>
      </w:r>
      <w:hyperlink r:id="rId343" w:history="1">
        <w:r w:rsidRPr="00B53D48">
          <w:rPr>
            <w:rStyle w:val="ac"/>
            <w:rFonts w:cs="Arial"/>
            <w:sz w:val="21"/>
            <w:szCs w:val="21"/>
          </w:rPr>
          <w:t>ДСТУ Б В.2.6-75:2008</w:t>
        </w:r>
      </w:hyperlink>
      <w:r w:rsidRPr="00CA7C54">
        <w:rPr>
          <w:color w:val="000000" w:themeColor="text1"/>
          <w:sz w:val="21"/>
          <w:szCs w:val="21"/>
        </w:rPr>
        <w:t xml:space="preserve"> Конструкції металеві будівельні. Загальні технічні умови</w:t>
      </w:r>
    </w:p>
    <w:p w14:paraId="03CBF223" w14:textId="01708D69" w:rsidR="003C4E04" w:rsidRPr="00CA7C54" w:rsidRDefault="001E748C" w:rsidP="00DF1B73">
      <w:pPr>
        <w:tabs>
          <w:tab w:val="right" w:pos="10063"/>
        </w:tabs>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18. </w:t>
      </w:r>
      <w:hyperlink r:id="rId344" w:history="1">
        <w:r w:rsidRPr="00B53D48">
          <w:rPr>
            <w:rStyle w:val="ac"/>
            <w:rFonts w:cs="Arial"/>
            <w:sz w:val="21"/>
            <w:szCs w:val="21"/>
          </w:rPr>
          <w:t>ДСТУ 8828:2019</w:t>
        </w:r>
      </w:hyperlink>
      <w:r w:rsidRPr="00CA7C54">
        <w:rPr>
          <w:color w:val="000000" w:themeColor="text1"/>
          <w:sz w:val="21"/>
          <w:szCs w:val="21"/>
        </w:rPr>
        <w:t xml:space="preserve"> Пожежна безпека. Загальні положення</w:t>
      </w:r>
      <w:r w:rsidRPr="00CA7C54">
        <w:rPr>
          <w:color w:val="000000" w:themeColor="text1"/>
          <w:sz w:val="21"/>
          <w:szCs w:val="21"/>
        </w:rPr>
        <w:tab/>
      </w:r>
    </w:p>
    <w:p w14:paraId="4214E482" w14:textId="7540315E" w:rsidR="003C4E04" w:rsidRPr="00CA7C54" w:rsidRDefault="001E748C" w:rsidP="00B53D48">
      <w:pPr>
        <w:spacing w:before="0" w:line="288" w:lineRule="auto"/>
        <w:ind w:firstLine="709"/>
        <w:contextualSpacing/>
        <w:jc w:val="left"/>
        <w:rPr>
          <w:rFonts w:eastAsia="Times New Roman"/>
          <w:color w:val="000000" w:themeColor="text1"/>
          <w:sz w:val="21"/>
          <w:szCs w:val="21"/>
        </w:rPr>
      </w:pPr>
      <w:r w:rsidRPr="00CA7C54">
        <w:rPr>
          <w:color w:val="000000" w:themeColor="text1"/>
          <w:sz w:val="21"/>
          <w:szCs w:val="21"/>
        </w:rPr>
        <w:t xml:space="preserve">19. </w:t>
      </w:r>
      <w:hyperlink r:id="rId345" w:history="1">
        <w:r w:rsidRPr="00B53D48">
          <w:rPr>
            <w:rStyle w:val="ac"/>
            <w:rFonts w:cs="Arial"/>
            <w:sz w:val="21"/>
            <w:szCs w:val="21"/>
          </w:rPr>
          <w:t>ДСТУ Б ISO 21542:2013</w:t>
        </w:r>
      </w:hyperlink>
      <w:r w:rsidRPr="00CA7C54">
        <w:rPr>
          <w:color w:val="000000" w:themeColor="text1"/>
          <w:sz w:val="21"/>
          <w:szCs w:val="21"/>
        </w:rPr>
        <w:t xml:space="preserve"> Будинки і споруди. Доступність і зручність використання побудованого життєвого середовища</w:t>
      </w:r>
    </w:p>
    <w:p w14:paraId="368F271E" w14:textId="03B61D58" w:rsidR="003C4E04" w:rsidRPr="00CA7C54" w:rsidRDefault="001E748C" w:rsidP="00B53D48">
      <w:pPr>
        <w:spacing w:before="0" w:line="288" w:lineRule="auto"/>
        <w:ind w:firstLine="709"/>
        <w:contextualSpacing/>
        <w:jc w:val="left"/>
        <w:rPr>
          <w:rFonts w:eastAsia="Times New Roman"/>
          <w:color w:val="000000" w:themeColor="text1"/>
          <w:sz w:val="21"/>
          <w:szCs w:val="21"/>
        </w:rPr>
      </w:pPr>
      <w:r w:rsidRPr="00CA7C54">
        <w:rPr>
          <w:color w:val="000000" w:themeColor="text1"/>
          <w:sz w:val="21"/>
          <w:szCs w:val="21"/>
        </w:rPr>
        <w:lastRenderedPageBreak/>
        <w:t xml:space="preserve">20. </w:t>
      </w:r>
      <w:hyperlink r:id="rId346" w:history="1">
        <w:r w:rsidRPr="00B53D48">
          <w:rPr>
            <w:rStyle w:val="ac"/>
            <w:rFonts w:cs="Arial"/>
            <w:sz w:val="21"/>
            <w:szCs w:val="21"/>
          </w:rPr>
          <w:t>ДСТУ ISO 8528-12:2005</w:t>
        </w:r>
      </w:hyperlink>
      <w:r w:rsidRPr="00CA7C54">
        <w:rPr>
          <w:color w:val="000000" w:themeColor="text1"/>
          <w:sz w:val="21"/>
          <w:szCs w:val="21"/>
        </w:rPr>
        <w:t xml:space="preserve"> Установки генераторні змінного струму з приводом від поршневих двигунів внутрішнього згоряння. Частина 12. Аварійні джерела живлення для систем безпеки (ІSO 8528-12:1997, ІDT)</w:t>
      </w:r>
    </w:p>
    <w:p w14:paraId="2CDC8636" w14:textId="12B3AC2A" w:rsidR="003C4E04" w:rsidRPr="00D5191D" w:rsidRDefault="001E748C" w:rsidP="00B53D48">
      <w:pPr>
        <w:spacing w:before="0" w:line="288" w:lineRule="auto"/>
        <w:ind w:firstLine="709"/>
        <w:contextualSpacing/>
        <w:jc w:val="left"/>
        <w:rPr>
          <w:color w:val="000000" w:themeColor="text1"/>
          <w:sz w:val="21"/>
          <w:szCs w:val="21"/>
        </w:rPr>
      </w:pPr>
      <w:r w:rsidRPr="00CA7C54">
        <w:rPr>
          <w:color w:val="000000" w:themeColor="text1"/>
          <w:sz w:val="21"/>
          <w:szCs w:val="21"/>
        </w:rPr>
        <w:t>2</w:t>
      </w:r>
      <w:r w:rsidR="009C4A66">
        <w:rPr>
          <w:color w:val="000000" w:themeColor="text1"/>
          <w:sz w:val="21"/>
          <w:szCs w:val="21"/>
        </w:rPr>
        <w:t>1</w:t>
      </w:r>
      <w:r w:rsidRPr="00CA7C54">
        <w:rPr>
          <w:color w:val="000000" w:themeColor="text1"/>
          <w:sz w:val="21"/>
          <w:szCs w:val="21"/>
        </w:rPr>
        <w:t xml:space="preserve">. </w:t>
      </w:r>
      <w:hyperlink r:id="rId347" w:history="1">
        <w:r w:rsidRPr="00612C21">
          <w:rPr>
            <w:rStyle w:val="ac"/>
            <w:rFonts w:cs="Arial"/>
            <w:sz w:val="21"/>
            <w:szCs w:val="21"/>
          </w:rPr>
          <w:t>ДСТУ EN 60947-6-1:2015</w:t>
        </w:r>
      </w:hyperlink>
      <w:r w:rsidRPr="00CA7C54">
        <w:rPr>
          <w:color w:val="000000" w:themeColor="text1"/>
          <w:sz w:val="21"/>
          <w:szCs w:val="21"/>
        </w:rPr>
        <w:t xml:space="preserve"> Пристрої комплектні розподільчі низьковольтні. Частина 6-1. </w:t>
      </w:r>
      <w:r w:rsidRPr="00D5191D">
        <w:rPr>
          <w:color w:val="000000" w:themeColor="text1"/>
          <w:spacing w:val="-8"/>
          <w:sz w:val="21"/>
          <w:szCs w:val="21"/>
        </w:rPr>
        <w:t>Багатофункційне обладнання. Перемикальне комутаційне обладнання (EN 60947-6-1:2005/A1:2014, IDT)</w:t>
      </w:r>
      <w:r w:rsidRPr="00D5191D">
        <w:rPr>
          <w:color w:val="000000" w:themeColor="text1"/>
          <w:spacing w:val="-6"/>
          <w:sz w:val="21"/>
          <w:szCs w:val="21"/>
        </w:rPr>
        <w:t> </w:t>
      </w:r>
    </w:p>
    <w:p w14:paraId="23159711" w14:textId="7777777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2</w:t>
      </w:r>
      <w:r w:rsidR="009C4A66">
        <w:rPr>
          <w:color w:val="000000" w:themeColor="text1"/>
          <w:sz w:val="21"/>
          <w:szCs w:val="21"/>
        </w:rPr>
        <w:t>2</w:t>
      </w:r>
      <w:r w:rsidRPr="00CA7C54">
        <w:rPr>
          <w:color w:val="000000" w:themeColor="text1"/>
          <w:sz w:val="21"/>
          <w:szCs w:val="21"/>
        </w:rPr>
        <w:t>. ДСанПіН 3.3.6.096-2002 Державні санітарні норми і правила при роботі з джерелами електромагнітних полів</w:t>
      </w:r>
    </w:p>
    <w:p w14:paraId="0E512BAA" w14:textId="77777777" w:rsidR="003C4E04" w:rsidRPr="00CA7C54" w:rsidRDefault="001E748C" w:rsidP="00161A7F">
      <w:pPr>
        <w:spacing w:before="0" w:line="288" w:lineRule="auto"/>
        <w:ind w:firstLine="709"/>
        <w:contextualSpacing/>
        <w:jc w:val="left"/>
        <w:rPr>
          <w:rFonts w:eastAsia="Times New Roman"/>
          <w:color w:val="000000" w:themeColor="text1"/>
          <w:sz w:val="21"/>
          <w:szCs w:val="21"/>
        </w:rPr>
      </w:pPr>
      <w:r w:rsidRPr="00CA7C54">
        <w:rPr>
          <w:color w:val="000000" w:themeColor="text1"/>
          <w:sz w:val="21"/>
          <w:szCs w:val="21"/>
        </w:rPr>
        <w:t>2</w:t>
      </w:r>
      <w:r w:rsidR="009C4A66">
        <w:rPr>
          <w:color w:val="000000" w:themeColor="text1"/>
          <w:sz w:val="21"/>
          <w:szCs w:val="21"/>
        </w:rPr>
        <w:t>3</w:t>
      </w:r>
      <w:r w:rsidRPr="00CA7C54">
        <w:rPr>
          <w:color w:val="000000" w:themeColor="text1"/>
          <w:sz w:val="21"/>
          <w:szCs w:val="21"/>
        </w:rPr>
        <w:t>. ДСанПіН 6.6.3-150-2007 Гігієнічні вимоги до влаштування та експлуатації рентгенівських кабінетів і проведення рентгенологічних процедур</w:t>
      </w:r>
    </w:p>
    <w:p w14:paraId="5B04CCFB" w14:textId="77777777" w:rsidR="003C4E04" w:rsidRPr="00CA7C54" w:rsidRDefault="001E748C" w:rsidP="00DF1B73">
      <w:pPr>
        <w:spacing w:before="0" w:line="288" w:lineRule="auto"/>
        <w:ind w:firstLine="709"/>
        <w:contextualSpacing/>
        <w:rPr>
          <w:color w:val="000000" w:themeColor="text1"/>
          <w:sz w:val="21"/>
          <w:szCs w:val="21"/>
        </w:rPr>
      </w:pPr>
      <w:r w:rsidRPr="00CA7C54">
        <w:rPr>
          <w:color w:val="000000" w:themeColor="text1"/>
          <w:sz w:val="21"/>
          <w:szCs w:val="21"/>
        </w:rPr>
        <w:t>2</w:t>
      </w:r>
      <w:r w:rsidR="009C4A66">
        <w:rPr>
          <w:color w:val="000000" w:themeColor="text1"/>
          <w:sz w:val="21"/>
          <w:szCs w:val="21"/>
        </w:rPr>
        <w:t>4</w:t>
      </w:r>
      <w:r w:rsidRPr="00CA7C54">
        <w:rPr>
          <w:color w:val="000000" w:themeColor="text1"/>
          <w:sz w:val="21"/>
          <w:szCs w:val="21"/>
        </w:rPr>
        <w:t>. ДСанПіН 259-2013 Санітарно-протиепідемічні вимоги до закладів охорони здоров'я, що надають первинну медичну (медико-санітарну) допомогу</w:t>
      </w:r>
    </w:p>
    <w:p w14:paraId="6238AA2C" w14:textId="6D46F6B5" w:rsidR="003C4E04" w:rsidRPr="00CA7C54" w:rsidRDefault="001E748C" w:rsidP="00612C21">
      <w:pPr>
        <w:pBdr>
          <w:top w:val="nil"/>
          <w:left w:val="nil"/>
          <w:bottom w:val="nil"/>
          <w:right w:val="nil"/>
          <w:between w:val="nil"/>
        </w:pBdr>
        <w:spacing w:before="0" w:line="288" w:lineRule="auto"/>
        <w:ind w:firstLine="709"/>
        <w:contextualSpacing/>
        <w:jc w:val="left"/>
        <w:rPr>
          <w:color w:val="000000" w:themeColor="text1"/>
          <w:sz w:val="21"/>
          <w:szCs w:val="21"/>
        </w:rPr>
      </w:pPr>
      <w:r w:rsidRPr="00CA7C54">
        <w:rPr>
          <w:color w:val="000000" w:themeColor="text1"/>
          <w:sz w:val="21"/>
          <w:szCs w:val="21"/>
        </w:rPr>
        <w:t>2</w:t>
      </w:r>
      <w:r w:rsidR="009C4A66">
        <w:rPr>
          <w:color w:val="000000" w:themeColor="text1"/>
          <w:sz w:val="21"/>
          <w:szCs w:val="21"/>
        </w:rPr>
        <w:t>5</w:t>
      </w:r>
      <w:r w:rsidRPr="00CA7C54">
        <w:rPr>
          <w:color w:val="000000" w:themeColor="text1"/>
          <w:sz w:val="21"/>
          <w:szCs w:val="21"/>
        </w:rPr>
        <w:t xml:space="preserve">. </w:t>
      </w:r>
      <w:hyperlink r:id="rId348" w:history="1">
        <w:r w:rsidRPr="00612C21">
          <w:rPr>
            <w:rStyle w:val="ac"/>
            <w:rFonts w:cs="Arial"/>
            <w:sz w:val="21"/>
            <w:szCs w:val="21"/>
          </w:rPr>
          <w:t>ДСТУ EN 50174-2:2019</w:t>
        </w:r>
      </w:hyperlink>
      <w:r w:rsidRPr="00CA7C54">
        <w:rPr>
          <w:color w:val="000000" w:themeColor="text1"/>
          <w:sz w:val="21"/>
          <w:szCs w:val="21"/>
        </w:rPr>
        <w:t xml:space="preserve"> Інформаційні технології. Кабельні установки. Частина 2. Планування та практика встановлення в будівлях (EN 50174-2:2018, IDT)</w:t>
      </w:r>
    </w:p>
    <w:p w14:paraId="32E556E4" w14:textId="10C65D29" w:rsidR="003C4E04" w:rsidRPr="00CA7C54" w:rsidRDefault="001E748C" w:rsidP="00DF1B73">
      <w:pPr>
        <w:pBdr>
          <w:top w:val="nil"/>
          <w:left w:val="nil"/>
          <w:bottom w:val="nil"/>
          <w:right w:val="nil"/>
          <w:between w:val="nil"/>
        </w:pBdr>
        <w:spacing w:before="0" w:line="288" w:lineRule="auto"/>
        <w:ind w:firstLine="709"/>
        <w:contextualSpacing/>
        <w:rPr>
          <w:color w:val="000000" w:themeColor="text1"/>
          <w:sz w:val="21"/>
          <w:szCs w:val="21"/>
        </w:rPr>
      </w:pPr>
      <w:r w:rsidRPr="00CA7C54">
        <w:rPr>
          <w:color w:val="000000" w:themeColor="text1"/>
          <w:sz w:val="21"/>
          <w:szCs w:val="21"/>
        </w:rPr>
        <w:t>2</w:t>
      </w:r>
      <w:r w:rsidR="009C4A66">
        <w:rPr>
          <w:color w:val="000000" w:themeColor="text1"/>
          <w:sz w:val="21"/>
          <w:szCs w:val="21"/>
        </w:rPr>
        <w:t>6</w:t>
      </w:r>
      <w:r w:rsidRPr="00CA7C54">
        <w:rPr>
          <w:color w:val="000000" w:themeColor="text1"/>
          <w:sz w:val="21"/>
          <w:szCs w:val="21"/>
        </w:rPr>
        <w:t xml:space="preserve">. </w:t>
      </w:r>
      <w:hyperlink r:id="rId349" w:anchor="Text" w:history="1">
        <w:r w:rsidRPr="00612C21">
          <w:rPr>
            <w:rStyle w:val="ac"/>
            <w:rFonts w:cs="Arial"/>
            <w:sz w:val="21"/>
            <w:szCs w:val="21"/>
          </w:rPr>
          <w:t>Наказ МОЗ від 14.07.2020  № 1596</w:t>
        </w:r>
      </w:hyperlink>
      <w:r w:rsidRPr="00CA7C54">
        <w:rPr>
          <w:color w:val="000000" w:themeColor="text1"/>
          <w:sz w:val="21"/>
          <w:szCs w:val="21"/>
        </w:rPr>
        <w:t xml:space="preserve"> Про затвердження гігієнічних регламентів допустимого вмісту хімічних і біологічних речовин у повітрі робочої зони</w:t>
      </w:r>
    </w:p>
    <w:p w14:paraId="23433ACD" w14:textId="77777777" w:rsidR="003C4E04" w:rsidRPr="00CA7C54" w:rsidRDefault="003C4E04" w:rsidP="00DF1B73">
      <w:pPr>
        <w:spacing w:line="288" w:lineRule="auto"/>
        <w:ind w:firstLine="709"/>
        <w:rPr>
          <w:color w:val="000000" w:themeColor="text1"/>
          <w:sz w:val="21"/>
          <w:szCs w:val="21"/>
        </w:rPr>
      </w:pPr>
    </w:p>
    <w:p w14:paraId="6533995F" w14:textId="77777777" w:rsidR="005169CF" w:rsidRPr="00CA7C54" w:rsidRDefault="005169CF" w:rsidP="00DF1B73">
      <w:pPr>
        <w:spacing w:line="288" w:lineRule="auto"/>
        <w:ind w:firstLine="709"/>
        <w:rPr>
          <w:color w:val="000000" w:themeColor="text1"/>
          <w:sz w:val="21"/>
          <w:szCs w:val="21"/>
        </w:rPr>
      </w:pPr>
      <w:r w:rsidRPr="00CA7C54">
        <w:rPr>
          <w:color w:val="000000" w:themeColor="text1"/>
          <w:sz w:val="21"/>
          <w:szCs w:val="21"/>
        </w:rPr>
        <w:br w:type="page"/>
      </w:r>
    </w:p>
    <w:p w14:paraId="078FB59F" w14:textId="77777777" w:rsidR="006B760E" w:rsidRPr="00CA7C54" w:rsidRDefault="006B760E">
      <w:pPr>
        <w:spacing w:line="240" w:lineRule="auto"/>
        <w:ind w:firstLine="566"/>
        <w:rPr>
          <w:b/>
          <w:bCs/>
          <w:color w:val="000000" w:themeColor="text1"/>
          <w:sz w:val="21"/>
          <w:szCs w:val="21"/>
        </w:rPr>
      </w:pPr>
    </w:p>
    <w:p w14:paraId="2F373BA7" w14:textId="77777777" w:rsidR="006B760E" w:rsidRPr="00CA7C54" w:rsidRDefault="005169CF" w:rsidP="00DF1B73">
      <w:pPr>
        <w:spacing w:before="0" w:line="288" w:lineRule="auto"/>
        <w:ind w:left="57" w:firstLine="709"/>
        <w:contextualSpacing/>
        <w:rPr>
          <w:color w:val="000000" w:themeColor="text1"/>
          <w:sz w:val="21"/>
          <w:szCs w:val="21"/>
        </w:rPr>
      </w:pPr>
      <w:r w:rsidRPr="00CA7C54">
        <w:rPr>
          <w:b/>
          <w:bCs/>
          <w:color w:val="000000" w:themeColor="text1"/>
          <w:sz w:val="21"/>
          <w:szCs w:val="21"/>
        </w:rPr>
        <w:t>К</w:t>
      </w:r>
      <w:r w:rsidR="0041285C" w:rsidRPr="00CA7C54">
        <w:rPr>
          <w:b/>
          <w:bCs/>
          <w:color w:val="000000" w:themeColor="text1"/>
          <w:sz w:val="21"/>
          <w:szCs w:val="21"/>
        </w:rPr>
        <w:t>л</w:t>
      </w:r>
      <w:r w:rsidRPr="00CA7C54">
        <w:rPr>
          <w:b/>
          <w:bCs/>
          <w:color w:val="000000" w:themeColor="text1"/>
          <w:sz w:val="21"/>
          <w:szCs w:val="21"/>
        </w:rPr>
        <w:t>ючові слова:</w:t>
      </w:r>
      <w:r w:rsidR="00DF1B73" w:rsidRPr="00DF1B73">
        <w:rPr>
          <w:b/>
          <w:bCs/>
          <w:color w:val="000000" w:themeColor="text1"/>
          <w:sz w:val="21"/>
          <w:szCs w:val="21"/>
        </w:rPr>
        <w:t xml:space="preserve"> </w:t>
      </w:r>
      <w:r w:rsidR="003A545E" w:rsidRPr="00CA7C54">
        <w:rPr>
          <w:color w:val="000000" w:themeColor="text1"/>
          <w:sz w:val="21"/>
          <w:szCs w:val="21"/>
        </w:rPr>
        <w:t>захисні споруди цивільного захисту,</w:t>
      </w:r>
      <w:r w:rsidR="006B760E" w:rsidRPr="00CA7C54">
        <w:rPr>
          <w:color w:val="000000" w:themeColor="text1"/>
          <w:sz w:val="21"/>
          <w:szCs w:val="21"/>
        </w:rPr>
        <w:t xml:space="preserve"> захисні вла</w:t>
      </w:r>
      <w:r w:rsidR="00DF1B73">
        <w:rPr>
          <w:color w:val="000000" w:themeColor="text1"/>
          <w:sz w:val="21"/>
          <w:szCs w:val="21"/>
          <w:lang w:val="en-US"/>
        </w:rPr>
        <w:t>c</w:t>
      </w:r>
      <w:r w:rsidR="006B760E" w:rsidRPr="00CA7C54">
        <w:rPr>
          <w:color w:val="000000" w:themeColor="text1"/>
          <w:sz w:val="21"/>
          <w:szCs w:val="21"/>
        </w:rPr>
        <w:t>т</w:t>
      </w:r>
      <w:r w:rsidR="00DF1B73">
        <w:rPr>
          <w:color w:val="000000" w:themeColor="text1"/>
          <w:sz w:val="21"/>
          <w:szCs w:val="21"/>
        </w:rPr>
        <w:t>и</w:t>
      </w:r>
      <w:r w:rsidR="006B760E" w:rsidRPr="00CA7C54">
        <w:rPr>
          <w:color w:val="000000" w:themeColor="text1"/>
          <w:sz w:val="21"/>
          <w:szCs w:val="21"/>
        </w:rPr>
        <w:t>вості,</w:t>
      </w:r>
      <w:r w:rsidR="00DF1B73" w:rsidRPr="00DF1B73">
        <w:rPr>
          <w:color w:val="000000" w:themeColor="text1"/>
          <w:sz w:val="21"/>
          <w:szCs w:val="21"/>
        </w:rPr>
        <w:t xml:space="preserve"> </w:t>
      </w:r>
      <w:r w:rsidR="0050281D" w:rsidRPr="00CA7C54">
        <w:rPr>
          <w:color w:val="000000" w:themeColor="text1"/>
          <w:sz w:val="21"/>
          <w:szCs w:val="21"/>
        </w:rPr>
        <w:t>місткість захисних споруд, основне приміщення для укриття, повітряна ударна хвиля, протирадіаційне укриття,</w:t>
      </w:r>
      <w:r w:rsidR="00DF1B73">
        <w:rPr>
          <w:color w:val="000000" w:themeColor="text1"/>
          <w:sz w:val="21"/>
          <w:szCs w:val="21"/>
        </w:rPr>
        <w:t xml:space="preserve"> </w:t>
      </w:r>
      <w:r w:rsidR="0050281D" w:rsidRPr="00CA7C54">
        <w:rPr>
          <w:color w:val="000000" w:themeColor="text1"/>
          <w:sz w:val="21"/>
          <w:szCs w:val="21"/>
        </w:rPr>
        <w:t xml:space="preserve">споруди подвійного призначення, </w:t>
      </w:r>
      <w:r w:rsidR="003A545E" w:rsidRPr="00CA7C54">
        <w:rPr>
          <w:color w:val="000000" w:themeColor="text1"/>
          <w:sz w:val="21"/>
          <w:szCs w:val="21"/>
        </w:rPr>
        <w:t>споруди подвійного призначення</w:t>
      </w:r>
      <w:r w:rsidR="006B760E" w:rsidRPr="00CA7C54">
        <w:rPr>
          <w:color w:val="000000" w:themeColor="text1"/>
          <w:sz w:val="21"/>
          <w:szCs w:val="21"/>
        </w:rPr>
        <w:t xml:space="preserve"> із захисними властивостями сховищ,</w:t>
      </w:r>
      <w:r w:rsidR="00DF1B73">
        <w:rPr>
          <w:color w:val="000000" w:themeColor="text1"/>
          <w:sz w:val="21"/>
          <w:szCs w:val="21"/>
        </w:rPr>
        <w:t xml:space="preserve"> </w:t>
      </w:r>
      <w:r w:rsidR="006B760E" w:rsidRPr="00CA7C54">
        <w:rPr>
          <w:color w:val="000000" w:themeColor="text1"/>
          <w:sz w:val="21"/>
          <w:szCs w:val="21"/>
        </w:rPr>
        <w:t xml:space="preserve">споруди подвійного призначення із захисними властивостями </w:t>
      </w:r>
      <w:r w:rsidR="003A545E" w:rsidRPr="00CA7C54">
        <w:rPr>
          <w:color w:val="000000" w:themeColor="text1"/>
          <w:sz w:val="21"/>
          <w:szCs w:val="21"/>
        </w:rPr>
        <w:t>протирадіацій</w:t>
      </w:r>
      <w:r w:rsidR="006B760E" w:rsidRPr="00CA7C54">
        <w:rPr>
          <w:color w:val="000000" w:themeColor="text1"/>
          <w:sz w:val="21"/>
          <w:szCs w:val="21"/>
        </w:rPr>
        <w:t>них</w:t>
      </w:r>
      <w:r w:rsidR="003A545E" w:rsidRPr="00CA7C54">
        <w:rPr>
          <w:color w:val="000000" w:themeColor="text1"/>
          <w:sz w:val="21"/>
          <w:szCs w:val="21"/>
        </w:rPr>
        <w:t xml:space="preserve"> укритт</w:t>
      </w:r>
      <w:r w:rsidR="006B760E" w:rsidRPr="00CA7C54">
        <w:rPr>
          <w:color w:val="000000" w:themeColor="text1"/>
          <w:sz w:val="21"/>
          <w:szCs w:val="21"/>
        </w:rPr>
        <w:t>ів</w:t>
      </w:r>
      <w:r w:rsidR="0050281D" w:rsidRPr="00CA7C54">
        <w:rPr>
          <w:color w:val="000000" w:themeColor="text1"/>
          <w:sz w:val="21"/>
          <w:szCs w:val="21"/>
        </w:rPr>
        <w:t>,</w:t>
      </w:r>
      <w:r w:rsidR="00DF1B73">
        <w:rPr>
          <w:color w:val="000000" w:themeColor="text1"/>
          <w:sz w:val="21"/>
          <w:szCs w:val="21"/>
        </w:rPr>
        <w:t xml:space="preserve"> </w:t>
      </w:r>
      <w:r w:rsidR="0050281D" w:rsidRPr="00CA7C54">
        <w:rPr>
          <w:color w:val="000000" w:themeColor="text1"/>
          <w:sz w:val="21"/>
          <w:szCs w:val="21"/>
        </w:rPr>
        <w:t xml:space="preserve">сховище. </w:t>
      </w:r>
    </w:p>
    <w:p w14:paraId="74F8338E" w14:textId="77777777" w:rsidR="006B760E" w:rsidRPr="00CA7C54" w:rsidRDefault="006B760E" w:rsidP="00DF1B73">
      <w:pPr>
        <w:spacing w:before="0" w:line="288" w:lineRule="auto"/>
        <w:ind w:left="57" w:firstLine="709"/>
        <w:rPr>
          <w:color w:val="000000" w:themeColor="text1"/>
          <w:sz w:val="21"/>
          <w:szCs w:val="21"/>
        </w:rPr>
      </w:pPr>
    </w:p>
    <w:p w14:paraId="70DED022" w14:textId="77777777" w:rsidR="006B760E" w:rsidRPr="00CA7C54" w:rsidRDefault="006B760E">
      <w:pPr>
        <w:spacing w:line="240" w:lineRule="auto"/>
        <w:ind w:firstLine="566"/>
        <w:rPr>
          <w:color w:val="000000" w:themeColor="text1"/>
          <w:sz w:val="21"/>
          <w:szCs w:val="21"/>
        </w:rPr>
      </w:pPr>
    </w:p>
    <w:p w14:paraId="2EE3AACE" w14:textId="77777777" w:rsidR="006B760E" w:rsidRPr="00CA7C54" w:rsidRDefault="006B760E">
      <w:pPr>
        <w:spacing w:line="240" w:lineRule="auto"/>
        <w:ind w:firstLine="566"/>
        <w:rPr>
          <w:color w:val="000000" w:themeColor="text1"/>
          <w:sz w:val="21"/>
          <w:szCs w:val="21"/>
        </w:rPr>
      </w:pPr>
    </w:p>
    <w:p w14:paraId="6F1C5D73" w14:textId="77777777" w:rsidR="006B760E" w:rsidRPr="00CA7C54" w:rsidRDefault="006B760E">
      <w:pPr>
        <w:spacing w:line="240" w:lineRule="auto"/>
        <w:ind w:firstLine="566"/>
        <w:rPr>
          <w:color w:val="000000" w:themeColor="text1"/>
          <w:sz w:val="21"/>
          <w:szCs w:val="21"/>
        </w:rPr>
      </w:pPr>
    </w:p>
    <w:p w14:paraId="2E3A02F5" w14:textId="77777777" w:rsidR="006B760E" w:rsidRPr="00CA7C54" w:rsidRDefault="006B760E">
      <w:pPr>
        <w:spacing w:line="240" w:lineRule="auto"/>
        <w:ind w:firstLine="566"/>
        <w:rPr>
          <w:color w:val="000000" w:themeColor="text1"/>
          <w:sz w:val="21"/>
          <w:szCs w:val="21"/>
        </w:rPr>
      </w:pPr>
    </w:p>
    <w:p w14:paraId="0290465A" w14:textId="77777777" w:rsidR="006B760E" w:rsidRPr="00CA7C54" w:rsidRDefault="006B760E">
      <w:pPr>
        <w:spacing w:line="240" w:lineRule="auto"/>
        <w:ind w:firstLine="566"/>
        <w:rPr>
          <w:color w:val="000000" w:themeColor="text1"/>
          <w:sz w:val="21"/>
          <w:szCs w:val="21"/>
        </w:rPr>
      </w:pPr>
    </w:p>
    <w:p w14:paraId="73E799E6" w14:textId="77777777" w:rsidR="006B760E" w:rsidRPr="00CA7C54" w:rsidRDefault="006B760E">
      <w:pPr>
        <w:spacing w:line="240" w:lineRule="auto"/>
        <w:ind w:firstLine="566"/>
        <w:rPr>
          <w:color w:val="000000" w:themeColor="text1"/>
          <w:sz w:val="21"/>
          <w:szCs w:val="21"/>
        </w:rPr>
      </w:pPr>
    </w:p>
    <w:p w14:paraId="1707F708" w14:textId="77777777" w:rsidR="006B760E" w:rsidRPr="00CA7C54" w:rsidRDefault="006B760E">
      <w:pPr>
        <w:spacing w:line="240" w:lineRule="auto"/>
        <w:ind w:firstLine="566"/>
        <w:rPr>
          <w:color w:val="000000" w:themeColor="text1"/>
          <w:sz w:val="21"/>
          <w:szCs w:val="21"/>
        </w:rPr>
      </w:pPr>
    </w:p>
    <w:p w14:paraId="279CBCA8" w14:textId="77777777" w:rsidR="006B760E" w:rsidRPr="00CA7C54" w:rsidRDefault="006B760E">
      <w:pPr>
        <w:spacing w:line="240" w:lineRule="auto"/>
        <w:ind w:firstLine="566"/>
        <w:rPr>
          <w:color w:val="000000" w:themeColor="text1"/>
          <w:sz w:val="21"/>
          <w:szCs w:val="21"/>
        </w:rPr>
      </w:pPr>
    </w:p>
    <w:p w14:paraId="42FE4F33" w14:textId="77777777" w:rsidR="006B760E" w:rsidRPr="00CA7C54" w:rsidRDefault="006B760E">
      <w:pPr>
        <w:spacing w:line="240" w:lineRule="auto"/>
        <w:ind w:firstLine="566"/>
        <w:rPr>
          <w:color w:val="000000" w:themeColor="text1"/>
          <w:sz w:val="21"/>
          <w:szCs w:val="21"/>
        </w:rPr>
      </w:pPr>
    </w:p>
    <w:p w14:paraId="31312D06" w14:textId="77777777" w:rsidR="006B760E" w:rsidRPr="00CA7C54" w:rsidRDefault="006B760E">
      <w:pPr>
        <w:spacing w:line="240" w:lineRule="auto"/>
        <w:ind w:firstLine="566"/>
        <w:rPr>
          <w:color w:val="000000" w:themeColor="text1"/>
          <w:sz w:val="21"/>
          <w:szCs w:val="21"/>
        </w:rPr>
      </w:pPr>
    </w:p>
    <w:p w14:paraId="4698FC52" w14:textId="77777777" w:rsidR="006B760E" w:rsidRPr="00CA7C54" w:rsidRDefault="006B760E">
      <w:pPr>
        <w:spacing w:line="240" w:lineRule="auto"/>
        <w:ind w:firstLine="566"/>
        <w:rPr>
          <w:color w:val="000000" w:themeColor="text1"/>
          <w:sz w:val="21"/>
          <w:szCs w:val="21"/>
        </w:rPr>
      </w:pPr>
    </w:p>
    <w:p w14:paraId="7614B804" w14:textId="77777777" w:rsidR="006B760E" w:rsidRPr="00CA7C54" w:rsidRDefault="006B760E">
      <w:pPr>
        <w:spacing w:line="240" w:lineRule="auto"/>
        <w:ind w:firstLine="566"/>
        <w:rPr>
          <w:color w:val="000000" w:themeColor="text1"/>
          <w:sz w:val="21"/>
          <w:szCs w:val="21"/>
        </w:rPr>
      </w:pPr>
    </w:p>
    <w:p w14:paraId="13E476AE" w14:textId="77777777" w:rsidR="006B760E" w:rsidRDefault="006B760E">
      <w:pPr>
        <w:spacing w:line="240" w:lineRule="auto"/>
        <w:ind w:firstLine="566"/>
        <w:rPr>
          <w:color w:val="000000" w:themeColor="text1"/>
          <w:sz w:val="21"/>
          <w:szCs w:val="21"/>
        </w:rPr>
      </w:pPr>
    </w:p>
    <w:p w14:paraId="3EA9A330" w14:textId="77777777" w:rsidR="0019616C" w:rsidRDefault="0019616C">
      <w:pPr>
        <w:spacing w:line="240" w:lineRule="auto"/>
        <w:ind w:firstLine="566"/>
        <w:rPr>
          <w:color w:val="000000" w:themeColor="text1"/>
          <w:sz w:val="21"/>
          <w:szCs w:val="21"/>
        </w:rPr>
      </w:pPr>
    </w:p>
    <w:p w14:paraId="0CE64833" w14:textId="77777777" w:rsidR="0019616C" w:rsidRDefault="0019616C">
      <w:pPr>
        <w:spacing w:line="240" w:lineRule="auto"/>
        <w:ind w:firstLine="566"/>
        <w:rPr>
          <w:color w:val="000000" w:themeColor="text1"/>
          <w:sz w:val="21"/>
          <w:szCs w:val="21"/>
        </w:rPr>
      </w:pPr>
    </w:p>
    <w:p w14:paraId="796C853F" w14:textId="77777777" w:rsidR="0019616C" w:rsidRDefault="0019616C">
      <w:pPr>
        <w:spacing w:line="240" w:lineRule="auto"/>
        <w:ind w:firstLine="566"/>
        <w:rPr>
          <w:color w:val="000000" w:themeColor="text1"/>
          <w:sz w:val="21"/>
          <w:szCs w:val="21"/>
        </w:rPr>
      </w:pPr>
    </w:p>
    <w:p w14:paraId="5340AEFB" w14:textId="77777777" w:rsidR="0019616C" w:rsidRDefault="0019616C">
      <w:pPr>
        <w:spacing w:line="240" w:lineRule="auto"/>
        <w:ind w:firstLine="566"/>
        <w:rPr>
          <w:color w:val="000000" w:themeColor="text1"/>
          <w:sz w:val="21"/>
          <w:szCs w:val="21"/>
        </w:rPr>
      </w:pPr>
    </w:p>
    <w:p w14:paraId="7385BF01" w14:textId="77777777" w:rsidR="0019616C" w:rsidRDefault="0019616C">
      <w:pPr>
        <w:spacing w:line="240" w:lineRule="auto"/>
        <w:ind w:firstLine="566"/>
        <w:rPr>
          <w:color w:val="000000" w:themeColor="text1"/>
          <w:sz w:val="21"/>
          <w:szCs w:val="21"/>
        </w:rPr>
      </w:pPr>
    </w:p>
    <w:p w14:paraId="6CFD71D0" w14:textId="77777777" w:rsidR="0019616C" w:rsidRDefault="0019616C">
      <w:pPr>
        <w:spacing w:line="240" w:lineRule="auto"/>
        <w:ind w:firstLine="566"/>
        <w:rPr>
          <w:color w:val="000000" w:themeColor="text1"/>
          <w:sz w:val="21"/>
          <w:szCs w:val="21"/>
        </w:rPr>
      </w:pPr>
    </w:p>
    <w:p w14:paraId="52041A7E" w14:textId="77777777" w:rsidR="0019616C" w:rsidRDefault="0019616C">
      <w:pPr>
        <w:spacing w:line="240" w:lineRule="auto"/>
        <w:ind w:firstLine="566"/>
        <w:rPr>
          <w:color w:val="000000" w:themeColor="text1"/>
          <w:sz w:val="21"/>
          <w:szCs w:val="21"/>
        </w:rPr>
      </w:pPr>
    </w:p>
    <w:p w14:paraId="02793D34" w14:textId="77777777" w:rsidR="0019616C" w:rsidRDefault="0019616C">
      <w:pPr>
        <w:spacing w:line="240" w:lineRule="auto"/>
        <w:ind w:firstLine="566"/>
        <w:rPr>
          <w:color w:val="000000" w:themeColor="text1"/>
          <w:sz w:val="21"/>
          <w:szCs w:val="21"/>
        </w:rPr>
      </w:pPr>
    </w:p>
    <w:p w14:paraId="002D96D0" w14:textId="77777777" w:rsidR="0019616C" w:rsidRPr="00CA7C54" w:rsidRDefault="0019616C">
      <w:pPr>
        <w:spacing w:line="240" w:lineRule="auto"/>
        <w:ind w:firstLine="566"/>
        <w:rPr>
          <w:color w:val="000000" w:themeColor="text1"/>
          <w:sz w:val="21"/>
          <w:szCs w:val="21"/>
        </w:rPr>
      </w:pPr>
    </w:p>
    <w:p w14:paraId="6FFF4F67" w14:textId="77777777" w:rsidR="006B760E" w:rsidRPr="00CA7C54" w:rsidRDefault="006B760E">
      <w:pPr>
        <w:spacing w:line="240" w:lineRule="auto"/>
        <w:ind w:firstLine="566"/>
        <w:rPr>
          <w:color w:val="000000" w:themeColor="text1"/>
          <w:sz w:val="21"/>
          <w:szCs w:val="21"/>
        </w:rPr>
      </w:pPr>
    </w:p>
    <w:p w14:paraId="04E87A73" w14:textId="77777777" w:rsidR="006B760E" w:rsidRPr="00CA7C54" w:rsidRDefault="006B760E" w:rsidP="006B760E">
      <w:pPr>
        <w:pStyle w:val="af1"/>
        <w:spacing w:before="0" w:after="0" w:line="360" w:lineRule="auto"/>
        <w:contextualSpacing/>
        <w:rPr>
          <w:rFonts w:ascii="Arial" w:hAnsi="Arial" w:cs="Arial"/>
          <w:color w:val="000000" w:themeColor="text1"/>
          <w:sz w:val="21"/>
          <w:szCs w:val="21"/>
        </w:rPr>
      </w:pPr>
    </w:p>
    <w:p w14:paraId="65AE4406" w14:textId="77777777" w:rsidR="006B760E" w:rsidRPr="00CA7C54" w:rsidRDefault="006B760E">
      <w:pPr>
        <w:spacing w:line="240" w:lineRule="auto"/>
        <w:ind w:firstLine="566"/>
        <w:rPr>
          <w:color w:val="000000" w:themeColor="text1"/>
          <w:sz w:val="21"/>
          <w:szCs w:val="21"/>
        </w:rPr>
      </w:pPr>
    </w:p>
    <w:sectPr w:rsidR="006B760E" w:rsidRPr="00CA7C54" w:rsidSect="005210FC">
      <w:headerReference w:type="default" r:id="rId350"/>
      <w:footerReference w:type="even" r:id="rId351"/>
      <w:footerReference w:type="default" r:id="rId352"/>
      <w:type w:val="continuous"/>
      <w:pgSz w:w="11906" w:h="16838" w:code="9"/>
      <w:pgMar w:top="1134" w:right="1134" w:bottom="851" w:left="1134" w:header="709"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DEF41" w14:textId="77777777" w:rsidR="00355198" w:rsidRDefault="00355198">
      <w:pPr>
        <w:spacing w:before="0" w:line="240" w:lineRule="auto"/>
      </w:pPr>
      <w:r>
        <w:separator/>
      </w:r>
    </w:p>
  </w:endnote>
  <w:endnote w:type="continuationSeparator" w:id="0">
    <w:p w14:paraId="272CBC14" w14:textId="77777777" w:rsidR="00355198" w:rsidRDefault="0035519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UkrainianBaltica">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ISOCPEUR">
    <w:panose1 w:val="00000000000000000000"/>
    <w:charset w:val="00"/>
    <w:family w:val="roman"/>
    <w:notTrueType/>
    <w:pitch w:val="default"/>
  </w:font>
  <w:font w:name="Liberation Mono">
    <w:panose1 w:val="00000000000000000000"/>
    <w:charset w:val="00"/>
    <w:family w:val="roman"/>
    <w:notTrueType/>
    <w:pitch w:val="default"/>
  </w:font>
  <w:font w:name="Noto Sans Mono CJK SC">
    <w:panose1 w:val="00000000000000000000"/>
    <w:charset w:val="00"/>
    <w:family w:val="roman"/>
    <w:notTrueType/>
    <w:pitch w:val="default"/>
  </w:font>
  <w:font w:name="Antiqua">
    <w:panose1 w:val="00000000000000000000"/>
    <w:charset w:val="00"/>
    <w:family w:val="roman"/>
    <w:notTrueType/>
    <w:pitch w:val="default"/>
  </w:font>
  <w:font w:name="WenQuanYi Micro Hei">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Liberation Serif">
    <w:panose1 w:val="00000000000000000000"/>
    <w:charset w:val="00"/>
    <w:family w:val="roman"/>
    <w:notTrueType/>
    <w:pitch w:val="default"/>
  </w:font>
  <w:font w:name="Noto Sans CJK SC Regular">
    <w:panose1 w:val="00000000000000000000"/>
    <w:charset w:val="00"/>
    <w:family w:val="roman"/>
    <w:notTrueType/>
    <w:pitch w:val="default"/>
  </w:font>
  <w:font w:name="Noto Serif CJK SC">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Arimo">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E70D3" w14:textId="77777777" w:rsidR="0038736B" w:rsidRDefault="0038736B">
    <w:pPr>
      <w:pStyle w:val="af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282E3" w14:textId="77777777" w:rsidR="0038736B" w:rsidRPr="007E47E7" w:rsidRDefault="0038736B" w:rsidP="00FB6998">
    <w:pPr>
      <w:pStyle w:val="af8"/>
      <w:jc w:val="left"/>
      <w:rPr>
        <w:rFonts w:ascii="Arial" w:hAnsi="Arial" w:cs="Arial"/>
        <w:sz w:val="18"/>
        <w:szCs w:val="18"/>
      </w:rPr>
    </w:pPr>
    <w:r w:rsidRPr="007E47E7">
      <w:rPr>
        <w:rFonts w:ascii="Arial" w:hAnsi="Arial" w:cs="Arial"/>
        <w:sz w:val="18"/>
        <w:szCs w:val="18"/>
        <w:lang w:val="en-US"/>
      </w:rPr>
      <w:t>V</w:t>
    </w:r>
    <w:r>
      <w:rPr>
        <w:rFonts w:ascii="Arial" w:hAnsi="Arial" w:cs="Arial"/>
        <w:sz w:val="18"/>
        <w:szCs w:val="18"/>
        <w:lang w:val="en-US"/>
      </w:rPr>
      <w:t>I</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136F8" w14:textId="77777777" w:rsidR="0038736B" w:rsidRPr="007E47E7" w:rsidRDefault="0038736B" w:rsidP="000747BD">
    <w:pPr>
      <w:pStyle w:val="af8"/>
      <w:jc w:val="right"/>
    </w:pPr>
    <w:r>
      <w:rPr>
        <w:rFonts w:ascii="Arial" w:hAnsi="Arial" w:cs="Arial"/>
        <w:sz w:val="18"/>
        <w:szCs w:val="18"/>
        <w:lang w:val="en-US"/>
      </w:rPr>
      <w:t>IX</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112B5" w14:textId="77777777" w:rsidR="0038736B" w:rsidRPr="007E47E7" w:rsidRDefault="0038736B" w:rsidP="000747BD">
    <w:pPr>
      <w:pStyle w:val="af8"/>
      <w:ind w:firstLine="142"/>
      <w:jc w:val="left"/>
      <w:rPr>
        <w:rFonts w:ascii="Arial" w:hAnsi="Arial" w:cs="Arial"/>
        <w:sz w:val="18"/>
        <w:szCs w:val="18"/>
        <w:lang w:val="en-US"/>
      </w:rPr>
    </w:pPr>
    <w:r w:rsidRPr="007E47E7">
      <w:rPr>
        <w:rFonts w:ascii="Arial" w:hAnsi="Arial" w:cs="Arial"/>
        <w:sz w:val="18"/>
        <w:szCs w:val="18"/>
        <w:lang w:val="en-US"/>
      </w:rPr>
      <w:t>V</w:t>
    </w:r>
    <w:r>
      <w:rPr>
        <w:rFonts w:ascii="Arial" w:hAnsi="Arial" w:cs="Arial"/>
        <w:sz w:val="18"/>
        <w:szCs w:val="18"/>
        <w:lang w:val="en-US"/>
      </w:rPr>
      <w:t>III</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E856" w14:textId="77777777" w:rsidR="0038736B" w:rsidRPr="00FB6998" w:rsidRDefault="00427C4D" w:rsidP="00FB6998">
    <w:pPr>
      <w:pStyle w:val="af8"/>
      <w:ind w:firstLine="0"/>
      <w:rPr>
        <w:rFonts w:ascii="Arial" w:hAnsi="Arial" w:cs="Arial"/>
        <w:sz w:val="18"/>
        <w:szCs w:val="18"/>
      </w:rPr>
    </w:pPr>
    <w:r w:rsidRPr="00FB6998">
      <w:rPr>
        <w:rFonts w:ascii="Arial" w:hAnsi="Arial" w:cs="Arial"/>
        <w:sz w:val="18"/>
        <w:szCs w:val="18"/>
      </w:rPr>
      <w:fldChar w:fldCharType="begin"/>
    </w:r>
    <w:r w:rsidR="0038736B" w:rsidRPr="00FB6998">
      <w:rPr>
        <w:rFonts w:ascii="Arial" w:hAnsi="Arial" w:cs="Arial"/>
        <w:sz w:val="18"/>
        <w:szCs w:val="18"/>
      </w:rPr>
      <w:instrText>PAGE   \* MERGEFORMAT</w:instrText>
    </w:r>
    <w:r w:rsidRPr="00FB6998">
      <w:rPr>
        <w:rFonts w:ascii="Arial" w:hAnsi="Arial" w:cs="Arial"/>
        <w:sz w:val="18"/>
        <w:szCs w:val="18"/>
      </w:rPr>
      <w:fldChar w:fldCharType="separate"/>
    </w:r>
    <w:r w:rsidR="00C03CAA" w:rsidRPr="00C03CAA">
      <w:rPr>
        <w:rFonts w:ascii="Arial" w:hAnsi="Arial" w:cs="Arial"/>
        <w:noProof/>
        <w:sz w:val="18"/>
        <w:szCs w:val="18"/>
        <w:lang w:val="ru-RU"/>
      </w:rPr>
      <w:t>12</w:t>
    </w:r>
    <w:r w:rsidRPr="00FB6998">
      <w:rPr>
        <w:rFonts w:ascii="Arial" w:hAnsi="Arial" w:cs="Arial"/>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EE85F" w14:textId="77777777" w:rsidR="0038736B" w:rsidRPr="00FB6998" w:rsidRDefault="00427C4D" w:rsidP="00FB6998">
    <w:pPr>
      <w:pStyle w:val="af8"/>
      <w:jc w:val="right"/>
      <w:rPr>
        <w:rFonts w:ascii="Arial" w:hAnsi="Arial" w:cs="Arial"/>
        <w:sz w:val="18"/>
        <w:szCs w:val="18"/>
      </w:rPr>
    </w:pPr>
    <w:r w:rsidRPr="00FB6998">
      <w:rPr>
        <w:rFonts w:ascii="Arial" w:hAnsi="Arial" w:cs="Arial"/>
        <w:sz w:val="18"/>
        <w:szCs w:val="18"/>
      </w:rPr>
      <w:fldChar w:fldCharType="begin"/>
    </w:r>
    <w:r w:rsidR="0038736B" w:rsidRPr="00FB6998">
      <w:rPr>
        <w:rFonts w:ascii="Arial" w:hAnsi="Arial" w:cs="Arial"/>
        <w:sz w:val="18"/>
        <w:szCs w:val="18"/>
      </w:rPr>
      <w:instrText>PAGE   \* MERGEFORMAT</w:instrText>
    </w:r>
    <w:r w:rsidRPr="00FB6998">
      <w:rPr>
        <w:rFonts w:ascii="Arial" w:hAnsi="Arial" w:cs="Arial"/>
        <w:sz w:val="18"/>
        <w:szCs w:val="18"/>
      </w:rPr>
      <w:fldChar w:fldCharType="separate"/>
    </w:r>
    <w:r w:rsidR="00C03CAA" w:rsidRPr="00C03CAA">
      <w:rPr>
        <w:rFonts w:ascii="Arial" w:hAnsi="Arial" w:cs="Arial"/>
        <w:noProof/>
        <w:sz w:val="18"/>
        <w:szCs w:val="18"/>
        <w:lang w:val="ru-RU"/>
      </w:rPr>
      <w:t>11</w:t>
    </w:r>
    <w:r w:rsidRPr="00FB699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564D5" w14:textId="77777777" w:rsidR="0038736B" w:rsidRDefault="0038736B">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D5797" w14:textId="77777777" w:rsidR="0038736B" w:rsidRDefault="0038736B">
    <w:pPr>
      <w:pStyle w:val="af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13A5A" w14:textId="77777777" w:rsidR="0038736B" w:rsidRPr="007E47E7" w:rsidRDefault="0038736B" w:rsidP="00414494">
    <w:pPr>
      <w:pStyle w:val="af8"/>
      <w:jc w:val="right"/>
      <w:rPr>
        <w:rFonts w:ascii="Arial" w:hAnsi="Arial" w:cs="Arial"/>
        <w:sz w:val="18"/>
        <w:szCs w:val="18"/>
      </w:rPr>
    </w:pPr>
    <w:r>
      <w:rPr>
        <w:rFonts w:ascii="Arial" w:hAnsi="Arial" w:cs="Arial"/>
        <w:sz w:val="18"/>
        <w:szCs w:val="18"/>
        <w:lang w:val="en-US"/>
      </w:rPr>
      <w:t>III</w:t>
    </w:r>
  </w:p>
  <w:p w14:paraId="54D84C5D" w14:textId="77777777" w:rsidR="0038736B" w:rsidRPr="007E47E7" w:rsidRDefault="0038736B" w:rsidP="007E47E7">
    <w:pPr>
      <w:pStyle w:val="af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9B6D8" w14:textId="77777777" w:rsidR="0038736B" w:rsidRPr="007E47E7" w:rsidRDefault="0038736B" w:rsidP="001B545E">
    <w:pPr>
      <w:pStyle w:val="af8"/>
      <w:jc w:val="left"/>
      <w:rPr>
        <w:rFonts w:ascii="Arial" w:hAnsi="Arial" w:cs="Arial"/>
        <w:sz w:val="18"/>
        <w:szCs w:val="18"/>
      </w:rPr>
    </w:pPr>
    <w:r>
      <w:rPr>
        <w:rFonts w:ascii="Arial" w:hAnsi="Arial" w:cs="Arial"/>
        <w:sz w:val="18"/>
        <w:szCs w:val="18"/>
        <w:lang w:val="en-US"/>
      </w:rPr>
      <w:t>II</w:t>
    </w:r>
  </w:p>
  <w:p w14:paraId="0B587E79" w14:textId="77777777" w:rsidR="0038736B" w:rsidRPr="00B37CCE" w:rsidRDefault="0038736B" w:rsidP="00B37CCE">
    <w:pPr>
      <w:pStyle w:val="af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BCC2E" w14:textId="77777777" w:rsidR="0038736B" w:rsidRPr="007E47E7" w:rsidRDefault="0038736B" w:rsidP="00FB6998">
    <w:pPr>
      <w:pStyle w:val="af8"/>
      <w:jc w:val="left"/>
      <w:rPr>
        <w:rFonts w:ascii="Arial" w:hAnsi="Arial" w:cs="Arial"/>
        <w:sz w:val="18"/>
        <w:szCs w:val="18"/>
      </w:rPr>
    </w:pPr>
    <w:r>
      <w:rPr>
        <w:rFonts w:ascii="Arial" w:hAnsi="Arial" w:cs="Arial"/>
        <w:sz w:val="18"/>
        <w:szCs w:val="18"/>
        <w:lang w:val="en-US"/>
      </w:rPr>
      <w:t>I</w:t>
    </w:r>
    <w:r w:rsidRPr="007E47E7">
      <w:rPr>
        <w:rFonts w:ascii="Arial" w:hAnsi="Arial" w:cs="Arial"/>
        <w:sz w:val="18"/>
        <w:szCs w:val="18"/>
        <w:lang w:val="en-US"/>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73BA8" w14:textId="77777777" w:rsidR="0038736B" w:rsidRPr="0003554C" w:rsidRDefault="0038736B" w:rsidP="0003554C">
    <w:pPr>
      <w:pStyle w:val="af8"/>
      <w:jc w:val="right"/>
      <w:rPr>
        <w:rFonts w:ascii="Arial" w:hAnsi="Arial" w:cs="Arial"/>
        <w:sz w:val="18"/>
        <w:szCs w:val="18"/>
        <w:lang w:val="en-GB"/>
      </w:rPr>
    </w:pPr>
    <w:r w:rsidRPr="0003554C">
      <w:rPr>
        <w:rFonts w:ascii="Arial" w:hAnsi="Arial" w:cs="Arial"/>
        <w:sz w:val="18"/>
        <w:szCs w:val="18"/>
        <w:lang w:val="en-GB"/>
      </w:rPr>
      <w:t>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384AA" w14:textId="77777777" w:rsidR="0038736B" w:rsidRPr="007E47E7" w:rsidRDefault="0038736B" w:rsidP="001B545E">
    <w:pPr>
      <w:pStyle w:val="af8"/>
      <w:jc w:val="left"/>
      <w:rPr>
        <w:rFonts w:ascii="Arial" w:hAnsi="Arial" w:cs="Arial"/>
        <w:sz w:val="18"/>
        <w:szCs w:val="18"/>
      </w:rPr>
    </w:pPr>
    <w:r>
      <w:rPr>
        <w:rFonts w:ascii="Arial" w:hAnsi="Arial" w:cs="Arial"/>
        <w:sz w:val="18"/>
        <w:szCs w:val="18"/>
        <w:lang w:val="en-US"/>
      </w:rPr>
      <w:t>II</w:t>
    </w:r>
  </w:p>
  <w:p w14:paraId="5FB565DE" w14:textId="77777777" w:rsidR="0038736B" w:rsidRPr="00B37CCE" w:rsidRDefault="0038736B" w:rsidP="00B37CCE">
    <w:pPr>
      <w:pStyle w:val="af8"/>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EB4B4" w14:textId="77777777" w:rsidR="0038736B" w:rsidRPr="0003554C" w:rsidRDefault="0038736B" w:rsidP="0003554C">
    <w:pPr>
      <w:pStyle w:val="af8"/>
      <w:jc w:val="right"/>
      <w:rPr>
        <w:rFonts w:ascii="Arial" w:hAnsi="Arial" w:cs="Arial"/>
        <w:sz w:val="18"/>
        <w:szCs w:val="18"/>
        <w:lang w:val="en-GB"/>
      </w:rPr>
    </w:pPr>
    <w:r w:rsidRPr="0003554C">
      <w:rPr>
        <w:rFonts w:ascii="Arial" w:hAnsi="Arial" w:cs="Arial"/>
        <w:sz w:val="18"/>
        <w:szCs w:val="18"/>
        <w:lang w:val="en-GB"/>
      </w:rPr>
      <w:t>V</w:t>
    </w:r>
    <w:r>
      <w:rPr>
        <w:rFonts w:ascii="Arial" w:hAnsi="Arial" w:cs="Arial"/>
        <w:sz w:val="18"/>
        <w:szCs w:val="18"/>
        <w:lang w:val="en-GB"/>
      </w:rPr>
      <w:t>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73523" w14:textId="77777777" w:rsidR="00355198" w:rsidRDefault="00355198">
      <w:pPr>
        <w:spacing w:before="0" w:line="240" w:lineRule="auto"/>
      </w:pPr>
      <w:r>
        <w:separator/>
      </w:r>
    </w:p>
  </w:footnote>
  <w:footnote w:type="continuationSeparator" w:id="0">
    <w:p w14:paraId="04248959" w14:textId="77777777" w:rsidR="00355198" w:rsidRDefault="0035519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84837" w14:textId="77777777" w:rsidR="0038736B" w:rsidRPr="007F5EEB" w:rsidRDefault="0038736B" w:rsidP="00E402DE">
    <w:pPr>
      <w:shd w:val="clear" w:color="auto" w:fill="FFFFFF"/>
      <w:spacing w:before="0" w:after="60" w:line="288" w:lineRule="auto"/>
      <w:ind w:firstLine="0"/>
      <w:contextualSpacing/>
      <w:jc w:val="right"/>
      <w:rPr>
        <w:sz w:val="18"/>
        <w:szCs w:val="18"/>
      </w:rPr>
    </w:pPr>
    <w:r w:rsidRPr="007216DB">
      <w:rPr>
        <w:sz w:val="18"/>
        <w:szCs w:val="18"/>
      </w:rPr>
      <w:t>ДБН В.2.2-5:2023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494A5" w14:textId="77777777" w:rsidR="0038736B" w:rsidRPr="007216DB" w:rsidRDefault="0038736B" w:rsidP="007216DB">
    <w:pPr>
      <w:shd w:val="clear" w:color="auto" w:fill="FFFFFF"/>
      <w:spacing w:before="0" w:line="288" w:lineRule="auto"/>
      <w:contextualSpacing/>
      <w:jc w:val="left"/>
      <w:rPr>
        <w:sz w:val="18"/>
        <w:szCs w:val="18"/>
      </w:rPr>
    </w:pPr>
    <w:r w:rsidRPr="007216DB">
      <w:rPr>
        <w:sz w:val="18"/>
        <w:szCs w:val="18"/>
      </w:rPr>
      <w:t>ДБН В.2.2-5:2023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D352E" w14:textId="77777777" w:rsidR="0038736B" w:rsidRDefault="0038736B">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A392B" w14:textId="77777777" w:rsidR="0038736B" w:rsidRPr="007216DB" w:rsidRDefault="0038736B" w:rsidP="0003554C">
    <w:pPr>
      <w:shd w:val="clear" w:color="auto" w:fill="FFFFFF"/>
      <w:spacing w:before="0" w:after="60" w:line="288" w:lineRule="auto"/>
      <w:ind w:firstLine="0"/>
      <w:contextualSpacing/>
      <w:jc w:val="left"/>
      <w:rPr>
        <w:sz w:val="18"/>
        <w:szCs w:val="18"/>
      </w:rPr>
    </w:pPr>
    <w:r w:rsidRPr="007216DB">
      <w:rPr>
        <w:sz w:val="18"/>
        <w:szCs w:val="18"/>
      </w:rPr>
      <w:t>ДБН В.2.2-5:2023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5D77E" w14:textId="77777777" w:rsidR="0038736B" w:rsidRPr="007216DB" w:rsidRDefault="0038736B" w:rsidP="000747BD">
    <w:pPr>
      <w:shd w:val="clear" w:color="auto" w:fill="FFFFFF"/>
      <w:spacing w:before="0" w:after="60" w:line="288" w:lineRule="auto"/>
      <w:ind w:firstLine="0"/>
      <w:contextualSpacing/>
      <w:jc w:val="right"/>
      <w:rPr>
        <w:sz w:val="18"/>
        <w:szCs w:val="18"/>
      </w:rPr>
    </w:pPr>
    <w:r w:rsidRPr="007216DB">
      <w:rPr>
        <w:sz w:val="18"/>
        <w:szCs w:val="18"/>
      </w:rPr>
      <w:t>ДБН В.2.2-5:2023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69071" w14:textId="77777777" w:rsidR="0038736B" w:rsidRPr="007216DB" w:rsidRDefault="0038736B" w:rsidP="000747BD">
    <w:pPr>
      <w:shd w:val="clear" w:color="auto" w:fill="FFFFFF"/>
      <w:spacing w:before="0" w:after="60" w:line="288" w:lineRule="auto"/>
      <w:ind w:firstLine="0"/>
      <w:contextualSpacing/>
      <w:jc w:val="left"/>
      <w:rPr>
        <w:sz w:val="18"/>
        <w:szCs w:val="18"/>
      </w:rPr>
    </w:pPr>
    <w:r w:rsidRPr="007216DB">
      <w:rPr>
        <w:sz w:val="18"/>
        <w:szCs w:val="18"/>
      </w:rPr>
      <w:t>ДБН В.2.2-5:2023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B9ED3" w14:textId="77777777" w:rsidR="0038736B" w:rsidRPr="007216DB" w:rsidRDefault="0038736B" w:rsidP="007216DB">
    <w:pPr>
      <w:shd w:val="clear" w:color="auto" w:fill="FFFFFF"/>
      <w:spacing w:before="0" w:line="288" w:lineRule="auto"/>
      <w:contextualSpacing/>
      <w:jc w:val="right"/>
      <w:rPr>
        <w:sz w:val="18"/>
        <w:szCs w:val="18"/>
      </w:rPr>
    </w:pPr>
    <w:r w:rsidRPr="007216DB">
      <w:rPr>
        <w:sz w:val="18"/>
        <w:szCs w:val="18"/>
      </w:rPr>
      <w:t>ДБН В.2.2-5:2023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844BF"/>
    <w:multiLevelType w:val="multilevel"/>
    <w:tmpl w:val="1934566E"/>
    <w:lvl w:ilvl="0">
      <w:start w:val="1"/>
      <w:numFmt w:val="bullet"/>
      <w:pStyle w:val="1"/>
      <w:lvlText w:val="-"/>
      <w:lvlJc w:val="left"/>
      <w:pPr>
        <w:ind w:left="1637" w:hanging="360"/>
      </w:pPr>
      <w:rPr>
        <w:rFonts w:ascii="Times New Roman" w:eastAsia="Times New Roman" w:hAnsi="Times New Roman" w:cs="Times New Roman"/>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num w:numId="1" w16cid:durableId="46559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displayBackgroundShape/>
  <w:defaultTabStop w:val="720"/>
  <w:hyphenationZone w:val="425"/>
  <w:evenAndOddHeaders/>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C4E04"/>
    <w:rsid w:val="0000017C"/>
    <w:rsid w:val="00000B07"/>
    <w:rsid w:val="0000321E"/>
    <w:rsid w:val="0000532B"/>
    <w:rsid w:val="00011FAC"/>
    <w:rsid w:val="00014534"/>
    <w:rsid w:val="00014AB4"/>
    <w:rsid w:val="00016B6D"/>
    <w:rsid w:val="0002068B"/>
    <w:rsid w:val="00024291"/>
    <w:rsid w:val="000255E1"/>
    <w:rsid w:val="00030DC4"/>
    <w:rsid w:val="00031C59"/>
    <w:rsid w:val="00032589"/>
    <w:rsid w:val="0003318F"/>
    <w:rsid w:val="000345A0"/>
    <w:rsid w:val="0003554C"/>
    <w:rsid w:val="00036FF0"/>
    <w:rsid w:val="0004159F"/>
    <w:rsid w:val="000451E8"/>
    <w:rsid w:val="0006174C"/>
    <w:rsid w:val="00061C8D"/>
    <w:rsid w:val="00064865"/>
    <w:rsid w:val="00066ECF"/>
    <w:rsid w:val="00073014"/>
    <w:rsid w:val="000747BD"/>
    <w:rsid w:val="0007750C"/>
    <w:rsid w:val="00077AE4"/>
    <w:rsid w:val="000845D1"/>
    <w:rsid w:val="000856B4"/>
    <w:rsid w:val="00092D6B"/>
    <w:rsid w:val="000930AB"/>
    <w:rsid w:val="000A2161"/>
    <w:rsid w:val="000A4DF5"/>
    <w:rsid w:val="000A5939"/>
    <w:rsid w:val="000B12FE"/>
    <w:rsid w:val="000B4A82"/>
    <w:rsid w:val="000B4BA3"/>
    <w:rsid w:val="000B7223"/>
    <w:rsid w:val="000C409E"/>
    <w:rsid w:val="000D383E"/>
    <w:rsid w:val="000D61F6"/>
    <w:rsid w:val="000E7856"/>
    <w:rsid w:val="000F19F7"/>
    <w:rsid w:val="000F1A40"/>
    <w:rsid w:val="000F2219"/>
    <w:rsid w:val="000F536D"/>
    <w:rsid w:val="00100A3B"/>
    <w:rsid w:val="00100E94"/>
    <w:rsid w:val="00102386"/>
    <w:rsid w:val="0010730F"/>
    <w:rsid w:val="0011145F"/>
    <w:rsid w:val="00116A50"/>
    <w:rsid w:val="00117748"/>
    <w:rsid w:val="00117876"/>
    <w:rsid w:val="00122345"/>
    <w:rsid w:val="0013003D"/>
    <w:rsid w:val="00134039"/>
    <w:rsid w:val="00140534"/>
    <w:rsid w:val="001406BF"/>
    <w:rsid w:val="00142E5A"/>
    <w:rsid w:val="00143CA2"/>
    <w:rsid w:val="00144AEF"/>
    <w:rsid w:val="00146546"/>
    <w:rsid w:val="00161A7F"/>
    <w:rsid w:val="001630FF"/>
    <w:rsid w:val="001643BB"/>
    <w:rsid w:val="00166B6D"/>
    <w:rsid w:val="00171C16"/>
    <w:rsid w:val="00172E91"/>
    <w:rsid w:val="001833F8"/>
    <w:rsid w:val="0018400C"/>
    <w:rsid w:val="00187CE6"/>
    <w:rsid w:val="00191BD8"/>
    <w:rsid w:val="0019574B"/>
    <w:rsid w:val="0019616C"/>
    <w:rsid w:val="00197F09"/>
    <w:rsid w:val="001A41CD"/>
    <w:rsid w:val="001A6C24"/>
    <w:rsid w:val="001B3090"/>
    <w:rsid w:val="001B3118"/>
    <w:rsid w:val="001B37C6"/>
    <w:rsid w:val="001B545E"/>
    <w:rsid w:val="001C759B"/>
    <w:rsid w:val="001C7CD6"/>
    <w:rsid w:val="001D44F6"/>
    <w:rsid w:val="001D4D50"/>
    <w:rsid w:val="001D654A"/>
    <w:rsid w:val="001D7433"/>
    <w:rsid w:val="001E62FF"/>
    <w:rsid w:val="001E748C"/>
    <w:rsid w:val="001F3728"/>
    <w:rsid w:val="001F6264"/>
    <w:rsid w:val="00205DAD"/>
    <w:rsid w:val="00206A22"/>
    <w:rsid w:val="00212EF3"/>
    <w:rsid w:val="00216726"/>
    <w:rsid w:val="00225A2E"/>
    <w:rsid w:val="002410C7"/>
    <w:rsid w:val="0024343D"/>
    <w:rsid w:val="00245CDA"/>
    <w:rsid w:val="00247221"/>
    <w:rsid w:val="00247F50"/>
    <w:rsid w:val="00253831"/>
    <w:rsid w:val="00254947"/>
    <w:rsid w:val="002600BF"/>
    <w:rsid w:val="00264285"/>
    <w:rsid w:val="0026467E"/>
    <w:rsid w:val="00266838"/>
    <w:rsid w:val="002673CB"/>
    <w:rsid w:val="00270A0B"/>
    <w:rsid w:val="002743E6"/>
    <w:rsid w:val="00291E3E"/>
    <w:rsid w:val="002921D7"/>
    <w:rsid w:val="002928CD"/>
    <w:rsid w:val="00293EEA"/>
    <w:rsid w:val="00293FA8"/>
    <w:rsid w:val="00294B4B"/>
    <w:rsid w:val="0029561C"/>
    <w:rsid w:val="002A470F"/>
    <w:rsid w:val="002B223C"/>
    <w:rsid w:val="002B29B3"/>
    <w:rsid w:val="002B5EB5"/>
    <w:rsid w:val="002B7F09"/>
    <w:rsid w:val="002C0C38"/>
    <w:rsid w:val="002D0E70"/>
    <w:rsid w:val="002D7461"/>
    <w:rsid w:val="002E48B6"/>
    <w:rsid w:val="002E68BE"/>
    <w:rsid w:val="002E6DE2"/>
    <w:rsid w:val="002F5686"/>
    <w:rsid w:val="00302348"/>
    <w:rsid w:val="003024A5"/>
    <w:rsid w:val="003045B7"/>
    <w:rsid w:val="003109B7"/>
    <w:rsid w:val="00317024"/>
    <w:rsid w:val="0031771B"/>
    <w:rsid w:val="003235A1"/>
    <w:rsid w:val="00323BED"/>
    <w:rsid w:val="00326D96"/>
    <w:rsid w:val="00335B35"/>
    <w:rsid w:val="00337449"/>
    <w:rsid w:val="00337A61"/>
    <w:rsid w:val="00343B3A"/>
    <w:rsid w:val="00344BFC"/>
    <w:rsid w:val="003511B1"/>
    <w:rsid w:val="00351B9B"/>
    <w:rsid w:val="003546E3"/>
    <w:rsid w:val="00355198"/>
    <w:rsid w:val="00370BCF"/>
    <w:rsid w:val="003763CE"/>
    <w:rsid w:val="00376FE3"/>
    <w:rsid w:val="003872B7"/>
    <w:rsid w:val="0038736B"/>
    <w:rsid w:val="003873F3"/>
    <w:rsid w:val="0039185D"/>
    <w:rsid w:val="00395598"/>
    <w:rsid w:val="003A0EDE"/>
    <w:rsid w:val="003A15C4"/>
    <w:rsid w:val="003A17BC"/>
    <w:rsid w:val="003A3D5B"/>
    <w:rsid w:val="003A545E"/>
    <w:rsid w:val="003B320F"/>
    <w:rsid w:val="003B6517"/>
    <w:rsid w:val="003C0222"/>
    <w:rsid w:val="003C0D85"/>
    <w:rsid w:val="003C4E04"/>
    <w:rsid w:val="003D375E"/>
    <w:rsid w:val="003D5419"/>
    <w:rsid w:val="003D6401"/>
    <w:rsid w:val="003D6BDC"/>
    <w:rsid w:val="003D7792"/>
    <w:rsid w:val="003E125A"/>
    <w:rsid w:val="003E32DC"/>
    <w:rsid w:val="003E3F65"/>
    <w:rsid w:val="003E4749"/>
    <w:rsid w:val="003E656C"/>
    <w:rsid w:val="003F0151"/>
    <w:rsid w:val="003F42CB"/>
    <w:rsid w:val="003F519E"/>
    <w:rsid w:val="003F54FE"/>
    <w:rsid w:val="0040759C"/>
    <w:rsid w:val="0041101E"/>
    <w:rsid w:val="0041285C"/>
    <w:rsid w:val="00414494"/>
    <w:rsid w:val="00415B2F"/>
    <w:rsid w:val="004232B7"/>
    <w:rsid w:val="0042528B"/>
    <w:rsid w:val="00427A23"/>
    <w:rsid w:val="00427C35"/>
    <w:rsid w:val="00427C4D"/>
    <w:rsid w:val="004306C2"/>
    <w:rsid w:val="004316E5"/>
    <w:rsid w:val="00433B4B"/>
    <w:rsid w:val="00437FC1"/>
    <w:rsid w:val="00442FAF"/>
    <w:rsid w:val="00443B5E"/>
    <w:rsid w:val="00444401"/>
    <w:rsid w:val="004514E1"/>
    <w:rsid w:val="004539B7"/>
    <w:rsid w:val="00455C3E"/>
    <w:rsid w:val="00463F68"/>
    <w:rsid w:val="004700A0"/>
    <w:rsid w:val="004766BD"/>
    <w:rsid w:val="00477B73"/>
    <w:rsid w:val="00484AE9"/>
    <w:rsid w:val="00490AA1"/>
    <w:rsid w:val="00490E26"/>
    <w:rsid w:val="0049165E"/>
    <w:rsid w:val="00492E61"/>
    <w:rsid w:val="00495462"/>
    <w:rsid w:val="004963F4"/>
    <w:rsid w:val="004A0D6E"/>
    <w:rsid w:val="004A1B36"/>
    <w:rsid w:val="004A3D51"/>
    <w:rsid w:val="004B2D50"/>
    <w:rsid w:val="004B31F2"/>
    <w:rsid w:val="004B40D3"/>
    <w:rsid w:val="004C142E"/>
    <w:rsid w:val="004C29B1"/>
    <w:rsid w:val="004C3060"/>
    <w:rsid w:val="004C31DC"/>
    <w:rsid w:val="004D07A7"/>
    <w:rsid w:val="004D23AA"/>
    <w:rsid w:val="004D2774"/>
    <w:rsid w:val="004D42A6"/>
    <w:rsid w:val="004E5092"/>
    <w:rsid w:val="004E5118"/>
    <w:rsid w:val="004E5FF0"/>
    <w:rsid w:val="004E656C"/>
    <w:rsid w:val="004F39E0"/>
    <w:rsid w:val="004F44E6"/>
    <w:rsid w:val="00501293"/>
    <w:rsid w:val="0050281D"/>
    <w:rsid w:val="005030EB"/>
    <w:rsid w:val="005168E3"/>
    <w:rsid w:val="005169CF"/>
    <w:rsid w:val="005210FC"/>
    <w:rsid w:val="00521B72"/>
    <w:rsid w:val="00527B5E"/>
    <w:rsid w:val="005304AC"/>
    <w:rsid w:val="00531D7C"/>
    <w:rsid w:val="005353FC"/>
    <w:rsid w:val="00536D0B"/>
    <w:rsid w:val="00537B1F"/>
    <w:rsid w:val="0055198D"/>
    <w:rsid w:val="0057173E"/>
    <w:rsid w:val="00573B38"/>
    <w:rsid w:val="0057414A"/>
    <w:rsid w:val="005763DB"/>
    <w:rsid w:val="00576C10"/>
    <w:rsid w:val="00584A0A"/>
    <w:rsid w:val="00586178"/>
    <w:rsid w:val="00590AFE"/>
    <w:rsid w:val="00591D28"/>
    <w:rsid w:val="005950BF"/>
    <w:rsid w:val="005A4604"/>
    <w:rsid w:val="005C01C6"/>
    <w:rsid w:val="005C0B27"/>
    <w:rsid w:val="005C2A66"/>
    <w:rsid w:val="005D283B"/>
    <w:rsid w:val="005D3679"/>
    <w:rsid w:val="005D4B75"/>
    <w:rsid w:val="005D5415"/>
    <w:rsid w:val="005D67ED"/>
    <w:rsid w:val="005D6A37"/>
    <w:rsid w:val="005D6AB1"/>
    <w:rsid w:val="005E0108"/>
    <w:rsid w:val="005E3355"/>
    <w:rsid w:val="005E5DBC"/>
    <w:rsid w:val="005F161A"/>
    <w:rsid w:val="005F2A3B"/>
    <w:rsid w:val="005F7579"/>
    <w:rsid w:val="006064B3"/>
    <w:rsid w:val="00607C5F"/>
    <w:rsid w:val="00612C21"/>
    <w:rsid w:val="00613B23"/>
    <w:rsid w:val="00613BDE"/>
    <w:rsid w:val="006209C8"/>
    <w:rsid w:val="006214E4"/>
    <w:rsid w:val="006249EE"/>
    <w:rsid w:val="0062589B"/>
    <w:rsid w:val="00642ACC"/>
    <w:rsid w:val="00643792"/>
    <w:rsid w:val="00645CD2"/>
    <w:rsid w:val="0066405A"/>
    <w:rsid w:val="006652CB"/>
    <w:rsid w:val="006820A4"/>
    <w:rsid w:val="0068497D"/>
    <w:rsid w:val="00686653"/>
    <w:rsid w:val="00687A64"/>
    <w:rsid w:val="00691CB5"/>
    <w:rsid w:val="00694E4D"/>
    <w:rsid w:val="0069704C"/>
    <w:rsid w:val="006976FA"/>
    <w:rsid w:val="00697D0B"/>
    <w:rsid w:val="006A22A5"/>
    <w:rsid w:val="006A40A9"/>
    <w:rsid w:val="006B3D21"/>
    <w:rsid w:val="006B5BFC"/>
    <w:rsid w:val="006B760E"/>
    <w:rsid w:val="006C1957"/>
    <w:rsid w:val="006D0D8E"/>
    <w:rsid w:val="006D29A8"/>
    <w:rsid w:val="006D6D0F"/>
    <w:rsid w:val="006D765B"/>
    <w:rsid w:val="006E03D2"/>
    <w:rsid w:val="006E7926"/>
    <w:rsid w:val="006F1ED0"/>
    <w:rsid w:val="006F7B6E"/>
    <w:rsid w:val="00700FAA"/>
    <w:rsid w:val="00702209"/>
    <w:rsid w:val="00705848"/>
    <w:rsid w:val="00707AFC"/>
    <w:rsid w:val="007110EC"/>
    <w:rsid w:val="00715351"/>
    <w:rsid w:val="00720C64"/>
    <w:rsid w:val="007216DB"/>
    <w:rsid w:val="00721D59"/>
    <w:rsid w:val="00722483"/>
    <w:rsid w:val="00733581"/>
    <w:rsid w:val="0073560F"/>
    <w:rsid w:val="00736D55"/>
    <w:rsid w:val="007408E4"/>
    <w:rsid w:val="00744090"/>
    <w:rsid w:val="00755FCA"/>
    <w:rsid w:val="00764E3F"/>
    <w:rsid w:val="007655FA"/>
    <w:rsid w:val="007656DD"/>
    <w:rsid w:val="00772FDC"/>
    <w:rsid w:val="00775527"/>
    <w:rsid w:val="007767B7"/>
    <w:rsid w:val="00780623"/>
    <w:rsid w:val="00787AE7"/>
    <w:rsid w:val="00795305"/>
    <w:rsid w:val="007A4520"/>
    <w:rsid w:val="007A4770"/>
    <w:rsid w:val="007B2696"/>
    <w:rsid w:val="007C111C"/>
    <w:rsid w:val="007D2916"/>
    <w:rsid w:val="007D47FE"/>
    <w:rsid w:val="007D5313"/>
    <w:rsid w:val="007D72FD"/>
    <w:rsid w:val="007D753E"/>
    <w:rsid w:val="007E23A8"/>
    <w:rsid w:val="007E3732"/>
    <w:rsid w:val="007E47E7"/>
    <w:rsid w:val="007E5158"/>
    <w:rsid w:val="007E66A5"/>
    <w:rsid w:val="007E7999"/>
    <w:rsid w:val="007E7A6D"/>
    <w:rsid w:val="007F3884"/>
    <w:rsid w:val="007F47B8"/>
    <w:rsid w:val="007F5A92"/>
    <w:rsid w:val="007F5EEB"/>
    <w:rsid w:val="00817653"/>
    <w:rsid w:val="008204AD"/>
    <w:rsid w:val="008215B9"/>
    <w:rsid w:val="00827F54"/>
    <w:rsid w:val="00831E4D"/>
    <w:rsid w:val="00843600"/>
    <w:rsid w:val="0084511E"/>
    <w:rsid w:val="00851D57"/>
    <w:rsid w:val="00852875"/>
    <w:rsid w:val="00860C9A"/>
    <w:rsid w:val="00867289"/>
    <w:rsid w:val="0087485F"/>
    <w:rsid w:val="00874F83"/>
    <w:rsid w:val="00875402"/>
    <w:rsid w:val="00875E75"/>
    <w:rsid w:val="00881435"/>
    <w:rsid w:val="0088339C"/>
    <w:rsid w:val="0088767C"/>
    <w:rsid w:val="00890951"/>
    <w:rsid w:val="008926E9"/>
    <w:rsid w:val="00897E9B"/>
    <w:rsid w:val="008A04E5"/>
    <w:rsid w:val="008B0DD1"/>
    <w:rsid w:val="008C7363"/>
    <w:rsid w:val="008E06FE"/>
    <w:rsid w:val="008E0886"/>
    <w:rsid w:val="008F19B5"/>
    <w:rsid w:val="008F4BB4"/>
    <w:rsid w:val="008F7F58"/>
    <w:rsid w:val="00901EF3"/>
    <w:rsid w:val="0091254C"/>
    <w:rsid w:val="00913588"/>
    <w:rsid w:val="009135F8"/>
    <w:rsid w:val="0091593A"/>
    <w:rsid w:val="009167EC"/>
    <w:rsid w:val="00924A37"/>
    <w:rsid w:val="009333C9"/>
    <w:rsid w:val="00935A1D"/>
    <w:rsid w:val="00937E3F"/>
    <w:rsid w:val="009461BC"/>
    <w:rsid w:val="00946D56"/>
    <w:rsid w:val="00954035"/>
    <w:rsid w:val="0096271B"/>
    <w:rsid w:val="00971307"/>
    <w:rsid w:val="00973291"/>
    <w:rsid w:val="00981963"/>
    <w:rsid w:val="00985994"/>
    <w:rsid w:val="00995294"/>
    <w:rsid w:val="009A279B"/>
    <w:rsid w:val="009A61CF"/>
    <w:rsid w:val="009A6D78"/>
    <w:rsid w:val="009B0871"/>
    <w:rsid w:val="009B1EAB"/>
    <w:rsid w:val="009B419B"/>
    <w:rsid w:val="009B448D"/>
    <w:rsid w:val="009B6C54"/>
    <w:rsid w:val="009C0070"/>
    <w:rsid w:val="009C3136"/>
    <w:rsid w:val="009C4A66"/>
    <w:rsid w:val="009D0E21"/>
    <w:rsid w:val="009D10A8"/>
    <w:rsid w:val="009D5D19"/>
    <w:rsid w:val="009D7A41"/>
    <w:rsid w:val="009E0B81"/>
    <w:rsid w:val="009E6C26"/>
    <w:rsid w:val="009F3E09"/>
    <w:rsid w:val="009F61D8"/>
    <w:rsid w:val="009F690B"/>
    <w:rsid w:val="009F6B3F"/>
    <w:rsid w:val="00A05074"/>
    <w:rsid w:val="00A058EE"/>
    <w:rsid w:val="00A07278"/>
    <w:rsid w:val="00A11FE2"/>
    <w:rsid w:val="00A308EC"/>
    <w:rsid w:val="00A3343D"/>
    <w:rsid w:val="00A4436E"/>
    <w:rsid w:val="00A50F83"/>
    <w:rsid w:val="00A528B8"/>
    <w:rsid w:val="00A53FDA"/>
    <w:rsid w:val="00A60480"/>
    <w:rsid w:val="00A65D2B"/>
    <w:rsid w:val="00A816CE"/>
    <w:rsid w:val="00A9217C"/>
    <w:rsid w:val="00A94F64"/>
    <w:rsid w:val="00AA00BD"/>
    <w:rsid w:val="00AA2F74"/>
    <w:rsid w:val="00AA5EC1"/>
    <w:rsid w:val="00AB1301"/>
    <w:rsid w:val="00AB51C9"/>
    <w:rsid w:val="00AC05B5"/>
    <w:rsid w:val="00AC4735"/>
    <w:rsid w:val="00AD393B"/>
    <w:rsid w:val="00AD64A0"/>
    <w:rsid w:val="00AD7A30"/>
    <w:rsid w:val="00AD7DCB"/>
    <w:rsid w:val="00AE22B5"/>
    <w:rsid w:val="00AE25DB"/>
    <w:rsid w:val="00AE4E68"/>
    <w:rsid w:val="00AE7545"/>
    <w:rsid w:val="00AF4611"/>
    <w:rsid w:val="00B03EF0"/>
    <w:rsid w:val="00B03F7B"/>
    <w:rsid w:val="00B061E9"/>
    <w:rsid w:val="00B06E8E"/>
    <w:rsid w:val="00B11151"/>
    <w:rsid w:val="00B17499"/>
    <w:rsid w:val="00B20BEE"/>
    <w:rsid w:val="00B22B70"/>
    <w:rsid w:val="00B23DC9"/>
    <w:rsid w:val="00B271AD"/>
    <w:rsid w:val="00B36628"/>
    <w:rsid w:val="00B367A4"/>
    <w:rsid w:val="00B378C0"/>
    <w:rsid w:val="00B37CCE"/>
    <w:rsid w:val="00B447EB"/>
    <w:rsid w:val="00B44B30"/>
    <w:rsid w:val="00B476A0"/>
    <w:rsid w:val="00B51E19"/>
    <w:rsid w:val="00B53D48"/>
    <w:rsid w:val="00B56042"/>
    <w:rsid w:val="00B670E4"/>
    <w:rsid w:val="00B75AAD"/>
    <w:rsid w:val="00B82061"/>
    <w:rsid w:val="00B86010"/>
    <w:rsid w:val="00B86B8C"/>
    <w:rsid w:val="00B86D82"/>
    <w:rsid w:val="00B904C2"/>
    <w:rsid w:val="00B96E20"/>
    <w:rsid w:val="00BA1224"/>
    <w:rsid w:val="00BC026B"/>
    <w:rsid w:val="00BD0E34"/>
    <w:rsid w:val="00BD5799"/>
    <w:rsid w:val="00BE0F65"/>
    <w:rsid w:val="00BE6C17"/>
    <w:rsid w:val="00C01E14"/>
    <w:rsid w:val="00C03CAA"/>
    <w:rsid w:val="00C04491"/>
    <w:rsid w:val="00C07081"/>
    <w:rsid w:val="00C1349F"/>
    <w:rsid w:val="00C16999"/>
    <w:rsid w:val="00C17CE3"/>
    <w:rsid w:val="00C247A5"/>
    <w:rsid w:val="00C2566A"/>
    <w:rsid w:val="00C258AB"/>
    <w:rsid w:val="00C3132F"/>
    <w:rsid w:val="00C32317"/>
    <w:rsid w:val="00C32F7F"/>
    <w:rsid w:val="00C35057"/>
    <w:rsid w:val="00C36475"/>
    <w:rsid w:val="00C36993"/>
    <w:rsid w:val="00C40C7F"/>
    <w:rsid w:val="00C41991"/>
    <w:rsid w:val="00C6567C"/>
    <w:rsid w:val="00C66539"/>
    <w:rsid w:val="00C668E6"/>
    <w:rsid w:val="00C675B3"/>
    <w:rsid w:val="00C7026C"/>
    <w:rsid w:val="00C7348B"/>
    <w:rsid w:val="00C771A9"/>
    <w:rsid w:val="00C82D69"/>
    <w:rsid w:val="00C86792"/>
    <w:rsid w:val="00C94C02"/>
    <w:rsid w:val="00CA2158"/>
    <w:rsid w:val="00CA536E"/>
    <w:rsid w:val="00CA753B"/>
    <w:rsid w:val="00CA7C54"/>
    <w:rsid w:val="00CA7EE1"/>
    <w:rsid w:val="00CB12DC"/>
    <w:rsid w:val="00CB5F35"/>
    <w:rsid w:val="00CB6C90"/>
    <w:rsid w:val="00CB777B"/>
    <w:rsid w:val="00CC31DD"/>
    <w:rsid w:val="00CC46D9"/>
    <w:rsid w:val="00CD0D21"/>
    <w:rsid w:val="00CD4985"/>
    <w:rsid w:val="00CE183A"/>
    <w:rsid w:val="00CE56BE"/>
    <w:rsid w:val="00CE589F"/>
    <w:rsid w:val="00CE5FA4"/>
    <w:rsid w:val="00CE78CF"/>
    <w:rsid w:val="00CF7A05"/>
    <w:rsid w:val="00D040E4"/>
    <w:rsid w:val="00D11A1E"/>
    <w:rsid w:val="00D12250"/>
    <w:rsid w:val="00D14962"/>
    <w:rsid w:val="00D2056C"/>
    <w:rsid w:val="00D238DB"/>
    <w:rsid w:val="00D37B8D"/>
    <w:rsid w:val="00D37FA7"/>
    <w:rsid w:val="00D4090C"/>
    <w:rsid w:val="00D4464A"/>
    <w:rsid w:val="00D5191D"/>
    <w:rsid w:val="00D53492"/>
    <w:rsid w:val="00D61AE5"/>
    <w:rsid w:val="00D624C2"/>
    <w:rsid w:val="00D62806"/>
    <w:rsid w:val="00D66AA7"/>
    <w:rsid w:val="00D7082E"/>
    <w:rsid w:val="00D70E25"/>
    <w:rsid w:val="00D71F96"/>
    <w:rsid w:val="00D74092"/>
    <w:rsid w:val="00D75773"/>
    <w:rsid w:val="00D77D0D"/>
    <w:rsid w:val="00D852C7"/>
    <w:rsid w:val="00D906FB"/>
    <w:rsid w:val="00D92D49"/>
    <w:rsid w:val="00D966DC"/>
    <w:rsid w:val="00D96D53"/>
    <w:rsid w:val="00DA053D"/>
    <w:rsid w:val="00DA39EA"/>
    <w:rsid w:val="00DA51AE"/>
    <w:rsid w:val="00DA7192"/>
    <w:rsid w:val="00DB0295"/>
    <w:rsid w:val="00DB66EF"/>
    <w:rsid w:val="00DC106E"/>
    <w:rsid w:val="00DC2DD1"/>
    <w:rsid w:val="00DC31F3"/>
    <w:rsid w:val="00DC5135"/>
    <w:rsid w:val="00DC520D"/>
    <w:rsid w:val="00DD329A"/>
    <w:rsid w:val="00DD6BC3"/>
    <w:rsid w:val="00DE0039"/>
    <w:rsid w:val="00DF1B73"/>
    <w:rsid w:val="00DF31A6"/>
    <w:rsid w:val="00DF6D05"/>
    <w:rsid w:val="00E05995"/>
    <w:rsid w:val="00E06B18"/>
    <w:rsid w:val="00E1684E"/>
    <w:rsid w:val="00E171B6"/>
    <w:rsid w:val="00E2566D"/>
    <w:rsid w:val="00E27D45"/>
    <w:rsid w:val="00E334C7"/>
    <w:rsid w:val="00E35BD6"/>
    <w:rsid w:val="00E40099"/>
    <w:rsid w:val="00E402DE"/>
    <w:rsid w:val="00E417D3"/>
    <w:rsid w:val="00E44EE0"/>
    <w:rsid w:val="00E52B00"/>
    <w:rsid w:val="00E55C21"/>
    <w:rsid w:val="00E60886"/>
    <w:rsid w:val="00E60CAB"/>
    <w:rsid w:val="00E67004"/>
    <w:rsid w:val="00E70218"/>
    <w:rsid w:val="00E72B41"/>
    <w:rsid w:val="00E7302F"/>
    <w:rsid w:val="00E73815"/>
    <w:rsid w:val="00E77201"/>
    <w:rsid w:val="00E77B52"/>
    <w:rsid w:val="00E804BD"/>
    <w:rsid w:val="00E84629"/>
    <w:rsid w:val="00E95E5D"/>
    <w:rsid w:val="00E96B6C"/>
    <w:rsid w:val="00EA4136"/>
    <w:rsid w:val="00EA4D30"/>
    <w:rsid w:val="00EB2C94"/>
    <w:rsid w:val="00EB2FB3"/>
    <w:rsid w:val="00EB41DA"/>
    <w:rsid w:val="00EB4E9D"/>
    <w:rsid w:val="00EB58AE"/>
    <w:rsid w:val="00EB635B"/>
    <w:rsid w:val="00EB63CF"/>
    <w:rsid w:val="00EB6620"/>
    <w:rsid w:val="00EC310C"/>
    <w:rsid w:val="00EC337B"/>
    <w:rsid w:val="00ED5E5C"/>
    <w:rsid w:val="00EE0455"/>
    <w:rsid w:val="00EE6431"/>
    <w:rsid w:val="00EF265A"/>
    <w:rsid w:val="00EF4D76"/>
    <w:rsid w:val="00EF507E"/>
    <w:rsid w:val="00EF5E81"/>
    <w:rsid w:val="00F075C5"/>
    <w:rsid w:val="00F160AF"/>
    <w:rsid w:val="00F26A06"/>
    <w:rsid w:val="00F36172"/>
    <w:rsid w:val="00F446B8"/>
    <w:rsid w:val="00F45C60"/>
    <w:rsid w:val="00F466BF"/>
    <w:rsid w:val="00F505CF"/>
    <w:rsid w:val="00F53F9C"/>
    <w:rsid w:val="00F604FC"/>
    <w:rsid w:val="00F61DDF"/>
    <w:rsid w:val="00F6335A"/>
    <w:rsid w:val="00F64371"/>
    <w:rsid w:val="00F65CEF"/>
    <w:rsid w:val="00F66881"/>
    <w:rsid w:val="00F66DC9"/>
    <w:rsid w:val="00F70691"/>
    <w:rsid w:val="00F82385"/>
    <w:rsid w:val="00F8318C"/>
    <w:rsid w:val="00F938B4"/>
    <w:rsid w:val="00FA1C29"/>
    <w:rsid w:val="00FA1E1C"/>
    <w:rsid w:val="00FB2E76"/>
    <w:rsid w:val="00FB4FD3"/>
    <w:rsid w:val="00FB6998"/>
    <w:rsid w:val="00FD101F"/>
    <w:rsid w:val="00FD361E"/>
    <w:rsid w:val="00FE5A1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69E10C5"/>
  <w15:docId w15:val="{71EA42E4-2C3F-486D-A287-CD0AA0FE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UA" w:eastAsia="ru-RU" w:bidi="ar-SA"/>
      </w:rPr>
    </w:rPrDefault>
    <w:pPrDefault>
      <w:pPr>
        <w:spacing w:before="120" w:line="264"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B46"/>
    <w:pPr>
      <w:suppressAutoHyphens/>
    </w:pPr>
    <w:rPr>
      <w:lang w:eastAsia="zh-CN"/>
    </w:rPr>
  </w:style>
  <w:style w:type="paragraph" w:styleId="1">
    <w:name w:val="heading 1"/>
    <w:basedOn w:val="a"/>
    <w:next w:val="a"/>
    <w:link w:val="11"/>
    <w:uiPriority w:val="9"/>
    <w:qFormat/>
    <w:rsid w:val="00247221"/>
    <w:pPr>
      <w:keepNext/>
      <w:numPr>
        <w:numId w:val="1"/>
      </w:numPr>
      <w:spacing w:line="360" w:lineRule="auto"/>
      <w:ind w:left="0" w:firstLine="3"/>
      <w:outlineLvl w:val="0"/>
    </w:pPr>
    <w:rPr>
      <w:rFonts w:ascii="Times New Roman" w:hAnsi="Times New Roman" w:cs="Times New Roman"/>
      <w:b/>
      <w:sz w:val="20"/>
      <w:szCs w:val="20"/>
    </w:rPr>
  </w:style>
  <w:style w:type="paragraph" w:styleId="2">
    <w:name w:val="heading 2"/>
    <w:basedOn w:val="a"/>
    <w:next w:val="a"/>
    <w:link w:val="21"/>
    <w:uiPriority w:val="9"/>
    <w:unhideWhenUsed/>
    <w:qFormat/>
    <w:rsid w:val="00F942F9"/>
    <w:pPr>
      <w:keepNext/>
      <w:spacing w:before="240" w:after="240"/>
      <w:outlineLvl w:val="1"/>
    </w:pPr>
    <w:rPr>
      <w:rFonts w:ascii="Calibri" w:hAnsi="Calibri"/>
      <w:b/>
      <w:bCs/>
      <w:iCs/>
      <w:sz w:val="28"/>
      <w:szCs w:val="28"/>
    </w:rPr>
  </w:style>
  <w:style w:type="paragraph" w:styleId="3">
    <w:name w:val="heading 3"/>
    <w:basedOn w:val="a"/>
    <w:next w:val="a"/>
    <w:link w:val="31"/>
    <w:uiPriority w:val="9"/>
    <w:unhideWhenUsed/>
    <w:qFormat/>
    <w:rsid w:val="00CC58DA"/>
    <w:pPr>
      <w:keepNext/>
      <w:spacing w:before="240" w:after="240" w:line="240" w:lineRule="auto"/>
      <w:outlineLvl w:val="2"/>
    </w:pPr>
    <w:rPr>
      <w:b/>
      <w:bCs/>
      <w:szCs w:val="26"/>
    </w:rPr>
  </w:style>
  <w:style w:type="paragraph" w:styleId="4">
    <w:name w:val="heading 4"/>
    <w:basedOn w:val="a"/>
    <w:next w:val="a"/>
    <w:link w:val="41"/>
    <w:uiPriority w:val="9"/>
    <w:unhideWhenUsed/>
    <w:qFormat/>
    <w:rsid w:val="00401266"/>
    <w:pPr>
      <w:keepNext/>
      <w:spacing w:before="360" w:after="120"/>
      <w:outlineLvl w:val="3"/>
    </w:pPr>
    <w:rPr>
      <w:rFonts w:cs="Times New Roman"/>
      <w:b/>
      <w:szCs w:val="20"/>
    </w:rPr>
  </w:style>
  <w:style w:type="paragraph" w:styleId="5">
    <w:name w:val="heading 5"/>
    <w:basedOn w:val="a"/>
    <w:next w:val="a"/>
    <w:link w:val="51"/>
    <w:uiPriority w:val="9"/>
    <w:semiHidden/>
    <w:unhideWhenUsed/>
    <w:qFormat/>
    <w:rsid w:val="00247221"/>
    <w:pPr>
      <w:spacing w:before="240" w:after="60" w:line="240" w:lineRule="auto"/>
      <w:outlineLvl w:val="4"/>
    </w:pPr>
    <w:rPr>
      <w:rFonts w:ascii="Times New Roman" w:hAnsi="Times New Roman" w:cs="Times New Roman"/>
      <w:b/>
      <w:bCs/>
      <w:i/>
      <w:iCs/>
      <w:sz w:val="26"/>
      <w:szCs w:val="26"/>
    </w:rPr>
  </w:style>
  <w:style w:type="paragraph" w:styleId="6">
    <w:name w:val="heading 6"/>
    <w:basedOn w:val="a"/>
    <w:next w:val="a"/>
    <w:link w:val="61"/>
    <w:uiPriority w:val="9"/>
    <w:semiHidden/>
    <w:unhideWhenUsed/>
    <w:qFormat/>
    <w:rsid w:val="00247221"/>
    <w:pPr>
      <w:keepNext/>
      <w:spacing w:line="360" w:lineRule="auto"/>
      <w:ind w:left="573"/>
      <w:outlineLvl w:val="5"/>
    </w:pPr>
    <w:rPr>
      <w:rFonts w:ascii="Times New Roman" w:hAnsi="Times New Roman" w:cs="Times New Roman"/>
      <w:b/>
      <w:sz w:val="20"/>
      <w:szCs w:val="20"/>
    </w:rPr>
  </w:style>
  <w:style w:type="paragraph" w:styleId="7">
    <w:name w:val="heading 7"/>
    <w:basedOn w:val="a"/>
    <w:next w:val="a"/>
    <w:link w:val="71"/>
    <w:qFormat/>
    <w:rsid w:val="00247221"/>
    <w:pPr>
      <w:keepNext/>
      <w:spacing w:line="240" w:lineRule="auto"/>
      <w:ind w:left="540" w:right="567" w:firstLine="706"/>
      <w:outlineLvl w:val="6"/>
    </w:pPr>
    <w:rPr>
      <w:rFonts w:ascii="UkrainianBaltica" w:hAnsi="UkrainianBaltica" w:cs="UkrainianBaltica"/>
      <w:b/>
      <w:sz w:val="20"/>
      <w:szCs w:val="20"/>
    </w:rPr>
  </w:style>
  <w:style w:type="paragraph" w:styleId="8">
    <w:name w:val="heading 8"/>
    <w:basedOn w:val="a"/>
    <w:next w:val="a"/>
    <w:link w:val="81"/>
    <w:qFormat/>
    <w:rsid w:val="00247221"/>
    <w:pPr>
      <w:keepNext/>
      <w:spacing w:line="240" w:lineRule="auto"/>
      <w:ind w:left="1134" w:right="567" w:firstLine="737"/>
      <w:outlineLvl w:val="7"/>
    </w:pPr>
    <w:rPr>
      <w:rFonts w:ascii="UkrainianBaltica" w:hAnsi="UkrainianBaltica" w:cs="UkrainianBaltica"/>
      <w:b/>
      <w:sz w:val="20"/>
      <w:szCs w:val="20"/>
    </w:rPr>
  </w:style>
  <w:style w:type="paragraph" w:styleId="9">
    <w:name w:val="heading 9"/>
    <w:basedOn w:val="a"/>
    <w:next w:val="a"/>
    <w:link w:val="91"/>
    <w:qFormat/>
    <w:rsid w:val="00247221"/>
    <w:pPr>
      <w:keepNext/>
      <w:spacing w:line="240" w:lineRule="auto"/>
      <w:ind w:right="567"/>
      <w:jc w:val="center"/>
      <w:outlineLvl w:val="8"/>
    </w:pPr>
    <w:rPr>
      <w:rFonts w:ascii="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247221"/>
    <w:tblPr>
      <w:tblCellMar>
        <w:top w:w="0" w:type="dxa"/>
        <w:left w:w="0" w:type="dxa"/>
        <w:bottom w:w="0" w:type="dxa"/>
        <w:right w:w="0" w:type="dxa"/>
      </w:tblCellMar>
    </w:tblPr>
  </w:style>
  <w:style w:type="paragraph" w:styleId="a3">
    <w:name w:val="Title"/>
    <w:basedOn w:val="a"/>
    <w:link w:val="10"/>
    <w:uiPriority w:val="10"/>
    <w:qFormat/>
    <w:rsid w:val="00DE0C83"/>
    <w:pPr>
      <w:widowControl w:val="0"/>
      <w:shd w:val="clear" w:color="auto" w:fill="FFFFFF"/>
      <w:suppressAutoHyphens w:val="0"/>
      <w:autoSpaceDE w:val="0"/>
      <w:autoSpaceDN w:val="0"/>
      <w:adjustRightInd w:val="0"/>
      <w:spacing w:line="240" w:lineRule="auto"/>
      <w:jc w:val="center"/>
    </w:pPr>
    <w:rPr>
      <w:rFonts w:cs="Times New Roman"/>
      <w:b/>
      <w:color w:val="000000"/>
      <w:sz w:val="28"/>
      <w:szCs w:val="33"/>
      <w:lang w:eastAsia="ru-RU"/>
    </w:rPr>
  </w:style>
  <w:style w:type="table" w:customStyle="1" w:styleId="TableNormal1">
    <w:name w:val="Table Normal1"/>
    <w:rsid w:val="00247221"/>
    <w:tblPr>
      <w:tblCellMar>
        <w:top w:w="0" w:type="dxa"/>
        <w:left w:w="0" w:type="dxa"/>
        <w:bottom w:w="0" w:type="dxa"/>
        <w:right w:w="0" w:type="dxa"/>
      </w:tblCellMar>
    </w:tblPr>
  </w:style>
  <w:style w:type="table" w:customStyle="1" w:styleId="TableNormal2">
    <w:name w:val="Table Normal2"/>
    <w:rsid w:val="00247221"/>
    <w:tblPr>
      <w:tblCellMar>
        <w:top w:w="0" w:type="dxa"/>
        <w:left w:w="0" w:type="dxa"/>
        <w:bottom w:w="0" w:type="dxa"/>
        <w:right w:w="0" w:type="dxa"/>
      </w:tblCellMar>
    </w:tblPr>
  </w:style>
  <w:style w:type="table" w:customStyle="1" w:styleId="TableNormal3">
    <w:name w:val="Table Normal3"/>
    <w:rsid w:val="00247221"/>
    <w:tblPr>
      <w:tblCellMar>
        <w:top w:w="0" w:type="dxa"/>
        <w:left w:w="0" w:type="dxa"/>
        <w:bottom w:w="0" w:type="dxa"/>
        <w:right w:w="0" w:type="dxa"/>
      </w:tblCellMar>
    </w:tblPr>
  </w:style>
  <w:style w:type="table" w:customStyle="1" w:styleId="TableNormal4">
    <w:name w:val="Table Normal4"/>
    <w:rsid w:val="00247221"/>
    <w:tblPr>
      <w:tblCellMar>
        <w:top w:w="0" w:type="dxa"/>
        <w:left w:w="0" w:type="dxa"/>
        <w:bottom w:w="0" w:type="dxa"/>
        <w:right w:w="0" w:type="dxa"/>
      </w:tblCellMar>
    </w:tblPr>
  </w:style>
  <w:style w:type="table" w:customStyle="1" w:styleId="TableNormal10">
    <w:name w:val="Table Normal1"/>
    <w:rsid w:val="00247221"/>
    <w:tblPr>
      <w:tblCellMar>
        <w:top w:w="0" w:type="dxa"/>
        <w:left w:w="0" w:type="dxa"/>
        <w:bottom w:w="0" w:type="dxa"/>
        <w:right w:w="0" w:type="dxa"/>
      </w:tblCellMar>
    </w:tblPr>
  </w:style>
  <w:style w:type="table" w:customStyle="1" w:styleId="TableNormal20">
    <w:name w:val="Table Normal2"/>
    <w:rsid w:val="00247221"/>
    <w:tblPr>
      <w:tblCellMar>
        <w:top w:w="0" w:type="dxa"/>
        <w:left w:w="0" w:type="dxa"/>
        <w:bottom w:w="0" w:type="dxa"/>
        <w:right w:w="0" w:type="dxa"/>
      </w:tblCellMar>
    </w:tblPr>
  </w:style>
  <w:style w:type="table" w:customStyle="1" w:styleId="TableNormal30">
    <w:name w:val="Table Normal3"/>
    <w:rsid w:val="00247221"/>
    <w:tblPr>
      <w:tblCellMar>
        <w:top w:w="0" w:type="dxa"/>
        <w:left w:w="0" w:type="dxa"/>
        <w:bottom w:w="0" w:type="dxa"/>
        <w:right w:w="0" w:type="dxa"/>
      </w:tblCellMar>
    </w:tblPr>
  </w:style>
  <w:style w:type="table" w:customStyle="1" w:styleId="TableNormal40">
    <w:name w:val="Table Normal4"/>
    <w:rsid w:val="00247221"/>
    <w:tblPr>
      <w:tblCellMar>
        <w:top w:w="0" w:type="dxa"/>
        <w:left w:w="0" w:type="dxa"/>
        <w:bottom w:w="0" w:type="dxa"/>
        <w:right w:w="0" w:type="dxa"/>
      </w:tblCellMar>
    </w:tblPr>
  </w:style>
  <w:style w:type="table" w:customStyle="1" w:styleId="TableNormal5">
    <w:name w:val="Table Normal5"/>
    <w:rsid w:val="00247221"/>
    <w:tblPr>
      <w:tblCellMar>
        <w:top w:w="0" w:type="dxa"/>
        <w:left w:w="0" w:type="dxa"/>
        <w:bottom w:w="0" w:type="dxa"/>
        <w:right w:w="0" w:type="dxa"/>
      </w:tblCellMar>
    </w:tblPr>
  </w:style>
  <w:style w:type="table" w:customStyle="1" w:styleId="TableNormal6">
    <w:name w:val="Table Normal6"/>
    <w:rsid w:val="00247221"/>
    <w:tblPr>
      <w:tblCellMar>
        <w:top w:w="0" w:type="dxa"/>
        <w:left w:w="0" w:type="dxa"/>
        <w:bottom w:w="0" w:type="dxa"/>
        <w:right w:w="0" w:type="dxa"/>
      </w:tblCellMar>
    </w:tblPr>
  </w:style>
  <w:style w:type="table" w:customStyle="1" w:styleId="TableNormal7">
    <w:name w:val="Table Normal7"/>
    <w:rsid w:val="00247221"/>
    <w:tblPr>
      <w:tblCellMar>
        <w:top w:w="0" w:type="dxa"/>
        <w:left w:w="0" w:type="dxa"/>
        <w:bottom w:w="0" w:type="dxa"/>
        <w:right w:w="0" w:type="dxa"/>
      </w:tblCellMar>
    </w:tblPr>
  </w:style>
  <w:style w:type="table" w:customStyle="1" w:styleId="TableNormal8">
    <w:name w:val="Table Normal8"/>
    <w:rsid w:val="00247221"/>
    <w:tblPr>
      <w:tblCellMar>
        <w:top w:w="0" w:type="dxa"/>
        <w:left w:w="0" w:type="dxa"/>
        <w:bottom w:w="0" w:type="dxa"/>
        <w:right w:w="0" w:type="dxa"/>
      </w:tblCellMar>
    </w:tblPr>
  </w:style>
  <w:style w:type="table" w:customStyle="1" w:styleId="TableNormal11">
    <w:name w:val="Table Normal1"/>
    <w:rsid w:val="00247221"/>
    <w:tblPr>
      <w:tblCellMar>
        <w:top w:w="0" w:type="dxa"/>
        <w:left w:w="0" w:type="dxa"/>
        <w:bottom w:w="0" w:type="dxa"/>
        <w:right w:w="0" w:type="dxa"/>
      </w:tblCellMar>
    </w:tblPr>
  </w:style>
  <w:style w:type="character" w:customStyle="1" w:styleId="WW8Num1z0">
    <w:name w:val="WW8Num1z0"/>
    <w:rsid w:val="00247221"/>
    <w:rPr>
      <w:rFonts w:cs="Times New Roman"/>
    </w:rPr>
  </w:style>
  <w:style w:type="character" w:customStyle="1" w:styleId="WW8Num1z1">
    <w:name w:val="WW8Num1z1"/>
    <w:rsid w:val="00247221"/>
  </w:style>
  <w:style w:type="character" w:customStyle="1" w:styleId="WW8Num1z2">
    <w:name w:val="WW8Num1z2"/>
    <w:rsid w:val="00247221"/>
  </w:style>
  <w:style w:type="character" w:customStyle="1" w:styleId="WW8Num1z3">
    <w:name w:val="WW8Num1z3"/>
    <w:rsid w:val="00247221"/>
  </w:style>
  <w:style w:type="character" w:customStyle="1" w:styleId="WW8Num1z4">
    <w:name w:val="WW8Num1z4"/>
    <w:rsid w:val="00247221"/>
  </w:style>
  <w:style w:type="character" w:customStyle="1" w:styleId="WW8Num1z5">
    <w:name w:val="WW8Num1z5"/>
    <w:rsid w:val="00247221"/>
  </w:style>
  <w:style w:type="character" w:customStyle="1" w:styleId="WW8Num1z6">
    <w:name w:val="WW8Num1z6"/>
    <w:rsid w:val="00247221"/>
  </w:style>
  <w:style w:type="character" w:customStyle="1" w:styleId="WW8Num1z7">
    <w:name w:val="WW8Num1z7"/>
    <w:rsid w:val="00247221"/>
  </w:style>
  <w:style w:type="character" w:customStyle="1" w:styleId="WW8Num1z8">
    <w:name w:val="WW8Num1z8"/>
    <w:rsid w:val="00247221"/>
  </w:style>
  <w:style w:type="character" w:customStyle="1" w:styleId="WW8Num2z0">
    <w:name w:val="WW8Num2z0"/>
    <w:rsid w:val="00247221"/>
    <w:rPr>
      <w:rFonts w:ascii="Times New Roman" w:hAnsi="Times New Roman" w:cs="Times New Roman"/>
      <w:b w:val="0"/>
      <w:bCs/>
      <w:iCs/>
      <w:color w:val="000000"/>
      <w:sz w:val="28"/>
      <w:szCs w:val="28"/>
      <w:highlight w:val="white"/>
      <w:lang w:val="uk-UA" w:eastAsia="uk-UA"/>
    </w:rPr>
  </w:style>
  <w:style w:type="character" w:customStyle="1" w:styleId="WW8Num3z0">
    <w:name w:val="WW8Num3z0"/>
    <w:rsid w:val="00247221"/>
    <w:rPr>
      <w:rFonts w:ascii="Times New Roman" w:hAnsi="Times New Roman" w:cs="Times New Roman"/>
      <w:sz w:val="24"/>
      <w:szCs w:val="24"/>
      <w:lang w:eastAsia="ru-RU"/>
    </w:rPr>
  </w:style>
  <w:style w:type="character" w:customStyle="1" w:styleId="WW8Num4z0">
    <w:name w:val="WW8Num4z0"/>
    <w:rsid w:val="00247221"/>
    <w:rPr>
      <w:rFonts w:ascii="Times New Roman" w:hAnsi="Times New Roman" w:cs="Times New Roman"/>
      <w:sz w:val="24"/>
      <w:szCs w:val="24"/>
    </w:rPr>
  </w:style>
  <w:style w:type="character" w:customStyle="1" w:styleId="WW8Num5z0">
    <w:name w:val="WW8Num5z0"/>
    <w:rsid w:val="00247221"/>
  </w:style>
  <w:style w:type="character" w:customStyle="1" w:styleId="WW8Num5z1">
    <w:name w:val="WW8Num5z1"/>
    <w:rsid w:val="00247221"/>
  </w:style>
  <w:style w:type="character" w:customStyle="1" w:styleId="WW8Num5z2">
    <w:name w:val="WW8Num5z2"/>
    <w:rsid w:val="00247221"/>
    <w:rPr>
      <w:rFonts w:ascii="Wingdings" w:hAnsi="Wingdings" w:cs="Wingdings"/>
      <w:sz w:val="20"/>
    </w:rPr>
  </w:style>
  <w:style w:type="character" w:customStyle="1" w:styleId="WW8Num5z3">
    <w:name w:val="WW8Num5z3"/>
    <w:rsid w:val="00247221"/>
  </w:style>
  <w:style w:type="character" w:customStyle="1" w:styleId="WW8Num5z4">
    <w:name w:val="WW8Num5z4"/>
    <w:rsid w:val="00247221"/>
  </w:style>
  <w:style w:type="character" w:customStyle="1" w:styleId="WW8Num5z5">
    <w:name w:val="WW8Num5z5"/>
    <w:rsid w:val="00247221"/>
  </w:style>
  <w:style w:type="character" w:customStyle="1" w:styleId="WW8Num5z6">
    <w:name w:val="WW8Num5z6"/>
    <w:rsid w:val="00247221"/>
  </w:style>
  <w:style w:type="character" w:customStyle="1" w:styleId="WW8Num5z7">
    <w:name w:val="WW8Num5z7"/>
    <w:rsid w:val="00247221"/>
  </w:style>
  <w:style w:type="character" w:customStyle="1" w:styleId="WW8Num5z8">
    <w:name w:val="WW8Num5z8"/>
    <w:rsid w:val="00247221"/>
  </w:style>
  <w:style w:type="character" w:customStyle="1" w:styleId="WW8Num6z0">
    <w:name w:val="WW8Num6z0"/>
    <w:rsid w:val="00247221"/>
  </w:style>
  <w:style w:type="character" w:customStyle="1" w:styleId="WW8Num6z1">
    <w:name w:val="WW8Num6z1"/>
    <w:rsid w:val="00247221"/>
  </w:style>
  <w:style w:type="character" w:customStyle="1" w:styleId="WW8Num6z2">
    <w:name w:val="WW8Num6z2"/>
    <w:rsid w:val="00247221"/>
    <w:rPr>
      <w:rFonts w:ascii="Wingdings" w:hAnsi="Wingdings" w:cs="Wingdings"/>
      <w:color w:val="000000"/>
      <w:sz w:val="20"/>
      <w:szCs w:val="28"/>
      <w:highlight w:val="yellow"/>
      <w:lang w:eastAsia="uk-UA"/>
    </w:rPr>
  </w:style>
  <w:style w:type="character" w:customStyle="1" w:styleId="WW8Num6z3">
    <w:name w:val="WW8Num6z3"/>
    <w:rsid w:val="00247221"/>
  </w:style>
  <w:style w:type="character" w:customStyle="1" w:styleId="WW8Num6z4">
    <w:name w:val="WW8Num6z4"/>
    <w:rsid w:val="00247221"/>
  </w:style>
  <w:style w:type="character" w:customStyle="1" w:styleId="WW8Num6z5">
    <w:name w:val="WW8Num6z5"/>
    <w:rsid w:val="00247221"/>
  </w:style>
  <w:style w:type="character" w:customStyle="1" w:styleId="WW8Num6z6">
    <w:name w:val="WW8Num6z6"/>
    <w:rsid w:val="00247221"/>
  </w:style>
  <w:style w:type="character" w:customStyle="1" w:styleId="WW8Num6z7">
    <w:name w:val="WW8Num6z7"/>
    <w:rsid w:val="00247221"/>
  </w:style>
  <w:style w:type="character" w:customStyle="1" w:styleId="WW8Num6z8">
    <w:name w:val="WW8Num6z8"/>
    <w:rsid w:val="00247221"/>
  </w:style>
  <w:style w:type="character" w:customStyle="1" w:styleId="WW8Num7z0">
    <w:name w:val="WW8Num7z0"/>
    <w:rsid w:val="00247221"/>
  </w:style>
  <w:style w:type="character" w:customStyle="1" w:styleId="WW8Num7z1">
    <w:name w:val="WW8Num7z1"/>
    <w:rsid w:val="00247221"/>
    <w:rPr>
      <w:rFonts w:ascii="Times New Roman" w:hAnsi="Times New Roman" w:cs="Times New Roman"/>
      <w:color w:val="000000"/>
      <w:sz w:val="28"/>
      <w:szCs w:val="28"/>
      <w:lang w:eastAsia="uk-UA"/>
    </w:rPr>
  </w:style>
  <w:style w:type="character" w:customStyle="1" w:styleId="WW8Num7z2">
    <w:name w:val="WW8Num7z2"/>
    <w:rsid w:val="00247221"/>
  </w:style>
  <w:style w:type="character" w:customStyle="1" w:styleId="WW8Num7z3">
    <w:name w:val="WW8Num7z3"/>
    <w:rsid w:val="00247221"/>
  </w:style>
  <w:style w:type="character" w:customStyle="1" w:styleId="WW8Num7z4">
    <w:name w:val="WW8Num7z4"/>
    <w:rsid w:val="00247221"/>
  </w:style>
  <w:style w:type="character" w:customStyle="1" w:styleId="WW8Num7z5">
    <w:name w:val="WW8Num7z5"/>
    <w:rsid w:val="00247221"/>
  </w:style>
  <w:style w:type="character" w:customStyle="1" w:styleId="WW8Num7z6">
    <w:name w:val="WW8Num7z6"/>
    <w:rsid w:val="00247221"/>
  </w:style>
  <w:style w:type="character" w:customStyle="1" w:styleId="WW8Num7z7">
    <w:name w:val="WW8Num7z7"/>
    <w:rsid w:val="00247221"/>
  </w:style>
  <w:style w:type="character" w:customStyle="1" w:styleId="WW8Num7z8">
    <w:name w:val="WW8Num7z8"/>
    <w:rsid w:val="00247221"/>
  </w:style>
  <w:style w:type="character" w:customStyle="1" w:styleId="WW8Num8z0">
    <w:name w:val="WW8Num8z0"/>
    <w:rsid w:val="00247221"/>
  </w:style>
  <w:style w:type="character" w:customStyle="1" w:styleId="WW8Num8z1">
    <w:name w:val="WW8Num8z1"/>
    <w:rsid w:val="00247221"/>
  </w:style>
  <w:style w:type="character" w:customStyle="1" w:styleId="WW8Num8z2">
    <w:name w:val="WW8Num8z2"/>
    <w:rsid w:val="00247221"/>
    <w:rPr>
      <w:rFonts w:ascii="Wingdings" w:hAnsi="Wingdings" w:cs="Wingdings"/>
      <w:sz w:val="20"/>
    </w:rPr>
  </w:style>
  <w:style w:type="character" w:customStyle="1" w:styleId="WW8Num8z3">
    <w:name w:val="WW8Num8z3"/>
    <w:rsid w:val="00247221"/>
  </w:style>
  <w:style w:type="character" w:customStyle="1" w:styleId="WW8Num8z4">
    <w:name w:val="WW8Num8z4"/>
    <w:rsid w:val="00247221"/>
  </w:style>
  <w:style w:type="character" w:customStyle="1" w:styleId="WW8Num8z5">
    <w:name w:val="WW8Num8z5"/>
    <w:rsid w:val="00247221"/>
  </w:style>
  <w:style w:type="character" w:customStyle="1" w:styleId="WW8Num8z6">
    <w:name w:val="WW8Num8z6"/>
    <w:rsid w:val="00247221"/>
  </w:style>
  <w:style w:type="character" w:customStyle="1" w:styleId="WW8Num8z7">
    <w:name w:val="WW8Num8z7"/>
    <w:rsid w:val="00247221"/>
  </w:style>
  <w:style w:type="character" w:customStyle="1" w:styleId="WW8Num8z8">
    <w:name w:val="WW8Num8z8"/>
    <w:rsid w:val="00247221"/>
  </w:style>
  <w:style w:type="character" w:customStyle="1" w:styleId="WW8Num9z0">
    <w:name w:val="WW8Num9z0"/>
    <w:rsid w:val="00247221"/>
    <w:rPr>
      <w:rFonts w:ascii="Times New Roman" w:hAnsi="Times New Roman" w:cs="Times New Roman"/>
      <w:color w:val="000000"/>
      <w:sz w:val="28"/>
      <w:szCs w:val="28"/>
      <w:lang w:eastAsia="uk-UA"/>
    </w:rPr>
  </w:style>
  <w:style w:type="character" w:customStyle="1" w:styleId="WW8Num9z2">
    <w:name w:val="WW8Num9z2"/>
    <w:rsid w:val="00247221"/>
  </w:style>
  <w:style w:type="character" w:customStyle="1" w:styleId="WW8Num9z3">
    <w:name w:val="WW8Num9z3"/>
    <w:rsid w:val="00247221"/>
  </w:style>
  <w:style w:type="character" w:customStyle="1" w:styleId="WW8Num9z4">
    <w:name w:val="WW8Num9z4"/>
    <w:rsid w:val="00247221"/>
  </w:style>
  <w:style w:type="character" w:customStyle="1" w:styleId="WW8Num9z5">
    <w:name w:val="WW8Num9z5"/>
    <w:rsid w:val="00247221"/>
  </w:style>
  <w:style w:type="character" w:customStyle="1" w:styleId="WW8Num9z6">
    <w:name w:val="WW8Num9z6"/>
    <w:rsid w:val="00247221"/>
  </w:style>
  <w:style w:type="character" w:customStyle="1" w:styleId="WW8Num9z7">
    <w:name w:val="WW8Num9z7"/>
    <w:rsid w:val="00247221"/>
  </w:style>
  <w:style w:type="character" w:customStyle="1" w:styleId="WW8Num9z8">
    <w:name w:val="WW8Num9z8"/>
    <w:rsid w:val="00247221"/>
  </w:style>
  <w:style w:type="character" w:customStyle="1" w:styleId="WW8Num10z0">
    <w:name w:val="WW8Num10z0"/>
    <w:rsid w:val="00247221"/>
    <w:rPr>
      <w:rFonts w:ascii="Symbol" w:hAnsi="Symbol" w:cs="Symbol"/>
      <w:color w:val="000000"/>
      <w:sz w:val="20"/>
      <w:szCs w:val="28"/>
      <w:lang w:eastAsia="uk-UA"/>
    </w:rPr>
  </w:style>
  <w:style w:type="character" w:customStyle="1" w:styleId="WW8Num10z1">
    <w:name w:val="WW8Num10z1"/>
    <w:rsid w:val="00247221"/>
    <w:rPr>
      <w:rFonts w:ascii="Courier New" w:hAnsi="Courier New" w:cs="Courier New"/>
      <w:sz w:val="20"/>
    </w:rPr>
  </w:style>
  <w:style w:type="character" w:customStyle="1" w:styleId="WW8Num10z2">
    <w:name w:val="WW8Num10z2"/>
    <w:rsid w:val="00247221"/>
    <w:rPr>
      <w:rFonts w:ascii="Wingdings" w:hAnsi="Wingdings" w:cs="Wingdings"/>
      <w:sz w:val="20"/>
    </w:rPr>
  </w:style>
  <w:style w:type="character" w:customStyle="1" w:styleId="WW8Num9z1">
    <w:name w:val="WW8Num9z1"/>
    <w:rsid w:val="00247221"/>
  </w:style>
  <w:style w:type="character" w:customStyle="1" w:styleId="WW8Num10z3">
    <w:name w:val="WW8Num10z3"/>
    <w:rsid w:val="00247221"/>
  </w:style>
  <w:style w:type="character" w:customStyle="1" w:styleId="WW8Num10z4">
    <w:name w:val="WW8Num10z4"/>
    <w:rsid w:val="00247221"/>
  </w:style>
  <w:style w:type="character" w:customStyle="1" w:styleId="WW8Num10z5">
    <w:name w:val="WW8Num10z5"/>
    <w:rsid w:val="00247221"/>
  </w:style>
  <w:style w:type="character" w:customStyle="1" w:styleId="WW8Num10z6">
    <w:name w:val="WW8Num10z6"/>
    <w:rsid w:val="00247221"/>
  </w:style>
  <w:style w:type="character" w:customStyle="1" w:styleId="WW8Num10z7">
    <w:name w:val="WW8Num10z7"/>
    <w:rsid w:val="00247221"/>
  </w:style>
  <w:style w:type="character" w:customStyle="1" w:styleId="WW8Num10z8">
    <w:name w:val="WW8Num10z8"/>
    <w:rsid w:val="00247221"/>
  </w:style>
  <w:style w:type="character" w:customStyle="1" w:styleId="WW8Num11z0">
    <w:name w:val="WW8Num11z0"/>
    <w:rsid w:val="00247221"/>
    <w:rPr>
      <w:rFonts w:ascii="Symbol" w:hAnsi="Symbol" w:cs="Symbol"/>
      <w:color w:val="000000"/>
      <w:sz w:val="20"/>
      <w:szCs w:val="28"/>
      <w:lang w:eastAsia="uk-UA"/>
    </w:rPr>
  </w:style>
  <w:style w:type="character" w:customStyle="1" w:styleId="WW8Num11z1">
    <w:name w:val="WW8Num11z1"/>
    <w:rsid w:val="00247221"/>
    <w:rPr>
      <w:rFonts w:ascii="Courier New" w:hAnsi="Courier New" w:cs="Courier New"/>
      <w:sz w:val="20"/>
    </w:rPr>
  </w:style>
  <w:style w:type="character" w:customStyle="1" w:styleId="WW8Num11z2">
    <w:name w:val="WW8Num11z2"/>
    <w:rsid w:val="00247221"/>
    <w:rPr>
      <w:rFonts w:ascii="Wingdings" w:hAnsi="Wingdings" w:cs="Wingdings"/>
      <w:sz w:val="20"/>
    </w:rPr>
  </w:style>
  <w:style w:type="character" w:customStyle="1" w:styleId="WW8Num12z0">
    <w:name w:val="WW8Num12z0"/>
    <w:rsid w:val="00247221"/>
  </w:style>
  <w:style w:type="character" w:customStyle="1" w:styleId="WW8Num12z1">
    <w:name w:val="WW8Num12z1"/>
    <w:rsid w:val="00247221"/>
  </w:style>
  <w:style w:type="character" w:customStyle="1" w:styleId="WW8Num12z2">
    <w:name w:val="WW8Num12z2"/>
    <w:rsid w:val="00247221"/>
  </w:style>
  <w:style w:type="character" w:customStyle="1" w:styleId="WW8Num12z3">
    <w:name w:val="WW8Num12z3"/>
    <w:rsid w:val="00247221"/>
  </w:style>
  <w:style w:type="character" w:customStyle="1" w:styleId="WW8Num12z4">
    <w:name w:val="WW8Num12z4"/>
    <w:rsid w:val="00247221"/>
  </w:style>
  <w:style w:type="character" w:customStyle="1" w:styleId="WW8Num12z5">
    <w:name w:val="WW8Num12z5"/>
    <w:rsid w:val="00247221"/>
  </w:style>
  <w:style w:type="character" w:customStyle="1" w:styleId="WW8Num12z6">
    <w:name w:val="WW8Num12z6"/>
    <w:rsid w:val="00247221"/>
  </w:style>
  <w:style w:type="character" w:customStyle="1" w:styleId="WW8Num12z7">
    <w:name w:val="WW8Num12z7"/>
    <w:rsid w:val="00247221"/>
  </w:style>
  <w:style w:type="character" w:customStyle="1" w:styleId="WW8Num12z8">
    <w:name w:val="WW8Num12z8"/>
    <w:rsid w:val="00247221"/>
  </w:style>
  <w:style w:type="character" w:customStyle="1" w:styleId="WW8Num13z0">
    <w:name w:val="WW8Num13z0"/>
    <w:rsid w:val="00247221"/>
    <w:rPr>
      <w:rFonts w:ascii="Times New Roman" w:hAnsi="Times New Roman" w:cs="Times New Roman"/>
    </w:rPr>
  </w:style>
  <w:style w:type="character" w:customStyle="1" w:styleId="WW8Num13z1">
    <w:name w:val="WW8Num13z1"/>
    <w:rsid w:val="00247221"/>
    <w:rPr>
      <w:rFonts w:ascii="Courier New" w:hAnsi="Courier New" w:cs="Courier New"/>
    </w:rPr>
  </w:style>
  <w:style w:type="character" w:customStyle="1" w:styleId="WW8Num13z2">
    <w:name w:val="WW8Num13z2"/>
    <w:rsid w:val="00247221"/>
    <w:rPr>
      <w:rFonts w:ascii="Wingdings" w:hAnsi="Wingdings" w:cs="Wingdings"/>
    </w:rPr>
  </w:style>
  <w:style w:type="character" w:customStyle="1" w:styleId="WW8Num13z3">
    <w:name w:val="WW8Num13z3"/>
    <w:rsid w:val="00247221"/>
    <w:rPr>
      <w:rFonts w:ascii="Symbol" w:hAnsi="Symbol" w:cs="Symbol"/>
    </w:rPr>
  </w:style>
  <w:style w:type="character" w:customStyle="1" w:styleId="12">
    <w:name w:val="Основной шрифт абзаца1"/>
    <w:rsid w:val="00247221"/>
  </w:style>
  <w:style w:type="character" w:customStyle="1" w:styleId="100">
    <w:name w:val="Основной шрифт абзаца10"/>
    <w:rsid w:val="00247221"/>
  </w:style>
  <w:style w:type="character" w:customStyle="1" w:styleId="90">
    <w:name w:val="Основной шрифт абзаца9"/>
    <w:rsid w:val="00247221"/>
  </w:style>
  <w:style w:type="character" w:customStyle="1" w:styleId="80">
    <w:name w:val="Основной шрифт абзаца8"/>
    <w:rsid w:val="00247221"/>
  </w:style>
  <w:style w:type="character" w:customStyle="1" w:styleId="70">
    <w:name w:val="Основной шрифт абзаца7"/>
    <w:rsid w:val="00247221"/>
  </w:style>
  <w:style w:type="character" w:customStyle="1" w:styleId="60">
    <w:name w:val="Основной шрифт абзаца6"/>
    <w:rsid w:val="00247221"/>
  </w:style>
  <w:style w:type="character" w:customStyle="1" w:styleId="50">
    <w:name w:val="Основной шрифт абзаца5"/>
    <w:rsid w:val="00247221"/>
  </w:style>
  <w:style w:type="character" w:customStyle="1" w:styleId="40">
    <w:name w:val="Основной шрифт абзаца4"/>
    <w:rsid w:val="00247221"/>
  </w:style>
  <w:style w:type="character" w:customStyle="1" w:styleId="30">
    <w:name w:val="Основной шрифт абзаца3"/>
    <w:rsid w:val="00247221"/>
  </w:style>
  <w:style w:type="character" w:customStyle="1" w:styleId="WW8Num4z1">
    <w:name w:val="WW8Num4z1"/>
    <w:rsid w:val="00247221"/>
  </w:style>
  <w:style w:type="character" w:customStyle="1" w:styleId="WW8Num4z2">
    <w:name w:val="WW8Num4z2"/>
    <w:rsid w:val="00247221"/>
  </w:style>
  <w:style w:type="character" w:customStyle="1" w:styleId="WW8Num4z3">
    <w:name w:val="WW8Num4z3"/>
    <w:rsid w:val="00247221"/>
  </w:style>
  <w:style w:type="character" w:customStyle="1" w:styleId="WW8Num4z4">
    <w:name w:val="WW8Num4z4"/>
    <w:rsid w:val="00247221"/>
  </w:style>
  <w:style w:type="character" w:customStyle="1" w:styleId="WW8Num4z5">
    <w:name w:val="WW8Num4z5"/>
    <w:rsid w:val="00247221"/>
  </w:style>
  <w:style w:type="character" w:customStyle="1" w:styleId="WW8Num4z6">
    <w:name w:val="WW8Num4z6"/>
    <w:rsid w:val="00247221"/>
  </w:style>
  <w:style w:type="character" w:customStyle="1" w:styleId="WW8Num4z7">
    <w:name w:val="WW8Num4z7"/>
    <w:rsid w:val="00247221"/>
  </w:style>
  <w:style w:type="character" w:customStyle="1" w:styleId="WW8Num4z8">
    <w:name w:val="WW8Num4z8"/>
    <w:rsid w:val="00247221"/>
  </w:style>
  <w:style w:type="character" w:customStyle="1" w:styleId="WW8Num11z3">
    <w:name w:val="WW8Num11z3"/>
    <w:rsid w:val="00247221"/>
  </w:style>
  <w:style w:type="character" w:customStyle="1" w:styleId="WW8Num11z4">
    <w:name w:val="WW8Num11z4"/>
    <w:rsid w:val="00247221"/>
  </w:style>
  <w:style w:type="character" w:customStyle="1" w:styleId="WW8Num11z5">
    <w:name w:val="WW8Num11z5"/>
    <w:rsid w:val="00247221"/>
  </w:style>
  <w:style w:type="character" w:customStyle="1" w:styleId="WW8Num11z6">
    <w:name w:val="WW8Num11z6"/>
    <w:rsid w:val="00247221"/>
  </w:style>
  <w:style w:type="character" w:customStyle="1" w:styleId="WW8Num11z7">
    <w:name w:val="WW8Num11z7"/>
    <w:rsid w:val="00247221"/>
  </w:style>
  <w:style w:type="character" w:customStyle="1" w:styleId="WW8Num11z8">
    <w:name w:val="WW8Num11z8"/>
    <w:rsid w:val="00247221"/>
  </w:style>
  <w:style w:type="character" w:customStyle="1" w:styleId="WW8Num13z4">
    <w:name w:val="WW8Num13z4"/>
    <w:rsid w:val="00247221"/>
  </w:style>
  <w:style w:type="character" w:customStyle="1" w:styleId="WW8Num13z5">
    <w:name w:val="WW8Num13z5"/>
    <w:rsid w:val="00247221"/>
  </w:style>
  <w:style w:type="character" w:customStyle="1" w:styleId="WW8Num13z6">
    <w:name w:val="WW8Num13z6"/>
    <w:rsid w:val="00247221"/>
  </w:style>
  <w:style w:type="character" w:customStyle="1" w:styleId="WW8Num13z7">
    <w:name w:val="WW8Num13z7"/>
    <w:rsid w:val="00247221"/>
  </w:style>
  <w:style w:type="character" w:customStyle="1" w:styleId="WW8Num13z8">
    <w:name w:val="WW8Num13z8"/>
    <w:rsid w:val="00247221"/>
  </w:style>
  <w:style w:type="character" w:customStyle="1" w:styleId="WW8Num14z0">
    <w:name w:val="WW8Num14z0"/>
    <w:rsid w:val="00247221"/>
    <w:rPr>
      <w:rFonts w:ascii="Times New Roman" w:eastAsia="Calibri" w:hAnsi="Times New Roman" w:cs="Times New Roman"/>
    </w:rPr>
  </w:style>
  <w:style w:type="character" w:customStyle="1" w:styleId="WW8Num14z1">
    <w:name w:val="WW8Num14z1"/>
    <w:rsid w:val="00247221"/>
    <w:rPr>
      <w:rFonts w:ascii="Courier New" w:hAnsi="Courier New" w:cs="Courier New"/>
    </w:rPr>
  </w:style>
  <w:style w:type="character" w:customStyle="1" w:styleId="WW8Num14z2">
    <w:name w:val="WW8Num14z2"/>
    <w:rsid w:val="00247221"/>
    <w:rPr>
      <w:rFonts w:ascii="Wingdings" w:hAnsi="Wingdings" w:cs="Wingdings"/>
    </w:rPr>
  </w:style>
  <w:style w:type="character" w:customStyle="1" w:styleId="WW8Num14z3">
    <w:name w:val="WW8Num14z3"/>
    <w:rsid w:val="00247221"/>
    <w:rPr>
      <w:rFonts w:ascii="Symbol" w:hAnsi="Symbol" w:cs="Symbol"/>
    </w:rPr>
  </w:style>
  <w:style w:type="character" w:customStyle="1" w:styleId="WW8Num15z0">
    <w:name w:val="WW8Num15z0"/>
    <w:rsid w:val="00247221"/>
    <w:rPr>
      <w:rFonts w:ascii="Times New Roman" w:eastAsia="Calibri" w:hAnsi="Times New Roman" w:cs="Times New Roman"/>
    </w:rPr>
  </w:style>
  <w:style w:type="character" w:customStyle="1" w:styleId="WW8Num15z1">
    <w:name w:val="WW8Num15z1"/>
    <w:rsid w:val="00247221"/>
    <w:rPr>
      <w:rFonts w:ascii="Courier New" w:hAnsi="Courier New" w:cs="Courier New"/>
    </w:rPr>
  </w:style>
  <w:style w:type="character" w:customStyle="1" w:styleId="WW8Num15z2">
    <w:name w:val="WW8Num15z2"/>
    <w:rsid w:val="00247221"/>
    <w:rPr>
      <w:rFonts w:ascii="Wingdings" w:hAnsi="Wingdings" w:cs="Wingdings"/>
    </w:rPr>
  </w:style>
  <w:style w:type="character" w:customStyle="1" w:styleId="WW8Num15z3">
    <w:name w:val="WW8Num15z3"/>
    <w:rsid w:val="00247221"/>
    <w:rPr>
      <w:rFonts w:ascii="Symbol" w:hAnsi="Symbol" w:cs="Symbol"/>
    </w:rPr>
  </w:style>
  <w:style w:type="character" w:customStyle="1" w:styleId="WW8Num16z0">
    <w:name w:val="WW8Num16z0"/>
    <w:rsid w:val="00247221"/>
    <w:rPr>
      <w:rFonts w:ascii="Times New Roman" w:eastAsia="Times New Roman" w:hAnsi="Times New Roman" w:cs="Times New Roman"/>
      <w:color w:val="000000"/>
      <w:sz w:val="28"/>
      <w:szCs w:val="28"/>
    </w:rPr>
  </w:style>
  <w:style w:type="character" w:customStyle="1" w:styleId="WW8Num16z1">
    <w:name w:val="WW8Num16z1"/>
    <w:rsid w:val="00247221"/>
    <w:rPr>
      <w:rFonts w:ascii="Courier New" w:hAnsi="Courier New" w:cs="Courier New"/>
    </w:rPr>
  </w:style>
  <w:style w:type="character" w:customStyle="1" w:styleId="WW8Num16z2">
    <w:name w:val="WW8Num16z2"/>
    <w:rsid w:val="00247221"/>
    <w:rPr>
      <w:rFonts w:ascii="Wingdings" w:hAnsi="Wingdings" w:cs="Wingdings"/>
    </w:rPr>
  </w:style>
  <w:style w:type="character" w:customStyle="1" w:styleId="WW8Num16z3">
    <w:name w:val="WW8Num16z3"/>
    <w:rsid w:val="00247221"/>
    <w:rPr>
      <w:rFonts w:ascii="Symbol" w:hAnsi="Symbol" w:cs="Symbol"/>
    </w:rPr>
  </w:style>
  <w:style w:type="character" w:customStyle="1" w:styleId="WW8Num17z0">
    <w:name w:val="WW8Num17z0"/>
    <w:rsid w:val="00247221"/>
  </w:style>
  <w:style w:type="character" w:customStyle="1" w:styleId="WW8Num17z1">
    <w:name w:val="WW8Num17z1"/>
    <w:rsid w:val="00247221"/>
  </w:style>
  <w:style w:type="character" w:customStyle="1" w:styleId="WW8Num17z2">
    <w:name w:val="WW8Num17z2"/>
    <w:rsid w:val="00247221"/>
  </w:style>
  <w:style w:type="character" w:customStyle="1" w:styleId="WW8Num17z3">
    <w:name w:val="WW8Num17z3"/>
    <w:rsid w:val="00247221"/>
  </w:style>
  <w:style w:type="character" w:customStyle="1" w:styleId="WW8Num17z4">
    <w:name w:val="WW8Num17z4"/>
    <w:rsid w:val="00247221"/>
  </w:style>
  <w:style w:type="character" w:customStyle="1" w:styleId="WW8Num17z5">
    <w:name w:val="WW8Num17z5"/>
    <w:rsid w:val="00247221"/>
  </w:style>
  <w:style w:type="character" w:customStyle="1" w:styleId="WW8Num17z6">
    <w:name w:val="WW8Num17z6"/>
    <w:rsid w:val="00247221"/>
  </w:style>
  <w:style w:type="character" w:customStyle="1" w:styleId="WW8Num17z7">
    <w:name w:val="WW8Num17z7"/>
    <w:rsid w:val="00247221"/>
  </w:style>
  <w:style w:type="character" w:customStyle="1" w:styleId="WW8Num17z8">
    <w:name w:val="WW8Num17z8"/>
    <w:rsid w:val="00247221"/>
  </w:style>
  <w:style w:type="character" w:customStyle="1" w:styleId="20">
    <w:name w:val="Основной шрифт абзаца2"/>
    <w:rsid w:val="00247221"/>
  </w:style>
  <w:style w:type="character" w:customStyle="1" w:styleId="WW8Num2z1">
    <w:name w:val="WW8Num2z1"/>
    <w:rsid w:val="00247221"/>
    <w:rPr>
      <w:rFonts w:cs="Times New Roman"/>
    </w:rPr>
  </w:style>
  <w:style w:type="character" w:customStyle="1" w:styleId="WW8Num3z1">
    <w:name w:val="WW8Num3z1"/>
    <w:rsid w:val="00247221"/>
    <w:rPr>
      <w:rFonts w:ascii="Courier New" w:hAnsi="Courier New" w:cs="Courier New"/>
    </w:rPr>
  </w:style>
  <w:style w:type="character" w:customStyle="1" w:styleId="WW8Num3z2">
    <w:name w:val="WW8Num3z2"/>
    <w:rsid w:val="00247221"/>
    <w:rPr>
      <w:rFonts w:ascii="Wingdings" w:hAnsi="Wingdings" w:cs="Wingdings"/>
    </w:rPr>
  </w:style>
  <w:style w:type="character" w:customStyle="1" w:styleId="WW8Num3z3">
    <w:name w:val="WW8Num3z3"/>
    <w:rsid w:val="00247221"/>
    <w:rPr>
      <w:rFonts w:ascii="Symbol" w:hAnsi="Symbol" w:cs="Symbol"/>
    </w:rPr>
  </w:style>
  <w:style w:type="character" w:customStyle="1" w:styleId="WW8NumSt15z0">
    <w:name w:val="WW8NumSt15z0"/>
    <w:rsid w:val="00247221"/>
    <w:rPr>
      <w:rFonts w:ascii="Times New Roman" w:hAnsi="Times New Roman" w:cs="Times New Roman"/>
    </w:rPr>
  </w:style>
  <w:style w:type="character" w:customStyle="1" w:styleId="WW8NumSt16z0">
    <w:name w:val="WW8NumSt16z0"/>
    <w:rsid w:val="00247221"/>
    <w:rPr>
      <w:rFonts w:ascii="Times New Roman" w:hAnsi="Times New Roman" w:cs="Times New Roman"/>
      <w:sz w:val="28"/>
      <w:szCs w:val="28"/>
    </w:rPr>
  </w:style>
  <w:style w:type="character" w:customStyle="1" w:styleId="13">
    <w:name w:val="Основной шрифт абзаца1"/>
    <w:rsid w:val="00247221"/>
  </w:style>
  <w:style w:type="character" w:customStyle="1" w:styleId="14">
    <w:name w:val="Заголовок 1 Знак"/>
    <w:rsid w:val="00247221"/>
    <w:rPr>
      <w:rFonts w:ascii="Times New Roman" w:hAnsi="Times New Roman" w:cs="Times New Roman"/>
      <w:b/>
      <w:sz w:val="20"/>
      <w:szCs w:val="20"/>
      <w:lang w:val="uk-UA"/>
    </w:rPr>
  </w:style>
  <w:style w:type="character" w:customStyle="1" w:styleId="22">
    <w:name w:val="Заголовок 2 Знак"/>
    <w:rsid w:val="00247221"/>
    <w:rPr>
      <w:rFonts w:ascii="Arial" w:hAnsi="Arial" w:cs="Arial"/>
      <w:b/>
      <w:bCs/>
      <w:i/>
      <w:iCs/>
      <w:sz w:val="28"/>
      <w:szCs w:val="28"/>
      <w:lang w:val="uk-UA"/>
    </w:rPr>
  </w:style>
  <w:style w:type="character" w:customStyle="1" w:styleId="32">
    <w:name w:val="Заголовок 3 Знак"/>
    <w:rsid w:val="00247221"/>
    <w:rPr>
      <w:rFonts w:ascii="Arial" w:hAnsi="Arial" w:cs="Arial"/>
      <w:b/>
      <w:bCs/>
      <w:sz w:val="26"/>
      <w:szCs w:val="26"/>
      <w:lang w:val="uk-UA"/>
    </w:rPr>
  </w:style>
  <w:style w:type="character" w:customStyle="1" w:styleId="42">
    <w:name w:val="Заголовок 4 Знак"/>
    <w:rsid w:val="00247221"/>
    <w:rPr>
      <w:rFonts w:ascii="Times New Roman" w:hAnsi="Times New Roman" w:cs="Times New Roman"/>
      <w:b/>
      <w:sz w:val="20"/>
      <w:szCs w:val="20"/>
      <w:lang w:val="uk-UA"/>
    </w:rPr>
  </w:style>
  <w:style w:type="character" w:customStyle="1" w:styleId="52">
    <w:name w:val="Заголовок 5 Знак"/>
    <w:rsid w:val="00247221"/>
    <w:rPr>
      <w:rFonts w:ascii="Times New Roman" w:hAnsi="Times New Roman" w:cs="Times New Roman"/>
      <w:b/>
      <w:bCs/>
      <w:i/>
      <w:iCs/>
      <w:sz w:val="26"/>
      <w:szCs w:val="26"/>
      <w:lang w:val="uk-UA"/>
    </w:rPr>
  </w:style>
  <w:style w:type="character" w:customStyle="1" w:styleId="62">
    <w:name w:val="Заголовок 6 Знак"/>
    <w:rsid w:val="00247221"/>
    <w:rPr>
      <w:rFonts w:ascii="Times New Roman" w:hAnsi="Times New Roman" w:cs="Times New Roman"/>
      <w:b/>
      <w:sz w:val="20"/>
      <w:szCs w:val="20"/>
      <w:lang w:val="uk-UA"/>
    </w:rPr>
  </w:style>
  <w:style w:type="character" w:customStyle="1" w:styleId="72">
    <w:name w:val="Заголовок 7 Знак"/>
    <w:rsid w:val="00247221"/>
    <w:rPr>
      <w:rFonts w:ascii="UkrainianBaltica" w:hAnsi="UkrainianBaltica" w:cs="Times New Roman"/>
      <w:b/>
      <w:sz w:val="20"/>
      <w:szCs w:val="20"/>
    </w:rPr>
  </w:style>
  <w:style w:type="character" w:customStyle="1" w:styleId="82">
    <w:name w:val="Заголовок 8 Знак"/>
    <w:rsid w:val="00247221"/>
    <w:rPr>
      <w:rFonts w:ascii="UkrainianBaltica" w:hAnsi="UkrainianBaltica" w:cs="Times New Roman"/>
      <w:b/>
      <w:sz w:val="20"/>
      <w:szCs w:val="20"/>
    </w:rPr>
  </w:style>
  <w:style w:type="character" w:customStyle="1" w:styleId="92">
    <w:name w:val="Заголовок 9 Знак"/>
    <w:rsid w:val="00247221"/>
    <w:rPr>
      <w:rFonts w:ascii="Times New Roman" w:hAnsi="Times New Roman" w:cs="Times New Roman"/>
      <w:b/>
      <w:sz w:val="20"/>
      <w:szCs w:val="20"/>
      <w:lang w:val="uk-UA"/>
    </w:rPr>
  </w:style>
  <w:style w:type="character" w:styleId="a4">
    <w:name w:val="Strong"/>
    <w:uiPriority w:val="22"/>
    <w:qFormat/>
    <w:rsid w:val="00247221"/>
    <w:rPr>
      <w:rFonts w:cs="Times New Roman"/>
      <w:b/>
      <w:bCs/>
    </w:rPr>
  </w:style>
  <w:style w:type="character" w:customStyle="1" w:styleId="StyleZakonu">
    <w:name w:val="StyleZakonu Знак"/>
    <w:rsid w:val="00247221"/>
    <w:rPr>
      <w:rFonts w:ascii="Times New Roman" w:hAnsi="Times New Roman" w:cs="Times New Roman"/>
      <w:sz w:val="20"/>
      <w:szCs w:val="20"/>
      <w:lang w:val="uk-UA"/>
    </w:rPr>
  </w:style>
  <w:style w:type="character" w:customStyle="1" w:styleId="HTML">
    <w:name w:val="Стандартный HTML Знак"/>
    <w:rsid w:val="00247221"/>
    <w:rPr>
      <w:rFonts w:ascii="Courier New" w:hAnsi="Courier New" w:cs="Courier New"/>
      <w:sz w:val="20"/>
      <w:szCs w:val="20"/>
      <w:lang w:val="uk-UA"/>
    </w:rPr>
  </w:style>
  <w:style w:type="character" w:customStyle="1" w:styleId="a5">
    <w:name w:val="Заголовок Знак"/>
    <w:rsid w:val="00247221"/>
    <w:rPr>
      <w:rFonts w:ascii="Times New Roman" w:hAnsi="Times New Roman" w:cs="Times New Roman"/>
      <w:b/>
      <w:sz w:val="20"/>
      <w:szCs w:val="20"/>
      <w:lang w:val="uk-UA"/>
    </w:rPr>
  </w:style>
  <w:style w:type="character" w:customStyle="1" w:styleId="33">
    <w:name w:val="Основной текст с отступом 3 Знак"/>
    <w:rsid w:val="00247221"/>
    <w:rPr>
      <w:rFonts w:ascii="Times New Roman" w:hAnsi="Times New Roman" w:cs="Times New Roman"/>
      <w:sz w:val="16"/>
      <w:szCs w:val="16"/>
      <w:lang w:val="uk-UA"/>
    </w:rPr>
  </w:style>
  <w:style w:type="character" w:customStyle="1" w:styleId="a6">
    <w:name w:val="Схема документа Знак"/>
    <w:rsid w:val="00247221"/>
    <w:rPr>
      <w:rFonts w:ascii="Tahoma" w:hAnsi="Tahoma" w:cs="Tahoma"/>
      <w:sz w:val="20"/>
      <w:szCs w:val="20"/>
      <w:highlight w:val="darkBlue"/>
      <w:lang w:val="uk-UA"/>
    </w:rPr>
  </w:style>
  <w:style w:type="character" w:customStyle="1" w:styleId="DocumentMapChar1">
    <w:name w:val="Document Map Char1"/>
    <w:rsid w:val="00247221"/>
    <w:rPr>
      <w:rFonts w:ascii="Times New Roman" w:hAnsi="Times New Roman" w:cs="Times New Roman"/>
      <w:sz w:val="2"/>
      <w:szCs w:val="2"/>
      <w:lang w:val="uk-UA"/>
    </w:rPr>
  </w:style>
  <w:style w:type="character" w:customStyle="1" w:styleId="a7">
    <w:name w:val="Основной текст Знак"/>
    <w:rsid w:val="00247221"/>
    <w:rPr>
      <w:rFonts w:ascii="UkrainianBaltica" w:hAnsi="UkrainianBaltica" w:cs="Times New Roman"/>
      <w:sz w:val="20"/>
      <w:szCs w:val="20"/>
    </w:rPr>
  </w:style>
  <w:style w:type="character" w:customStyle="1" w:styleId="34">
    <w:name w:val="Основной текст 3 Знак"/>
    <w:rsid w:val="00247221"/>
    <w:rPr>
      <w:rFonts w:ascii="UkrainianBaltica" w:hAnsi="UkrainianBaltica" w:cs="Times New Roman"/>
      <w:sz w:val="20"/>
      <w:szCs w:val="20"/>
    </w:rPr>
  </w:style>
  <w:style w:type="character" w:customStyle="1" w:styleId="a8">
    <w:name w:val="Основной текст с отступом Знак"/>
    <w:rsid w:val="00247221"/>
    <w:rPr>
      <w:rFonts w:ascii="UkrainianBaltica" w:hAnsi="UkrainianBaltica" w:cs="Times New Roman"/>
      <w:sz w:val="20"/>
      <w:szCs w:val="20"/>
    </w:rPr>
  </w:style>
  <w:style w:type="character" w:customStyle="1" w:styleId="a9">
    <w:name w:val="Верхний колонтитул Знак"/>
    <w:uiPriority w:val="99"/>
    <w:rsid w:val="00247221"/>
    <w:rPr>
      <w:rFonts w:ascii="UkrainianBaltica" w:hAnsi="UkrainianBaltica" w:cs="Times New Roman"/>
      <w:sz w:val="20"/>
      <w:szCs w:val="20"/>
    </w:rPr>
  </w:style>
  <w:style w:type="character" w:styleId="aa">
    <w:name w:val="page number"/>
    <w:rsid w:val="00247221"/>
    <w:rPr>
      <w:rFonts w:cs="Times New Roman"/>
    </w:rPr>
  </w:style>
  <w:style w:type="character" w:customStyle="1" w:styleId="ab">
    <w:name w:val="Нижний колонтитул Знак"/>
    <w:uiPriority w:val="99"/>
    <w:rsid w:val="00247221"/>
    <w:rPr>
      <w:rFonts w:ascii="UkrainianBaltica" w:hAnsi="UkrainianBaltica" w:cs="Times New Roman"/>
      <w:sz w:val="20"/>
      <w:szCs w:val="20"/>
    </w:rPr>
  </w:style>
  <w:style w:type="character" w:customStyle="1" w:styleId="23">
    <w:name w:val="Основной текст с отступом 2 Знак"/>
    <w:rsid w:val="00247221"/>
    <w:rPr>
      <w:rFonts w:ascii="Times New Roman" w:hAnsi="Times New Roman" w:cs="Times New Roman"/>
      <w:sz w:val="20"/>
      <w:szCs w:val="20"/>
      <w:lang w:val="uk-UA"/>
    </w:rPr>
  </w:style>
  <w:style w:type="character" w:customStyle="1" w:styleId="24">
    <w:name w:val="Основной текст 2 Знак"/>
    <w:rsid w:val="00247221"/>
    <w:rPr>
      <w:rFonts w:ascii="Times New Roman" w:hAnsi="Times New Roman" w:cs="Times New Roman"/>
      <w:sz w:val="20"/>
      <w:szCs w:val="20"/>
      <w:lang w:val="uk-UA"/>
    </w:rPr>
  </w:style>
  <w:style w:type="character" w:customStyle="1" w:styleId="hps">
    <w:name w:val="hps"/>
    <w:rsid w:val="00247221"/>
    <w:rPr>
      <w:rFonts w:cs="Times New Roman"/>
    </w:rPr>
  </w:style>
  <w:style w:type="character" w:styleId="ac">
    <w:name w:val="Hyperlink"/>
    <w:rsid w:val="00247221"/>
    <w:rPr>
      <w:rFonts w:cs="Verdana"/>
      <w:color w:val="0000FF"/>
      <w:sz w:val="26"/>
      <w:szCs w:val="26"/>
      <w:u w:val="single"/>
      <w:lang w:val="uk-UA" w:bidi="ar-SA"/>
    </w:rPr>
  </w:style>
  <w:style w:type="character" w:customStyle="1" w:styleId="ad">
    <w:name w:val="Текст выноски Знак"/>
    <w:rsid w:val="00247221"/>
    <w:rPr>
      <w:rFonts w:ascii="Tahoma" w:hAnsi="Tahoma" w:cs="Tahoma"/>
      <w:sz w:val="16"/>
      <w:szCs w:val="16"/>
      <w:lang w:val="uk-UA"/>
    </w:rPr>
  </w:style>
  <w:style w:type="character" w:customStyle="1" w:styleId="rvts0">
    <w:name w:val="rvts0"/>
    <w:rsid w:val="00247221"/>
    <w:rPr>
      <w:rFonts w:cs="Times New Roman"/>
    </w:rPr>
  </w:style>
  <w:style w:type="character" w:customStyle="1" w:styleId="15">
    <w:name w:val="Знак примечания1"/>
    <w:rsid w:val="00247221"/>
    <w:rPr>
      <w:sz w:val="16"/>
      <w:szCs w:val="16"/>
    </w:rPr>
  </w:style>
  <w:style w:type="character" w:customStyle="1" w:styleId="ae">
    <w:name w:val="Текст примечания Знак"/>
    <w:rsid w:val="00247221"/>
    <w:rPr>
      <w:lang w:val="uk-UA"/>
    </w:rPr>
  </w:style>
  <w:style w:type="character" w:customStyle="1" w:styleId="af">
    <w:name w:val="Тема примечания Знак"/>
    <w:rsid w:val="00247221"/>
    <w:rPr>
      <w:b/>
      <w:bCs/>
      <w:lang w:val="uk-UA"/>
    </w:rPr>
  </w:style>
  <w:style w:type="character" w:customStyle="1" w:styleId="25">
    <w:name w:val="Знак примечания2"/>
    <w:rsid w:val="00247221"/>
    <w:rPr>
      <w:sz w:val="16"/>
      <w:szCs w:val="16"/>
    </w:rPr>
  </w:style>
  <w:style w:type="character" w:customStyle="1" w:styleId="16">
    <w:name w:val="Текст примечания Знак1"/>
    <w:rsid w:val="00247221"/>
    <w:rPr>
      <w:rFonts w:ascii="Calibri" w:hAnsi="Calibri" w:cs="Calibri"/>
      <w:lang w:val="uk-UA" w:eastAsia="zh-CN"/>
    </w:rPr>
  </w:style>
  <w:style w:type="character" w:customStyle="1" w:styleId="y2iqfc">
    <w:name w:val="y2iqfc"/>
    <w:rsid w:val="00247221"/>
  </w:style>
  <w:style w:type="character" w:customStyle="1" w:styleId="rvts23">
    <w:name w:val="rvts23"/>
    <w:basedOn w:val="50"/>
    <w:rsid w:val="00247221"/>
  </w:style>
  <w:style w:type="character" w:customStyle="1" w:styleId="35">
    <w:name w:val="Знак примечания3"/>
    <w:rsid w:val="00247221"/>
    <w:rPr>
      <w:sz w:val="16"/>
      <w:szCs w:val="16"/>
    </w:rPr>
  </w:style>
  <w:style w:type="character" w:customStyle="1" w:styleId="17">
    <w:name w:val="Замещающий текст1"/>
    <w:rsid w:val="00247221"/>
    <w:rPr>
      <w:color w:val="808080"/>
    </w:rPr>
  </w:style>
  <w:style w:type="character" w:customStyle="1" w:styleId="26">
    <w:name w:val="Текст примечания Знак2"/>
    <w:basedOn w:val="90"/>
    <w:rsid w:val="00247221"/>
  </w:style>
  <w:style w:type="character" w:customStyle="1" w:styleId="43">
    <w:name w:val="Знак примечания4"/>
    <w:rsid w:val="00247221"/>
    <w:rPr>
      <w:sz w:val="16"/>
      <w:szCs w:val="16"/>
    </w:rPr>
  </w:style>
  <w:style w:type="character" w:customStyle="1" w:styleId="36">
    <w:name w:val="Текст примечания Знак3"/>
    <w:basedOn w:val="100"/>
    <w:rsid w:val="00247221"/>
  </w:style>
  <w:style w:type="character" w:styleId="af0">
    <w:name w:val="Emphasis"/>
    <w:qFormat/>
    <w:rsid w:val="00F4174D"/>
    <w:rPr>
      <w:rFonts w:ascii="Arial" w:hAnsi="Arial"/>
      <w:i/>
      <w:iCs/>
      <w:sz w:val="28"/>
    </w:rPr>
  </w:style>
  <w:style w:type="paragraph" w:customStyle="1" w:styleId="18">
    <w:name w:val="Заголовок1"/>
    <w:basedOn w:val="a"/>
    <w:next w:val="af1"/>
    <w:rsid w:val="00247221"/>
    <w:pPr>
      <w:keepNext/>
      <w:spacing w:before="240" w:after="120"/>
    </w:pPr>
    <w:rPr>
      <w:rFonts w:ascii="Liberation Sans" w:eastAsia="Noto Sans CJK SC" w:hAnsi="Liberation Sans" w:cs="Lohit Devanagari"/>
      <w:sz w:val="28"/>
      <w:szCs w:val="28"/>
    </w:rPr>
  </w:style>
  <w:style w:type="paragraph" w:styleId="af1">
    <w:name w:val="Body Text"/>
    <w:basedOn w:val="a"/>
    <w:link w:val="19"/>
    <w:rsid w:val="00247221"/>
    <w:pPr>
      <w:spacing w:after="120" w:line="240" w:lineRule="auto"/>
    </w:pPr>
    <w:rPr>
      <w:rFonts w:ascii="UkrainianBaltica" w:hAnsi="UkrainianBaltica" w:cs="UkrainianBaltica"/>
      <w:sz w:val="20"/>
      <w:szCs w:val="20"/>
    </w:rPr>
  </w:style>
  <w:style w:type="paragraph" w:styleId="af2">
    <w:name w:val="List"/>
    <w:basedOn w:val="af1"/>
    <w:rsid w:val="00247221"/>
    <w:rPr>
      <w:rFonts w:cs="Lohit Devanagari"/>
    </w:rPr>
  </w:style>
  <w:style w:type="paragraph" w:styleId="af3">
    <w:name w:val="caption"/>
    <w:basedOn w:val="a"/>
    <w:qFormat/>
    <w:rsid w:val="00247221"/>
    <w:pPr>
      <w:suppressLineNumbers/>
      <w:spacing w:after="120"/>
    </w:pPr>
    <w:rPr>
      <w:rFonts w:cs="Lohit Devanagari"/>
      <w:i/>
      <w:iCs/>
      <w:sz w:val="24"/>
      <w:szCs w:val="24"/>
    </w:rPr>
  </w:style>
  <w:style w:type="paragraph" w:customStyle="1" w:styleId="af4">
    <w:name w:val="Покажчик"/>
    <w:basedOn w:val="a"/>
    <w:rsid w:val="00247221"/>
    <w:pPr>
      <w:suppressLineNumbers/>
    </w:pPr>
    <w:rPr>
      <w:rFonts w:cs="Lohit Devanagari"/>
    </w:rPr>
  </w:style>
  <w:style w:type="paragraph" w:customStyle="1" w:styleId="1a">
    <w:name w:val="Название объекта1"/>
    <w:basedOn w:val="a"/>
    <w:rsid w:val="00247221"/>
    <w:pPr>
      <w:suppressLineNumbers/>
      <w:spacing w:after="120"/>
    </w:pPr>
    <w:rPr>
      <w:rFonts w:cs="Lohit Devanagari"/>
      <w:i/>
      <w:iCs/>
      <w:sz w:val="24"/>
      <w:szCs w:val="24"/>
    </w:rPr>
  </w:style>
  <w:style w:type="paragraph" w:customStyle="1" w:styleId="93">
    <w:name w:val="Название объекта9"/>
    <w:basedOn w:val="a"/>
    <w:rsid w:val="00247221"/>
    <w:pPr>
      <w:suppressLineNumbers/>
      <w:spacing w:after="120"/>
    </w:pPr>
    <w:rPr>
      <w:rFonts w:cs="Lohit Devanagari"/>
      <w:i/>
      <w:iCs/>
      <w:sz w:val="24"/>
      <w:szCs w:val="24"/>
    </w:rPr>
  </w:style>
  <w:style w:type="paragraph" w:customStyle="1" w:styleId="83">
    <w:name w:val="Название объекта8"/>
    <w:basedOn w:val="a"/>
    <w:rsid w:val="00247221"/>
    <w:pPr>
      <w:suppressLineNumbers/>
      <w:spacing w:after="120"/>
    </w:pPr>
    <w:rPr>
      <w:rFonts w:cs="Lohit Devanagari"/>
      <w:i/>
      <w:iCs/>
      <w:sz w:val="24"/>
      <w:szCs w:val="24"/>
    </w:rPr>
  </w:style>
  <w:style w:type="paragraph" w:customStyle="1" w:styleId="73">
    <w:name w:val="Название объекта7"/>
    <w:basedOn w:val="a"/>
    <w:rsid w:val="00247221"/>
    <w:pPr>
      <w:suppressLineNumbers/>
      <w:spacing w:after="120"/>
    </w:pPr>
    <w:rPr>
      <w:rFonts w:cs="Lohit Devanagari"/>
      <w:i/>
      <w:iCs/>
      <w:sz w:val="24"/>
      <w:szCs w:val="24"/>
    </w:rPr>
  </w:style>
  <w:style w:type="paragraph" w:customStyle="1" w:styleId="63">
    <w:name w:val="Название объекта6"/>
    <w:basedOn w:val="a"/>
    <w:rsid w:val="00247221"/>
    <w:pPr>
      <w:suppressLineNumbers/>
      <w:spacing w:after="120"/>
    </w:pPr>
    <w:rPr>
      <w:rFonts w:cs="Lohit Devanagari"/>
      <w:i/>
      <w:iCs/>
      <w:sz w:val="24"/>
      <w:szCs w:val="24"/>
    </w:rPr>
  </w:style>
  <w:style w:type="paragraph" w:customStyle="1" w:styleId="53">
    <w:name w:val="Название объекта5"/>
    <w:basedOn w:val="a"/>
    <w:rsid w:val="00247221"/>
    <w:pPr>
      <w:suppressLineNumbers/>
      <w:spacing w:after="120"/>
    </w:pPr>
    <w:rPr>
      <w:rFonts w:cs="Lohit Devanagari"/>
      <w:i/>
      <w:iCs/>
      <w:sz w:val="24"/>
      <w:szCs w:val="24"/>
    </w:rPr>
  </w:style>
  <w:style w:type="paragraph" w:customStyle="1" w:styleId="44">
    <w:name w:val="Название объекта4"/>
    <w:basedOn w:val="a"/>
    <w:rsid w:val="00247221"/>
    <w:pPr>
      <w:suppressLineNumbers/>
      <w:spacing w:after="120"/>
    </w:pPr>
    <w:rPr>
      <w:rFonts w:cs="Lohit Devanagari"/>
      <w:i/>
      <w:iCs/>
      <w:sz w:val="24"/>
      <w:szCs w:val="24"/>
    </w:rPr>
  </w:style>
  <w:style w:type="paragraph" w:customStyle="1" w:styleId="37">
    <w:name w:val="Название объекта3"/>
    <w:basedOn w:val="a"/>
    <w:rsid w:val="00247221"/>
    <w:pPr>
      <w:suppressLineNumbers/>
      <w:spacing w:after="120"/>
    </w:pPr>
    <w:rPr>
      <w:rFonts w:cs="Lohit Devanagari"/>
      <w:i/>
      <w:iCs/>
      <w:sz w:val="24"/>
      <w:szCs w:val="24"/>
    </w:rPr>
  </w:style>
  <w:style w:type="paragraph" w:customStyle="1" w:styleId="27">
    <w:name w:val="Название объекта2"/>
    <w:basedOn w:val="a"/>
    <w:rsid w:val="00247221"/>
    <w:pPr>
      <w:suppressLineNumbers/>
      <w:spacing w:after="120"/>
    </w:pPr>
    <w:rPr>
      <w:rFonts w:cs="Lohit Devanagari"/>
      <w:i/>
      <w:iCs/>
      <w:sz w:val="24"/>
      <w:szCs w:val="24"/>
    </w:rPr>
  </w:style>
  <w:style w:type="paragraph" w:customStyle="1" w:styleId="1b">
    <w:name w:val="Заголовок1"/>
    <w:basedOn w:val="a"/>
    <w:next w:val="af1"/>
    <w:rsid w:val="00247221"/>
    <w:pPr>
      <w:spacing w:line="240" w:lineRule="auto"/>
      <w:ind w:left="360"/>
      <w:jc w:val="center"/>
    </w:pPr>
    <w:rPr>
      <w:rFonts w:ascii="Times New Roman" w:hAnsi="Times New Roman" w:cs="Times New Roman"/>
      <w:b/>
      <w:sz w:val="20"/>
      <w:szCs w:val="20"/>
    </w:rPr>
  </w:style>
  <w:style w:type="paragraph" w:customStyle="1" w:styleId="1c">
    <w:name w:val="Название объекта1"/>
    <w:basedOn w:val="a"/>
    <w:rsid w:val="00247221"/>
    <w:pPr>
      <w:suppressLineNumbers/>
      <w:spacing w:after="120"/>
    </w:pPr>
    <w:rPr>
      <w:rFonts w:cs="Lohit Devanagari"/>
      <w:i/>
      <w:iCs/>
      <w:sz w:val="24"/>
      <w:szCs w:val="24"/>
    </w:rPr>
  </w:style>
  <w:style w:type="paragraph" w:customStyle="1" w:styleId="1d">
    <w:name w:val="Обычный (веб)1"/>
    <w:basedOn w:val="a"/>
    <w:rsid w:val="00247221"/>
    <w:pPr>
      <w:spacing w:before="280" w:after="280" w:line="240" w:lineRule="auto"/>
    </w:pPr>
    <w:rPr>
      <w:rFonts w:ascii="Times New Roman" w:hAnsi="Times New Roman" w:cs="Times New Roman"/>
      <w:sz w:val="24"/>
      <w:szCs w:val="24"/>
      <w:lang w:val="ru-RU"/>
    </w:rPr>
  </w:style>
  <w:style w:type="paragraph" w:customStyle="1" w:styleId="StyleProp">
    <w:name w:val="StyleProp"/>
    <w:basedOn w:val="a"/>
    <w:rsid w:val="00247221"/>
    <w:pPr>
      <w:spacing w:line="200" w:lineRule="exact"/>
      <w:ind w:firstLine="227"/>
    </w:pPr>
    <w:rPr>
      <w:rFonts w:ascii="Times New Roman" w:hAnsi="Times New Roman" w:cs="Times New Roman"/>
      <w:sz w:val="18"/>
      <w:szCs w:val="20"/>
    </w:rPr>
  </w:style>
  <w:style w:type="paragraph" w:customStyle="1" w:styleId="StyleZakonu0">
    <w:name w:val="StyleZakonu"/>
    <w:basedOn w:val="a"/>
    <w:rsid w:val="00247221"/>
    <w:pPr>
      <w:spacing w:after="60" w:line="220" w:lineRule="exact"/>
      <w:ind w:firstLine="284"/>
    </w:pPr>
    <w:rPr>
      <w:rFonts w:ascii="Times New Roman" w:hAnsi="Times New Roman" w:cs="Times New Roman"/>
      <w:sz w:val="20"/>
      <w:szCs w:val="20"/>
    </w:rPr>
  </w:style>
  <w:style w:type="paragraph" w:customStyle="1" w:styleId="HTML1">
    <w:name w:val="Стандартный HTML1"/>
    <w:basedOn w:val="a"/>
    <w:rsid w:val="00247221"/>
    <w:pPr>
      <w:spacing w:line="240" w:lineRule="auto"/>
    </w:pPr>
    <w:rPr>
      <w:rFonts w:ascii="Courier New" w:hAnsi="Courier New" w:cs="Courier New"/>
      <w:sz w:val="20"/>
      <w:szCs w:val="20"/>
    </w:rPr>
  </w:style>
  <w:style w:type="paragraph" w:customStyle="1" w:styleId="1e">
    <w:name w:val="Стиль1"/>
    <w:basedOn w:val="3"/>
    <w:rsid w:val="00247221"/>
    <w:pPr>
      <w:ind w:left="720" w:hanging="360"/>
    </w:pPr>
    <w:rPr>
      <w:rFonts w:ascii="Times New Roman" w:hAnsi="Times New Roman" w:cs="Times New Roman"/>
      <w:sz w:val="28"/>
    </w:rPr>
  </w:style>
  <w:style w:type="paragraph" w:customStyle="1" w:styleId="54">
    <w:name w:val="Стиль5"/>
    <w:basedOn w:val="5"/>
    <w:rsid w:val="00247221"/>
    <w:rPr>
      <w:lang w:val="ru-RU"/>
    </w:rPr>
  </w:style>
  <w:style w:type="paragraph" w:customStyle="1" w:styleId="210">
    <w:name w:val="Основной текст 21"/>
    <w:basedOn w:val="a"/>
    <w:rsid w:val="00247221"/>
    <w:pPr>
      <w:overflowPunct w:val="0"/>
      <w:autoSpaceDE w:val="0"/>
      <w:spacing w:line="240" w:lineRule="auto"/>
      <w:textAlignment w:val="baseline"/>
    </w:pPr>
    <w:rPr>
      <w:sz w:val="32"/>
      <w:szCs w:val="20"/>
      <w:lang w:val="ru-RU"/>
    </w:rPr>
  </w:style>
  <w:style w:type="paragraph" w:customStyle="1" w:styleId="310">
    <w:name w:val="Основной текст с отступом 31"/>
    <w:basedOn w:val="a"/>
    <w:rsid w:val="00247221"/>
    <w:pPr>
      <w:spacing w:after="120" w:line="240" w:lineRule="auto"/>
      <w:ind w:left="283"/>
    </w:pPr>
    <w:rPr>
      <w:rFonts w:ascii="Times New Roman" w:hAnsi="Times New Roman" w:cs="Times New Roman"/>
      <w:sz w:val="16"/>
      <w:szCs w:val="16"/>
    </w:rPr>
  </w:style>
  <w:style w:type="paragraph" w:customStyle="1" w:styleId="1f">
    <w:name w:val="Обычный1"/>
    <w:rsid w:val="00247221"/>
    <w:pPr>
      <w:suppressAutoHyphens/>
    </w:pPr>
    <w:rPr>
      <w:sz w:val="24"/>
      <w:lang w:eastAsia="zh-CN"/>
    </w:rPr>
  </w:style>
  <w:style w:type="paragraph" w:customStyle="1" w:styleId="1f0">
    <w:name w:val="Схема документа1"/>
    <w:basedOn w:val="a"/>
    <w:rsid w:val="00247221"/>
    <w:pPr>
      <w:shd w:val="clear" w:color="auto" w:fill="000080"/>
      <w:spacing w:line="240" w:lineRule="auto"/>
    </w:pPr>
    <w:rPr>
      <w:rFonts w:ascii="Tahoma" w:hAnsi="Tahoma" w:cs="Tahoma"/>
      <w:sz w:val="20"/>
      <w:szCs w:val="20"/>
    </w:rPr>
  </w:style>
  <w:style w:type="paragraph" w:customStyle="1" w:styleId="1f1">
    <w:name w:val="Цитата1"/>
    <w:basedOn w:val="a"/>
    <w:rsid w:val="00247221"/>
    <w:pPr>
      <w:spacing w:line="240" w:lineRule="auto"/>
      <w:ind w:left="1134" w:right="562" w:firstLine="284"/>
    </w:pPr>
    <w:rPr>
      <w:rFonts w:ascii="UkrainianBaltica" w:hAnsi="UkrainianBaltica" w:cs="UkrainianBaltica"/>
      <w:sz w:val="24"/>
      <w:szCs w:val="20"/>
      <w:lang w:val="ru-RU"/>
    </w:rPr>
  </w:style>
  <w:style w:type="paragraph" w:styleId="af5">
    <w:name w:val="Body Text Indent"/>
    <w:basedOn w:val="a"/>
    <w:link w:val="1f2"/>
    <w:rsid w:val="00247221"/>
    <w:pPr>
      <w:spacing w:after="120" w:line="240" w:lineRule="auto"/>
      <w:ind w:left="360"/>
    </w:pPr>
    <w:rPr>
      <w:rFonts w:ascii="UkrainianBaltica" w:hAnsi="UkrainianBaltica" w:cs="UkrainianBaltica"/>
      <w:sz w:val="20"/>
      <w:szCs w:val="20"/>
    </w:rPr>
  </w:style>
  <w:style w:type="paragraph" w:customStyle="1" w:styleId="311">
    <w:name w:val="Основной текст 31"/>
    <w:basedOn w:val="af5"/>
    <w:rsid w:val="00247221"/>
  </w:style>
  <w:style w:type="paragraph" w:customStyle="1" w:styleId="af6">
    <w:name w:val="Верхній і нижній колонтитули"/>
    <w:basedOn w:val="a"/>
    <w:rsid w:val="00247221"/>
    <w:pPr>
      <w:suppressLineNumbers/>
      <w:tabs>
        <w:tab w:val="center" w:pos="4819"/>
        <w:tab w:val="right" w:pos="9638"/>
      </w:tabs>
    </w:pPr>
  </w:style>
  <w:style w:type="paragraph" w:styleId="af7">
    <w:name w:val="header"/>
    <w:basedOn w:val="a"/>
    <w:link w:val="1f3"/>
    <w:uiPriority w:val="99"/>
    <w:rsid w:val="00247221"/>
    <w:pPr>
      <w:spacing w:line="240" w:lineRule="auto"/>
    </w:pPr>
    <w:rPr>
      <w:rFonts w:ascii="UkrainianBaltica" w:hAnsi="UkrainianBaltica" w:cs="UkrainianBaltica"/>
      <w:sz w:val="20"/>
      <w:szCs w:val="20"/>
    </w:rPr>
  </w:style>
  <w:style w:type="paragraph" w:styleId="af8">
    <w:name w:val="footer"/>
    <w:basedOn w:val="a"/>
    <w:link w:val="1f4"/>
    <w:uiPriority w:val="99"/>
    <w:rsid w:val="00247221"/>
    <w:pPr>
      <w:spacing w:line="240" w:lineRule="auto"/>
    </w:pPr>
    <w:rPr>
      <w:rFonts w:ascii="UkrainianBaltica" w:hAnsi="UkrainianBaltica" w:cs="UkrainianBaltica"/>
      <w:sz w:val="20"/>
      <w:szCs w:val="20"/>
    </w:rPr>
  </w:style>
  <w:style w:type="paragraph" w:customStyle="1" w:styleId="211">
    <w:name w:val="Основной текст с отступом 21"/>
    <w:basedOn w:val="a"/>
    <w:rsid w:val="00247221"/>
    <w:pPr>
      <w:spacing w:line="240" w:lineRule="auto"/>
      <w:ind w:firstLine="642"/>
    </w:pPr>
    <w:rPr>
      <w:rFonts w:ascii="Times New Roman" w:hAnsi="Times New Roman" w:cs="Times New Roman"/>
      <w:sz w:val="20"/>
      <w:szCs w:val="20"/>
    </w:rPr>
  </w:style>
  <w:style w:type="paragraph" w:customStyle="1" w:styleId="220">
    <w:name w:val="Основной текст 22"/>
    <w:basedOn w:val="a"/>
    <w:rsid w:val="00247221"/>
    <w:pPr>
      <w:spacing w:line="360" w:lineRule="auto"/>
      <w:ind w:right="113"/>
    </w:pPr>
    <w:rPr>
      <w:rFonts w:ascii="Times New Roman" w:hAnsi="Times New Roman" w:cs="Times New Roman"/>
      <w:sz w:val="20"/>
      <w:szCs w:val="20"/>
    </w:rPr>
  </w:style>
  <w:style w:type="paragraph" w:customStyle="1" w:styleId="WW-Iniiaiieoaenonionooiii3">
    <w:name w:val="WW-Iniiaiie oaeno n ionooiii 3"/>
    <w:basedOn w:val="a"/>
    <w:rsid w:val="00247221"/>
    <w:pPr>
      <w:spacing w:line="240" w:lineRule="auto"/>
      <w:ind w:firstLine="426"/>
    </w:pPr>
    <w:rPr>
      <w:rFonts w:ascii="Times New Roman" w:hAnsi="Times New Roman" w:cs="Times New Roman"/>
      <w:sz w:val="24"/>
      <w:szCs w:val="20"/>
      <w:lang w:val="en-US"/>
    </w:rPr>
  </w:style>
  <w:style w:type="paragraph" w:customStyle="1" w:styleId="af9">
    <w:name w:val="Чертежный"/>
    <w:rsid w:val="00247221"/>
    <w:pPr>
      <w:suppressAutoHyphens/>
    </w:pPr>
    <w:rPr>
      <w:rFonts w:ascii="ISOCPEUR" w:hAnsi="ISOCPEUR" w:cs="ISOCPEUR"/>
      <w:i/>
      <w:sz w:val="28"/>
      <w:lang w:eastAsia="zh-CN"/>
    </w:rPr>
  </w:style>
  <w:style w:type="paragraph" w:customStyle="1" w:styleId="Heading">
    <w:name w:val="Heading"/>
    <w:rsid w:val="00247221"/>
    <w:pPr>
      <w:widowControl w:val="0"/>
      <w:suppressAutoHyphens/>
      <w:autoSpaceDE w:val="0"/>
    </w:pPr>
    <w:rPr>
      <w:b/>
      <w:lang w:eastAsia="zh-CN"/>
    </w:rPr>
  </w:style>
  <w:style w:type="paragraph" w:customStyle="1" w:styleId="afa">
    <w:name w:val="Готовый"/>
    <w:basedOn w:val="a"/>
    <w:rsid w:val="00247221"/>
    <w:pPr>
      <w:spacing w:line="240" w:lineRule="auto"/>
    </w:pPr>
    <w:rPr>
      <w:rFonts w:ascii="Courier New" w:hAnsi="Courier New" w:cs="Courier New"/>
      <w:sz w:val="20"/>
      <w:szCs w:val="20"/>
      <w:lang w:val="ru-RU"/>
    </w:rPr>
  </w:style>
  <w:style w:type="paragraph" w:customStyle="1" w:styleId="1f5">
    <w:name w:val="Абзац списка1"/>
    <w:basedOn w:val="a"/>
    <w:rsid w:val="00247221"/>
    <w:pPr>
      <w:spacing w:line="240" w:lineRule="auto"/>
      <w:ind w:left="720"/>
      <w:contextualSpacing/>
    </w:pPr>
    <w:rPr>
      <w:rFonts w:ascii="Times New Roman" w:hAnsi="Times New Roman" w:cs="Times New Roman"/>
      <w:sz w:val="24"/>
      <w:szCs w:val="24"/>
    </w:rPr>
  </w:style>
  <w:style w:type="paragraph" w:customStyle="1" w:styleId="1f6">
    <w:name w:val="Текст выноски1"/>
    <w:basedOn w:val="a"/>
    <w:rsid w:val="00247221"/>
    <w:pPr>
      <w:spacing w:line="240" w:lineRule="auto"/>
    </w:pPr>
    <w:rPr>
      <w:rFonts w:ascii="Tahoma" w:hAnsi="Tahoma" w:cs="Tahoma"/>
      <w:sz w:val="16"/>
      <w:szCs w:val="16"/>
    </w:rPr>
  </w:style>
  <w:style w:type="paragraph" w:customStyle="1" w:styleId="rvps2">
    <w:name w:val="rvps2"/>
    <w:basedOn w:val="a"/>
    <w:rsid w:val="00247221"/>
    <w:pPr>
      <w:spacing w:before="280" w:after="280" w:line="240" w:lineRule="auto"/>
    </w:pPr>
    <w:rPr>
      <w:rFonts w:ascii="Times New Roman" w:hAnsi="Times New Roman" w:cs="Times New Roman"/>
      <w:sz w:val="24"/>
      <w:szCs w:val="24"/>
      <w:lang w:val="ru-RU"/>
    </w:rPr>
  </w:style>
  <w:style w:type="paragraph" w:customStyle="1" w:styleId="1f7">
    <w:name w:val="Без интервала1"/>
    <w:rsid w:val="00247221"/>
    <w:pPr>
      <w:suppressAutoHyphens/>
    </w:pPr>
    <w:rPr>
      <w:lang w:val="ru-RU" w:eastAsia="zh-CN"/>
    </w:rPr>
  </w:style>
  <w:style w:type="paragraph" w:customStyle="1" w:styleId="1f8">
    <w:name w:val="Текст примечания1"/>
    <w:basedOn w:val="a"/>
    <w:rsid w:val="00247221"/>
    <w:rPr>
      <w:sz w:val="20"/>
      <w:szCs w:val="20"/>
    </w:rPr>
  </w:style>
  <w:style w:type="paragraph" w:customStyle="1" w:styleId="1f9">
    <w:name w:val="Тема примечания1"/>
    <w:basedOn w:val="1f8"/>
    <w:next w:val="1f8"/>
    <w:rsid w:val="00247221"/>
    <w:rPr>
      <w:b/>
      <w:bCs/>
    </w:rPr>
  </w:style>
  <w:style w:type="paragraph" w:customStyle="1" w:styleId="afb">
    <w:name w:val="Вміст таблиці"/>
    <w:basedOn w:val="a"/>
    <w:rsid w:val="00247221"/>
    <w:pPr>
      <w:suppressLineNumbers/>
    </w:pPr>
  </w:style>
  <w:style w:type="paragraph" w:customStyle="1" w:styleId="afc">
    <w:name w:val="Заголовок таблиці"/>
    <w:basedOn w:val="afb"/>
    <w:rsid w:val="00247221"/>
    <w:pPr>
      <w:jc w:val="center"/>
    </w:pPr>
    <w:rPr>
      <w:b/>
      <w:bCs/>
    </w:rPr>
  </w:style>
  <w:style w:type="paragraph" w:customStyle="1" w:styleId="28">
    <w:name w:val="Текст примечания2"/>
    <w:basedOn w:val="a"/>
    <w:rsid w:val="00247221"/>
    <w:rPr>
      <w:sz w:val="20"/>
      <w:szCs w:val="20"/>
    </w:rPr>
  </w:style>
  <w:style w:type="paragraph" w:customStyle="1" w:styleId="afd">
    <w:name w:val="Текст у вказаному форматі"/>
    <w:basedOn w:val="a"/>
    <w:rsid w:val="00247221"/>
    <w:rPr>
      <w:rFonts w:ascii="Liberation Mono" w:eastAsia="Noto Sans Mono CJK SC" w:hAnsi="Liberation Mono" w:cs="Liberation Mono"/>
      <w:sz w:val="20"/>
      <w:szCs w:val="20"/>
    </w:rPr>
  </w:style>
  <w:style w:type="paragraph" w:customStyle="1" w:styleId="afe">
    <w:name w:val="Нормальний текст"/>
    <w:basedOn w:val="a"/>
    <w:rsid w:val="00247221"/>
    <w:pPr>
      <w:suppressAutoHyphens w:val="0"/>
      <w:spacing w:line="240" w:lineRule="auto"/>
    </w:pPr>
    <w:rPr>
      <w:rFonts w:ascii="Antiqua" w:hAnsi="Antiqua" w:cs="Times New Roman"/>
      <w:sz w:val="26"/>
      <w:szCs w:val="20"/>
    </w:rPr>
  </w:style>
  <w:style w:type="paragraph" w:customStyle="1" w:styleId="HTML10">
    <w:name w:val="Стандартний HTML1"/>
    <w:basedOn w:val="a"/>
    <w:rsid w:val="00247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fa">
    <w:name w:val="Звичайний1"/>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jc w:val="center"/>
    </w:pPr>
    <w:rPr>
      <w:rFonts w:ascii="WenQuanYi Micro Hei" w:eastAsia="Tahoma" w:hAnsi="WenQuanYi Micro Hei" w:cs="Liberation Sans"/>
      <w:color w:val="FFFFFF"/>
      <w:sz w:val="36"/>
      <w:szCs w:val="24"/>
      <w:lang w:eastAsia="zh-CN" w:bidi="hi-IN"/>
    </w:rPr>
  </w:style>
  <w:style w:type="paragraph" w:customStyle="1" w:styleId="aff">
    <w:name w:val="Об'єкт без заповнення"/>
    <w:basedOn w:val="1fa"/>
    <w:rsid w:val="00247221"/>
    <w:rPr>
      <w:rFonts w:cs="WenQuanYi Micro Hei"/>
    </w:rPr>
  </w:style>
  <w:style w:type="paragraph" w:customStyle="1" w:styleId="aff0">
    <w:name w:val="Об'єкт без заповнення і ліній"/>
    <w:basedOn w:val="1fa"/>
    <w:rsid w:val="00247221"/>
    <w:rPr>
      <w:rFonts w:cs="WenQuanYi Micro Hei"/>
    </w:rPr>
  </w:style>
  <w:style w:type="paragraph" w:customStyle="1" w:styleId="1fb">
    <w:name w:val="Текст1"/>
    <w:basedOn w:val="83"/>
    <w:rsid w:val="00247221"/>
  </w:style>
  <w:style w:type="paragraph" w:customStyle="1" w:styleId="A40">
    <w:name w:val="A4"/>
    <w:basedOn w:val="1fb"/>
    <w:rsid w:val="00247221"/>
    <w:rPr>
      <w:rFonts w:ascii="Noto Sans" w:hAnsi="Noto Sans" w:cs="Noto Sans"/>
      <w:sz w:val="36"/>
    </w:rPr>
  </w:style>
  <w:style w:type="paragraph" w:customStyle="1" w:styleId="45">
    <w:name w:val="Титул А4"/>
    <w:basedOn w:val="A40"/>
    <w:rsid w:val="00247221"/>
    <w:rPr>
      <w:sz w:val="87"/>
    </w:rPr>
  </w:style>
  <w:style w:type="paragraph" w:customStyle="1" w:styleId="46">
    <w:name w:val="Заголовок А4"/>
    <w:basedOn w:val="A40"/>
    <w:rsid w:val="00247221"/>
    <w:rPr>
      <w:sz w:val="48"/>
    </w:rPr>
  </w:style>
  <w:style w:type="paragraph" w:customStyle="1" w:styleId="47">
    <w:name w:val="Текст А4"/>
    <w:basedOn w:val="A40"/>
    <w:rsid w:val="00247221"/>
  </w:style>
  <w:style w:type="paragraph" w:customStyle="1" w:styleId="A00">
    <w:name w:val="A0"/>
    <w:basedOn w:val="1fb"/>
    <w:rsid w:val="00247221"/>
    <w:rPr>
      <w:rFonts w:ascii="Noto Sans" w:hAnsi="Noto Sans" w:cs="Noto Sans"/>
      <w:sz w:val="95"/>
    </w:rPr>
  </w:style>
  <w:style w:type="paragraph" w:customStyle="1" w:styleId="0">
    <w:name w:val="Титул А0"/>
    <w:basedOn w:val="A00"/>
    <w:rsid w:val="00247221"/>
    <w:rPr>
      <w:sz w:val="191"/>
    </w:rPr>
  </w:style>
  <w:style w:type="paragraph" w:customStyle="1" w:styleId="00">
    <w:name w:val="Заголовок А0"/>
    <w:basedOn w:val="A00"/>
    <w:rsid w:val="00247221"/>
    <w:rPr>
      <w:sz w:val="143"/>
    </w:rPr>
  </w:style>
  <w:style w:type="paragraph" w:customStyle="1" w:styleId="A01">
    <w:name w:val="Текст A0"/>
    <w:basedOn w:val="A00"/>
    <w:rsid w:val="00247221"/>
  </w:style>
  <w:style w:type="paragraph" w:customStyle="1" w:styleId="aff1">
    <w:name w:val="Графічний об'єкт"/>
    <w:rsid w:val="00247221"/>
    <w:pPr>
      <w:widowControl w:val="0"/>
      <w:suppressAutoHyphens/>
    </w:pPr>
    <w:rPr>
      <w:rFonts w:ascii="Liberation Sans" w:eastAsia="Tahoma" w:hAnsi="Liberation Sans" w:cs="Liberation Sans"/>
      <w:sz w:val="36"/>
      <w:szCs w:val="24"/>
      <w:lang w:eastAsia="zh-CN" w:bidi="hi-IN"/>
    </w:rPr>
  </w:style>
  <w:style w:type="paragraph" w:customStyle="1" w:styleId="aff2">
    <w:name w:val="Фігури"/>
    <w:basedOn w:val="aff1"/>
    <w:rsid w:val="00247221"/>
    <w:rPr>
      <w:b/>
      <w:sz w:val="28"/>
    </w:rPr>
  </w:style>
  <w:style w:type="paragraph" w:customStyle="1" w:styleId="aff3">
    <w:name w:val="Заповнено"/>
    <w:basedOn w:val="aff2"/>
    <w:rsid w:val="00247221"/>
  </w:style>
  <w:style w:type="paragraph" w:customStyle="1" w:styleId="aff4">
    <w:name w:val="Заповнено синім"/>
    <w:basedOn w:val="aff3"/>
    <w:rsid w:val="00247221"/>
    <w:rPr>
      <w:color w:val="FFFFFF"/>
    </w:rPr>
  </w:style>
  <w:style w:type="paragraph" w:customStyle="1" w:styleId="aff5">
    <w:name w:val="Заповнено зеленим"/>
    <w:basedOn w:val="aff3"/>
    <w:rsid w:val="00247221"/>
    <w:rPr>
      <w:color w:val="FFFFFF"/>
    </w:rPr>
  </w:style>
  <w:style w:type="paragraph" w:customStyle="1" w:styleId="aff6">
    <w:name w:val="Заповнено червоним"/>
    <w:basedOn w:val="aff3"/>
    <w:rsid w:val="00247221"/>
    <w:rPr>
      <w:color w:val="FFFFFF"/>
    </w:rPr>
  </w:style>
  <w:style w:type="paragraph" w:customStyle="1" w:styleId="aff7">
    <w:name w:val="Заповнено жовтим"/>
    <w:basedOn w:val="aff3"/>
    <w:rsid w:val="00247221"/>
    <w:rPr>
      <w:color w:val="FFFFFF"/>
    </w:rPr>
  </w:style>
  <w:style w:type="paragraph" w:customStyle="1" w:styleId="aff8">
    <w:name w:val="Обведено"/>
    <w:basedOn w:val="aff2"/>
    <w:rsid w:val="00247221"/>
  </w:style>
  <w:style w:type="paragraph" w:customStyle="1" w:styleId="aff9">
    <w:name w:val="Обведено синім"/>
    <w:basedOn w:val="aff8"/>
    <w:rsid w:val="00247221"/>
    <w:rPr>
      <w:color w:val="355269"/>
    </w:rPr>
  </w:style>
  <w:style w:type="paragraph" w:customStyle="1" w:styleId="affa">
    <w:name w:val="Обведено зеленим"/>
    <w:basedOn w:val="aff8"/>
    <w:rsid w:val="00247221"/>
    <w:rPr>
      <w:color w:val="127622"/>
    </w:rPr>
  </w:style>
  <w:style w:type="paragraph" w:customStyle="1" w:styleId="affb">
    <w:name w:val="Обведено червоним"/>
    <w:basedOn w:val="aff8"/>
    <w:rsid w:val="00247221"/>
    <w:rPr>
      <w:color w:val="C9211E"/>
    </w:rPr>
  </w:style>
  <w:style w:type="paragraph" w:customStyle="1" w:styleId="affc">
    <w:name w:val="Обведено жовтим"/>
    <w:basedOn w:val="aff8"/>
    <w:rsid w:val="00247221"/>
    <w:rPr>
      <w:color w:val="B47804"/>
    </w:rPr>
  </w:style>
  <w:style w:type="paragraph" w:customStyle="1" w:styleId="affd">
    <w:name w:val="Лінії"/>
    <w:basedOn w:val="aff1"/>
    <w:rsid w:val="00247221"/>
  </w:style>
  <w:style w:type="paragraph" w:customStyle="1" w:styleId="affe">
    <w:name w:val="Стрілка"/>
    <w:basedOn w:val="affd"/>
    <w:rsid w:val="00247221"/>
  </w:style>
  <w:style w:type="paragraph" w:customStyle="1" w:styleId="afff">
    <w:name w:val="Штрихова лінія"/>
    <w:basedOn w:val="affd"/>
    <w:rsid w:val="00247221"/>
  </w:style>
  <w:style w:type="paragraph" w:customStyle="1" w:styleId="LTGliederung1">
    <w:name w:val="Звичайний~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sz w:val="52"/>
      <w:szCs w:val="24"/>
      <w:lang w:eastAsia="zh-CN" w:bidi="hi-IN"/>
    </w:rPr>
  </w:style>
  <w:style w:type="paragraph" w:customStyle="1" w:styleId="LTGliederung2">
    <w:name w:val="Звичайний~LT~Gliederung 2"/>
    <w:basedOn w:val="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LTGliederung3">
    <w:name w:val="Звичайний~LT~Gliederung 3"/>
    <w:basedOn w:val="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LTGliederung4">
    <w:name w:val="Звичайний~LT~Gliederung 4"/>
    <w:basedOn w:val="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LTGliederung5">
    <w:name w:val="Звичайний~LT~Gliederung 5"/>
    <w:basedOn w:val="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LTGliederung6">
    <w:name w:val="Звичайний~LT~Gliederung 6"/>
    <w:basedOn w:val="LTGliederung5"/>
    <w:rsid w:val="00247221"/>
  </w:style>
  <w:style w:type="paragraph" w:customStyle="1" w:styleId="LTGliederung7">
    <w:name w:val="Звичайний~LT~Gliederung 7"/>
    <w:basedOn w:val="LTGliederung6"/>
    <w:rsid w:val="00247221"/>
  </w:style>
  <w:style w:type="paragraph" w:customStyle="1" w:styleId="LTGliederung8">
    <w:name w:val="Звичайний~LT~Gliederung 8"/>
    <w:basedOn w:val="LTGliederung7"/>
    <w:rsid w:val="00247221"/>
  </w:style>
  <w:style w:type="paragraph" w:customStyle="1" w:styleId="LTGliederung9">
    <w:name w:val="Звичайний~LT~Gliederung 9"/>
    <w:basedOn w:val="LTGliederung8"/>
    <w:rsid w:val="00247221"/>
  </w:style>
  <w:style w:type="paragraph" w:customStyle="1" w:styleId="LTTitel">
    <w:name w:val="Звичайний~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sz w:val="64"/>
      <w:szCs w:val="24"/>
      <w:lang w:eastAsia="zh-CN" w:bidi="hi-IN"/>
    </w:rPr>
  </w:style>
  <w:style w:type="paragraph" w:customStyle="1" w:styleId="LTUntertitel">
    <w:name w:val="Звичайний~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sz w:val="52"/>
      <w:szCs w:val="24"/>
      <w:lang w:eastAsia="zh-CN" w:bidi="hi-IN"/>
    </w:rPr>
  </w:style>
  <w:style w:type="paragraph" w:customStyle="1" w:styleId="LTNotizen">
    <w:name w:val="Звичайний~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sz w:val="24"/>
      <w:szCs w:val="24"/>
      <w:lang w:eastAsia="zh-CN" w:bidi="hi-IN"/>
    </w:rPr>
  </w:style>
  <w:style w:type="paragraph" w:customStyle="1" w:styleId="LTHintergrundobjekte">
    <w:name w:val="Звичайний~LT~Hintergrundobjekte"/>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jc w:val="center"/>
    </w:pPr>
    <w:rPr>
      <w:rFonts w:ascii="WenQuanYi Micro Hei" w:eastAsia="Tahoma" w:hAnsi="WenQuanYi Micro Hei" w:cs="Liberation Sans"/>
      <w:color w:val="FFFFFF"/>
      <w:sz w:val="36"/>
      <w:szCs w:val="24"/>
      <w:lang w:eastAsia="zh-CN" w:bidi="hi-IN"/>
    </w:rPr>
  </w:style>
  <w:style w:type="paragraph" w:customStyle="1" w:styleId="LTHintergrund">
    <w:name w:val="Звичайний~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default">
    <w:name w:val="default"/>
    <w:rsid w:val="00247221"/>
    <w:pPr>
      <w:widowControl w:val="0"/>
      <w:suppressAutoHyphens/>
      <w:spacing w:line="200" w:lineRule="atLeast"/>
    </w:pPr>
    <w:rPr>
      <w:rFonts w:ascii="Lohit Devanagari" w:eastAsia="Tahoma" w:hAnsi="Lohit Devanagari" w:cs="Liberation Sans"/>
      <w:sz w:val="36"/>
      <w:szCs w:val="24"/>
      <w:lang w:eastAsia="zh-CN" w:bidi="hi-IN"/>
    </w:rPr>
  </w:style>
  <w:style w:type="paragraph" w:customStyle="1" w:styleId="gray1">
    <w:name w:val="gray1"/>
    <w:basedOn w:val="default"/>
    <w:rsid w:val="00247221"/>
    <w:rPr>
      <w:rFonts w:cs="Lohit Devanagari"/>
    </w:rPr>
  </w:style>
  <w:style w:type="paragraph" w:customStyle="1" w:styleId="gray2">
    <w:name w:val="gray2"/>
    <w:basedOn w:val="default"/>
    <w:rsid w:val="00247221"/>
    <w:rPr>
      <w:rFonts w:cs="Lohit Devanagari"/>
    </w:rPr>
  </w:style>
  <w:style w:type="paragraph" w:customStyle="1" w:styleId="gray3">
    <w:name w:val="gray3"/>
    <w:basedOn w:val="default"/>
    <w:rsid w:val="00247221"/>
    <w:rPr>
      <w:rFonts w:cs="Lohit Devanagari"/>
    </w:rPr>
  </w:style>
  <w:style w:type="paragraph" w:customStyle="1" w:styleId="bw1">
    <w:name w:val="bw1"/>
    <w:basedOn w:val="default"/>
    <w:rsid w:val="00247221"/>
    <w:rPr>
      <w:rFonts w:cs="Lohit Devanagari"/>
    </w:rPr>
  </w:style>
  <w:style w:type="paragraph" w:customStyle="1" w:styleId="bw2">
    <w:name w:val="bw2"/>
    <w:basedOn w:val="default"/>
    <w:rsid w:val="00247221"/>
    <w:rPr>
      <w:rFonts w:cs="Lohit Devanagari"/>
    </w:rPr>
  </w:style>
  <w:style w:type="paragraph" w:customStyle="1" w:styleId="bw3">
    <w:name w:val="bw3"/>
    <w:basedOn w:val="default"/>
    <w:rsid w:val="00247221"/>
    <w:rPr>
      <w:rFonts w:cs="Lohit Devanagari"/>
    </w:rPr>
  </w:style>
  <w:style w:type="paragraph" w:customStyle="1" w:styleId="orange1">
    <w:name w:val="orange1"/>
    <w:basedOn w:val="default"/>
    <w:rsid w:val="00247221"/>
    <w:rPr>
      <w:rFonts w:cs="Lohit Devanagari"/>
    </w:rPr>
  </w:style>
  <w:style w:type="paragraph" w:customStyle="1" w:styleId="orange2">
    <w:name w:val="orange2"/>
    <w:basedOn w:val="default"/>
    <w:rsid w:val="00247221"/>
    <w:rPr>
      <w:rFonts w:cs="Lohit Devanagari"/>
    </w:rPr>
  </w:style>
  <w:style w:type="paragraph" w:customStyle="1" w:styleId="orange3">
    <w:name w:val="orange3"/>
    <w:basedOn w:val="default"/>
    <w:rsid w:val="00247221"/>
    <w:rPr>
      <w:rFonts w:cs="Lohit Devanagari"/>
    </w:rPr>
  </w:style>
  <w:style w:type="paragraph" w:customStyle="1" w:styleId="turquoise1">
    <w:name w:val="turquoise1"/>
    <w:basedOn w:val="default"/>
    <w:rsid w:val="00247221"/>
    <w:rPr>
      <w:rFonts w:cs="Lohit Devanagari"/>
    </w:rPr>
  </w:style>
  <w:style w:type="paragraph" w:customStyle="1" w:styleId="turquoise2">
    <w:name w:val="turquoise2"/>
    <w:basedOn w:val="default"/>
    <w:rsid w:val="00247221"/>
    <w:rPr>
      <w:rFonts w:cs="Lohit Devanagari"/>
    </w:rPr>
  </w:style>
  <w:style w:type="paragraph" w:customStyle="1" w:styleId="turquoise3">
    <w:name w:val="turquoise3"/>
    <w:basedOn w:val="default"/>
    <w:rsid w:val="00247221"/>
    <w:rPr>
      <w:rFonts w:cs="Lohit Devanagari"/>
    </w:rPr>
  </w:style>
  <w:style w:type="paragraph" w:customStyle="1" w:styleId="blue1">
    <w:name w:val="blue1"/>
    <w:basedOn w:val="default"/>
    <w:rsid w:val="00247221"/>
    <w:rPr>
      <w:rFonts w:cs="Lohit Devanagari"/>
    </w:rPr>
  </w:style>
  <w:style w:type="paragraph" w:customStyle="1" w:styleId="blue2">
    <w:name w:val="blue2"/>
    <w:basedOn w:val="default"/>
    <w:rsid w:val="00247221"/>
    <w:rPr>
      <w:rFonts w:cs="Lohit Devanagari"/>
    </w:rPr>
  </w:style>
  <w:style w:type="paragraph" w:customStyle="1" w:styleId="blue3">
    <w:name w:val="blue3"/>
    <w:basedOn w:val="default"/>
    <w:rsid w:val="00247221"/>
    <w:rPr>
      <w:rFonts w:cs="Lohit Devanagari"/>
    </w:rPr>
  </w:style>
  <w:style w:type="paragraph" w:customStyle="1" w:styleId="sun1">
    <w:name w:val="sun1"/>
    <w:basedOn w:val="default"/>
    <w:rsid w:val="00247221"/>
    <w:rPr>
      <w:rFonts w:cs="Lohit Devanagari"/>
    </w:rPr>
  </w:style>
  <w:style w:type="paragraph" w:customStyle="1" w:styleId="sun2">
    <w:name w:val="sun2"/>
    <w:basedOn w:val="default"/>
    <w:rsid w:val="00247221"/>
    <w:rPr>
      <w:rFonts w:cs="Lohit Devanagari"/>
    </w:rPr>
  </w:style>
  <w:style w:type="paragraph" w:customStyle="1" w:styleId="sun3">
    <w:name w:val="sun3"/>
    <w:basedOn w:val="default"/>
    <w:rsid w:val="00247221"/>
    <w:rPr>
      <w:rFonts w:cs="Lohit Devanagari"/>
    </w:rPr>
  </w:style>
  <w:style w:type="paragraph" w:customStyle="1" w:styleId="earth1">
    <w:name w:val="earth1"/>
    <w:basedOn w:val="default"/>
    <w:rsid w:val="00247221"/>
    <w:rPr>
      <w:rFonts w:cs="Lohit Devanagari"/>
    </w:rPr>
  </w:style>
  <w:style w:type="paragraph" w:customStyle="1" w:styleId="earth2">
    <w:name w:val="earth2"/>
    <w:basedOn w:val="default"/>
    <w:rsid w:val="00247221"/>
    <w:rPr>
      <w:rFonts w:cs="Lohit Devanagari"/>
    </w:rPr>
  </w:style>
  <w:style w:type="paragraph" w:customStyle="1" w:styleId="earth3">
    <w:name w:val="earth3"/>
    <w:basedOn w:val="default"/>
    <w:rsid w:val="00247221"/>
    <w:rPr>
      <w:rFonts w:cs="Lohit Devanagari"/>
    </w:rPr>
  </w:style>
  <w:style w:type="paragraph" w:customStyle="1" w:styleId="green1">
    <w:name w:val="green1"/>
    <w:basedOn w:val="default"/>
    <w:rsid w:val="00247221"/>
    <w:rPr>
      <w:rFonts w:cs="Lohit Devanagari"/>
    </w:rPr>
  </w:style>
  <w:style w:type="paragraph" w:customStyle="1" w:styleId="green2">
    <w:name w:val="green2"/>
    <w:basedOn w:val="default"/>
    <w:rsid w:val="00247221"/>
    <w:rPr>
      <w:rFonts w:cs="Lohit Devanagari"/>
    </w:rPr>
  </w:style>
  <w:style w:type="paragraph" w:customStyle="1" w:styleId="green3">
    <w:name w:val="green3"/>
    <w:basedOn w:val="default"/>
    <w:rsid w:val="00247221"/>
    <w:rPr>
      <w:rFonts w:cs="Lohit Devanagari"/>
    </w:rPr>
  </w:style>
  <w:style w:type="paragraph" w:customStyle="1" w:styleId="seetang1">
    <w:name w:val="seetang1"/>
    <w:basedOn w:val="default"/>
    <w:rsid w:val="00247221"/>
    <w:rPr>
      <w:rFonts w:cs="Lohit Devanagari"/>
    </w:rPr>
  </w:style>
  <w:style w:type="paragraph" w:customStyle="1" w:styleId="seetang2">
    <w:name w:val="seetang2"/>
    <w:basedOn w:val="default"/>
    <w:rsid w:val="00247221"/>
    <w:rPr>
      <w:rFonts w:cs="Lohit Devanagari"/>
    </w:rPr>
  </w:style>
  <w:style w:type="paragraph" w:customStyle="1" w:styleId="seetang3">
    <w:name w:val="seetang3"/>
    <w:basedOn w:val="default"/>
    <w:rsid w:val="00247221"/>
    <w:rPr>
      <w:rFonts w:cs="Lohit Devanagari"/>
    </w:rPr>
  </w:style>
  <w:style w:type="paragraph" w:customStyle="1" w:styleId="lightblue1">
    <w:name w:val="lightblue1"/>
    <w:basedOn w:val="default"/>
    <w:rsid w:val="00247221"/>
    <w:rPr>
      <w:rFonts w:cs="Lohit Devanagari"/>
    </w:rPr>
  </w:style>
  <w:style w:type="paragraph" w:customStyle="1" w:styleId="lightblue2">
    <w:name w:val="lightblue2"/>
    <w:basedOn w:val="default"/>
    <w:rsid w:val="00247221"/>
    <w:rPr>
      <w:rFonts w:cs="Lohit Devanagari"/>
    </w:rPr>
  </w:style>
  <w:style w:type="paragraph" w:customStyle="1" w:styleId="lightblue3">
    <w:name w:val="lightblue3"/>
    <w:basedOn w:val="default"/>
    <w:rsid w:val="00247221"/>
    <w:rPr>
      <w:rFonts w:cs="Lohit Devanagari"/>
    </w:rPr>
  </w:style>
  <w:style w:type="paragraph" w:customStyle="1" w:styleId="yellow1">
    <w:name w:val="yellow1"/>
    <w:basedOn w:val="default"/>
    <w:rsid w:val="00247221"/>
    <w:rPr>
      <w:rFonts w:cs="Lohit Devanagari"/>
    </w:rPr>
  </w:style>
  <w:style w:type="paragraph" w:customStyle="1" w:styleId="yellow2">
    <w:name w:val="yellow2"/>
    <w:basedOn w:val="default"/>
    <w:rsid w:val="00247221"/>
    <w:rPr>
      <w:rFonts w:cs="Lohit Devanagari"/>
    </w:rPr>
  </w:style>
  <w:style w:type="paragraph" w:customStyle="1" w:styleId="yellow3">
    <w:name w:val="yellow3"/>
    <w:basedOn w:val="default"/>
    <w:rsid w:val="00247221"/>
    <w:rPr>
      <w:rFonts w:cs="Lohit Devanagari"/>
    </w:rPr>
  </w:style>
  <w:style w:type="paragraph" w:customStyle="1" w:styleId="afff0">
    <w:name w:val="Об'єкти на тлі"/>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afff1">
    <w:name w:val="Тло"/>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1fc">
    <w:name w:val="Структура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29">
    <w:name w:val="Структура 2"/>
    <w:basedOn w:val="1fc"/>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38">
    <w:name w:val="Структура 3"/>
    <w:basedOn w:val="29"/>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48">
    <w:name w:val="Структура 4"/>
    <w:basedOn w:val="38"/>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55">
    <w:name w:val="Структура 5"/>
    <w:basedOn w:val="48"/>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64">
    <w:name w:val="Структура 6"/>
    <w:basedOn w:val="55"/>
    <w:rsid w:val="00247221"/>
  </w:style>
  <w:style w:type="paragraph" w:customStyle="1" w:styleId="74">
    <w:name w:val="Структура 7"/>
    <w:basedOn w:val="64"/>
    <w:rsid w:val="00247221"/>
  </w:style>
  <w:style w:type="paragraph" w:customStyle="1" w:styleId="84">
    <w:name w:val="Структура 8"/>
    <w:basedOn w:val="74"/>
    <w:rsid w:val="00247221"/>
  </w:style>
  <w:style w:type="paragraph" w:customStyle="1" w:styleId="94">
    <w:name w:val="Структура 9"/>
    <w:basedOn w:val="84"/>
    <w:rsid w:val="00247221"/>
  </w:style>
  <w:style w:type="paragraph" w:customStyle="1" w:styleId="1LTGliederung1">
    <w:name w:val="Заголовок1~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1LTGliederung2">
    <w:name w:val="Заголовок1~LT~Gliederung 2"/>
    <w:basedOn w:val="1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1LTGliederung3">
    <w:name w:val="Заголовок1~LT~Gliederung 3"/>
    <w:basedOn w:val="1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1LTGliederung4">
    <w:name w:val="Заголовок1~LT~Gliederung 4"/>
    <w:basedOn w:val="1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1LTGliederung5">
    <w:name w:val="Заголовок1~LT~Gliederung 5"/>
    <w:basedOn w:val="1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1LTGliederung6">
    <w:name w:val="Заголовок1~LT~Gliederung 6"/>
    <w:basedOn w:val="1LTGliederung5"/>
    <w:rsid w:val="00247221"/>
  </w:style>
  <w:style w:type="paragraph" w:customStyle="1" w:styleId="1LTGliederung7">
    <w:name w:val="Заголовок1~LT~Gliederung 7"/>
    <w:basedOn w:val="1LTGliederung6"/>
    <w:rsid w:val="00247221"/>
  </w:style>
  <w:style w:type="paragraph" w:customStyle="1" w:styleId="1LTGliederung8">
    <w:name w:val="Заголовок1~LT~Gliederung 8"/>
    <w:basedOn w:val="1LTGliederung7"/>
    <w:rsid w:val="00247221"/>
  </w:style>
  <w:style w:type="paragraph" w:customStyle="1" w:styleId="1LTGliederung9">
    <w:name w:val="Заголовок1~LT~Gliederung 9"/>
    <w:basedOn w:val="1LTGliederung8"/>
    <w:rsid w:val="00247221"/>
  </w:style>
  <w:style w:type="paragraph" w:customStyle="1" w:styleId="1LTTitel">
    <w:name w:val="Заголовок1~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1LTUntertitel">
    <w:name w:val="Заголовок1~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1LTNotizen">
    <w:name w:val="Заголовок1~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1LTHintergrundobjekte">
    <w:name w:val="Заголовок1~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1LTHintergrund">
    <w:name w:val="Заголовок1~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2LTGliederung1">
    <w:name w:val="Заголовок2~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FFFFFF"/>
      <w:kern w:val="2"/>
      <w:sz w:val="52"/>
      <w:szCs w:val="24"/>
      <w:lang w:eastAsia="zh-CN" w:bidi="hi-IN"/>
    </w:rPr>
  </w:style>
  <w:style w:type="paragraph" w:customStyle="1" w:styleId="2LTGliederung2">
    <w:name w:val="Заголовок2~LT~Gliederung 2"/>
    <w:basedOn w:val="2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EEECE1"/>
      <w:sz w:val="46"/>
    </w:rPr>
  </w:style>
  <w:style w:type="paragraph" w:customStyle="1" w:styleId="2LTGliederung3">
    <w:name w:val="Заголовок2~LT~Gliederung 3"/>
    <w:basedOn w:val="2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2LTGliederung4">
    <w:name w:val="Заголовок2~LT~Gliederung 4"/>
    <w:basedOn w:val="2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2LTGliederung5">
    <w:name w:val="Заголовок2~LT~Gliederung 5"/>
    <w:basedOn w:val="2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2LTGliederung6">
    <w:name w:val="Заголовок2~LT~Gliederung 6"/>
    <w:basedOn w:val="2LTGliederung5"/>
    <w:rsid w:val="00247221"/>
  </w:style>
  <w:style w:type="paragraph" w:customStyle="1" w:styleId="2LTGliederung7">
    <w:name w:val="Заголовок2~LT~Gliederung 7"/>
    <w:basedOn w:val="2LTGliederung6"/>
    <w:rsid w:val="00247221"/>
  </w:style>
  <w:style w:type="paragraph" w:customStyle="1" w:styleId="2LTGliederung8">
    <w:name w:val="Заголовок2~LT~Gliederung 8"/>
    <w:basedOn w:val="2LTGliederung7"/>
    <w:rsid w:val="00247221"/>
  </w:style>
  <w:style w:type="paragraph" w:customStyle="1" w:styleId="2LTGliederung9">
    <w:name w:val="Заголовок2~LT~Gliederung 9"/>
    <w:basedOn w:val="2LTGliederung8"/>
    <w:rsid w:val="00247221"/>
  </w:style>
  <w:style w:type="paragraph" w:customStyle="1" w:styleId="2LTTitel">
    <w:name w:val="Заголовок2~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EEECE1"/>
      <w:kern w:val="2"/>
      <w:sz w:val="64"/>
      <w:szCs w:val="24"/>
      <w:lang w:eastAsia="zh-CN" w:bidi="hi-IN"/>
    </w:rPr>
  </w:style>
  <w:style w:type="paragraph" w:customStyle="1" w:styleId="2LTUntertitel">
    <w:name w:val="Заголовок2~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FFFFFF"/>
      <w:kern w:val="2"/>
      <w:sz w:val="52"/>
      <w:szCs w:val="24"/>
      <w:lang w:eastAsia="zh-CN" w:bidi="hi-IN"/>
    </w:rPr>
  </w:style>
  <w:style w:type="paragraph" w:customStyle="1" w:styleId="2LTNotizen">
    <w:name w:val="Заголовок2~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2LTHintergrundobjekte">
    <w:name w:val="Заголовок2~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2LTHintergrund">
    <w:name w:val="Заголовок2~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3LTGliederung1">
    <w:name w:val="Заголовок3~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3LTGliederung2">
    <w:name w:val="Заголовок3~LT~Gliederung 2"/>
    <w:basedOn w:val="3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3LTGliederung3">
    <w:name w:val="Заголовок3~LT~Gliederung 3"/>
    <w:basedOn w:val="3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3LTGliederung4">
    <w:name w:val="Заголовок3~LT~Gliederung 4"/>
    <w:basedOn w:val="3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3LTGliederung5">
    <w:name w:val="Заголовок3~LT~Gliederung 5"/>
    <w:basedOn w:val="3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3LTGliederung6">
    <w:name w:val="Заголовок3~LT~Gliederung 6"/>
    <w:basedOn w:val="3LTGliederung5"/>
    <w:rsid w:val="00247221"/>
  </w:style>
  <w:style w:type="paragraph" w:customStyle="1" w:styleId="3LTGliederung7">
    <w:name w:val="Заголовок3~LT~Gliederung 7"/>
    <w:basedOn w:val="3LTGliederung6"/>
    <w:rsid w:val="00247221"/>
  </w:style>
  <w:style w:type="paragraph" w:customStyle="1" w:styleId="3LTGliederung8">
    <w:name w:val="Заголовок3~LT~Gliederung 8"/>
    <w:basedOn w:val="3LTGliederung7"/>
    <w:rsid w:val="00247221"/>
  </w:style>
  <w:style w:type="paragraph" w:customStyle="1" w:styleId="3LTGliederung9">
    <w:name w:val="Заголовок3~LT~Gliederung 9"/>
    <w:basedOn w:val="3LTGliederung8"/>
    <w:rsid w:val="00247221"/>
  </w:style>
  <w:style w:type="paragraph" w:customStyle="1" w:styleId="3LTTitel">
    <w:name w:val="Заголовок3~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3LTUntertitel">
    <w:name w:val="Заголовок3~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3LTNotizen">
    <w:name w:val="Заголовок3~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3LTHintergrundobjekte">
    <w:name w:val="Заголовок3~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3LTHintergrund">
    <w:name w:val="Заголовок3~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4LTGliederung1">
    <w:name w:val="Заголовок4~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4LTGliederung2">
    <w:name w:val="Заголовок4~LT~Gliederung 2"/>
    <w:basedOn w:val="4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4LTGliederung3">
    <w:name w:val="Заголовок4~LT~Gliederung 3"/>
    <w:basedOn w:val="4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4LTGliederung4">
    <w:name w:val="Заголовок4~LT~Gliederung 4"/>
    <w:basedOn w:val="4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4LTGliederung5">
    <w:name w:val="Заголовок4~LT~Gliederung 5"/>
    <w:basedOn w:val="4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4LTGliederung6">
    <w:name w:val="Заголовок4~LT~Gliederung 6"/>
    <w:basedOn w:val="4LTGliederung5"/>
    <w:rsid w:val="00247221"/>
  </w:style>
  <w:style w:type="paragraph" w:customStyle="1" w:styleId="4LTGliederung7">
    <w:name w:val="Заголовок4~LT~Gliederung 7"/>
    <w:basedOn w:val="4LTGliederung6"/>
    <w:rsid w:val="00247221"/>
  </w:style>
  <w:style w:type="paragraph" w:customStyle="1" w:styleId="4LTGliederung8">
    <w:name w:val="Заголовок4~LT~Gliederung 8"/>
    <w:basedOn w:val="4LTGliederung7"/>
    <w:rsid w:val="00247221"/>
  </w:style>
  <w:style w:type="paragraph" w:customStyle="1" w:styleId="4LTGliederung9">
    <w:name w:val="Заголовок4~LT~Gliederung 9"/>
    <w:basedOn w:val="4LTGliederung8"/>
    <w:rsid w:val="00247221"/>
  </w:style>
  <w:style w:type="paragraph" w:customStyle="1" w:styleId="4LTTitel">
    <w:name w:val="Заголовок4~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4LTUntertitel">
    <w:name w:val="Заголовок4~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4LTNotizen">
    <w:name w:val="Заголовок4~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4LTHintergrundobjekte">
    <w:name w:val="Заголовок4~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4LTHintergrund">
    <w:name w:val="Заголовок4~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5LTGliederung1">
    <w:name w:val="Заголовок5~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5LTGliederung2">
    <w:name w:val="Заголовок5~LT~Gliederung 2"/>
    <w:basedOn w:val="5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5LTGliederung3">
    <w:name w:val="Заголовок5~LT~Gliederung 3"/>
    <w:basedOn w:val="5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5LTGliederung4">
    <w:name w:val="Заголовок5~LT~Gliederung 4"/>
    <w:basedOn w:val="5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5LTGliederung5">
    <w:name w:val="Заголовок5~LT~Gliederung 5"/>
    <w:basedOn w:val="5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5LTGliederung6">
    <w:name w:val="Заголовок5~LT~Gliederung 6"/>
    <w:basedOn w:val="5LTGliederung5"/>
    <w:rsid w:val="00247221"/>
  </w:style>
  <w:style w:type="paragraph" w:customStyle="1" w:styleId="5LTGliederung7">
    <w:name w:val="Заголовок5~LT~Gliederung 7"/>
    <w:basedOn w:val="5LTGliederung6"/>
    <w:rsid w:val="00247221"/>
  </w:style>
  <w:style w:type="paragraph" w:customStyle="1" w:styleId="5LTGliederung8">
    <w:name w:val="Заголовок5~LT~Gliederung 8"/>
    <w:basedOn w:val="5LTGliederung7"/>
    <w:rsid w:val="00247221"/>
  </w:style>
  <w:style w:type="paragraph" w:customStyle="1" w:styleId="5LTGliederung9">
    <w:name w:val="Заголовок5~LT~Gliederung 9"/>
    <w:basedOn w:val="5LTGliederung8"/>
    <w:rsid w:val="00247221"/>
  </w:style>
  <w:style w:type="paragraph" w:customStyle="1" w:styleId="5LTTitel">
    <w:name w:val="Заголовок5~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5LTUntertitel">
    <w:name w:val="Заголовок5~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5LTNotizen">
    <w:name w:val="Заголовок5~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5LTHintergrundobjekte">
    <w:name w:val="Заголовок5~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5LTHintergrund">
    <w:name w:val="Заголовок5~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6LTGliederung1">
    <w:name w:val="Заголовок6~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FFFFFF"/>
      <w:kern w:val="2"/>
      <w:sz w:val="52"/>
      <w:szCs w:val="24"/>
      <w:lang w:eastAsia="zh-CN" w:bidi="hi-IN"/>
    </w:rPr>
  </w:style>
  <w:style w:type="paragraph" w:customStyle="1" w:styleId="6LTGliederung2">
    <w:name w:val="Заголовок6~LT~Gliederung 2"/>
    <w:basedOn w:val="6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EEECE1"/>
      <w:sz w:val="46"/>
    </w:rPr>
  </w:style>
  <w:style w:type="paragraph" w:customStyle="1" w:styleId="6LTGliederung3">
    <w:name w:val="Заголовок6~LT~Gliederung 3"/>
    <w:basedOn w:val="6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6LTGliederung4">
    <w:name w:val="Заголовок6~LT~Gliederung 4"/>
    <w:basedOn w:val="6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6LTGliederung5">
    <w:name w:val="Заголовок6~LT~Gliederung 5"/>
    <w:basedOn w:val="6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6LTGliederung6">
    <w:name w:val="Заголовок6~LT~Gliederung 6"/>
    <w:basedOn w:val="6LTGliederung5"/>
    <w:rsid w:val="00247221"/>
  </w:style>
  <w:style w:type="paragraph" w:customStyle="1" w:styleId="6LTGliederung7">
    <w:name w:val="Заголовок6~LT~Gliederung 7"/>
    <w:basedOn w:val="6LTGliederung6"/>
    <w:rsid w:val="00247221"/>
  </w:style>
  <w:style w:type="paragraph" w:customStyle="1" w:styleId="6LTGliederung8">
    <w:name w:val="Заголовок6~LT~Gliederung 8"/>
    <w:basedOn w:val="6LTGliederung7"/>
    <w:rsid w:val="00247221"/>
  </w:style>
  <w:style w:type="paragraph" w:customStyle="1" w:styleId="6LTGliederung9">
    <w:name w:val="Заголовок6~LT~Gliederung 9"/>
    <w:basedOn w:val="6LTGliederung8"/>
    <w:rsid w:val="00247221"/>
  </w:style>
  <w:style w:type="paragraph" w:customStyle="1" w:styleId="6LTTitel">
    <w:name w:val="Заголовок6~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EEECE1"/>
      <w:kern w:val="2"/>
      <w:sz w:val="64"/>
      <w:szCs w:val="24"/>
      <w:lang w:eastAsia="zh-CN" w:bidi="hi-IN"/>
    </w:rPr>
  </w:style>
  <w:style w:type="paragraph" w:customStyle="1" w:styleId="6LTUntertitel">
    <w:name w:val="Заголовок6~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FFFFFF"/>
      <w:kern w:val="2"/>
      <w:sz w:val="52"/>
      <w:szCs w:val="24"/>
      <w:lang w:eastAsia="zh-CN" w:bidi="hi-IN"/>
    </w:rPr>
  </w:style>
  <w:style w:type="paragraph" w:customStyle="1" w:styleId="6LTNotizen">
    <w:name w:val="Заголовок6~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6LTHintergrundobjekte">
    <w:name w:val="Заголовок6~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6LTHintergrund">
    <w:name w:val="Заголовок6~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7LTGliederung1">
    <w:name w:val="Заголовок7~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7LTGliederung2">
    <w:name w:val="Заголовок7~LT~Gliederung 2"/>
    <w:basedOn w:val="7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7LTGliederung3">
    <w:name w:val="Заголовок7~LT~Gliederung 3"/>
    <w:basedOn w:val="7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7LTGliederung4">
    <w:name w:val="Заголовок7~LT~Gliederung 4"/>
    <w:basedOn w:val="7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7LTGliederung5">
    <w:name w:val="Заголовок7~LT~Gliederung 5"/>
    <w:basedOn w:val="7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7LTGliederung6">
    <w:name w:val="Заголовок7~LT~Gliederung 6"/>
    <w:basedOn w:val="7LTGliederung5"/>
    <w:rsid w:val="00247221"/>
  </w:style>
  <w:style w:type="paragraph" w:customStyle="1" w:styleId="7LTGliederung7">
    <w:name w:val="Заголовок7~LT~Gliederung 7"/>
    <w:basedOn w:val="7LTGliederung6"/>
    <w:rsid w:val="00247221"/>
  </w:style>
  <w:style w:type="paragraph" w:customStyle="1" w:styleId="7LTGliederung8">
    <w:name w:val="Заголовок7~LT~Gliederung 8"/>
    <w:basedOn w:val="7LTGliederung7"/>
    <w:rsid w:val="00247221"/>
  </w:style>
  <w:style w:type="paragraph" w:customStyle="1" w:styleId="7LTGliederung9">
    <w:name w:val="Заголовок7~LT~Gliederung 9"/>
    <w:basedOn w:val="7LTGliederung8"/>
    <w:rsid w:val="00247221"/>
  </w:style>
  <w:style w:type="paragraph" w:customStyle="1" w:styleId="7LTTitel">
    <w:name w:val="Заголовок7~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7LTUntertitel">
    <w:name w:val="Заголовок7~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7LTNotizen">
    <w:name w:val="Заголовок7~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7LTHintergrundobjekte">
    <w:name w:val="Заголовок7~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7LTHintergrund">
    <w:name w:val="Заголовок7~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8LTGliederung1">
    <w:name w:val="Заголовок8~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Noto Sans CJK SC Regular" w:eastAsia="Tahoma" w:hAnsi="Noto Sans CJK SC Regular" w:cs="Liberation Sans"/>
      <w:color w:val="000000"/>
      <w:kern w:val="2"/>
      <w:sz w:val="52"/>
      <w:szCs w:val="24"/>
      <w:lang w:eastAsia="zh-CN" w:bidi="hi-IN"/>
    </w:rPr>
  </w:style>
  <w:style w:type="paragraph" w:customStyle="1" w:styleId="8LTGliederung2">
    <w:name w:val="Заголовок8~LT~Gliederung 2"/>
    <w:basedOn w:val="8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Noto Sans CJK SC Regular"/>
      <w:color w:val="1F497D"/>
      <w:sz w:val="46"/>
    </w:rPr>
  </w:style>
  <w:style w:type="paragraph" w:customStyle="1" w:styleId="8LTGliederung3">
    <w:name w:val="Заголовок8~LT~Gliederung 3"/>
    <w:basedOn w:val="8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8LTGliederung4">
    <w:name w:val="Заголовок8~LT~Gliederung 4"/>
    <w:basedOn w:val="8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8LTGliederung5">
    <w:name w:val="Заголовок8~LT~Gliederung 5"/>
    <w:basedOn w:val="8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8LTGliederung6">
    <w:name w:val="Заголовок8~LT~Gliederung 6"/>
    <w:basedOn w:val="8LTGliederung5"/>
    <w:rsid w:val="00247221"/>
  </w:style>
  <w:style w:type="paragraph" w:customStyle="1" w:styleId="8LTGliederung7">
    <w:name w:val="Заголовок8~LT~Gliederung 7"/>
    <w:basedOn w:val="8LTGliederung6"/>
    <w:rsid w:val="00247221"/>
  </w:style>
  <w:style w:type="paragraph" w:customStyle="1" w:styleId="8LTGliederung8">
    <w:name w:val="Заголовок8~LT~Gliederung 8"/>
    <w:basedOn w:val="8LTGliederung7"/>
    <w:rsid w:val="00247221"/>
  </w:style>
  <w:style w:type="paragraph" w:customStyle="1" w:styleId="8LTGliederung9">
    <w:name w:val="Заголовок8~LT~Gliederung 9"/>
    <w:basedOn w:val="8LTGliederung8"/>
    <w:rsid w:val="00247221"/>
  </w:style>
  <w:style w:type="paragraph" w:customStyle="1" w:styleId="8LTTitel">
    <w:name w:val="Заголовок8~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Noto Sans CJK SC Regular" w:eastAsia="Tahoma" w:hAnsi="Noto Sans CJK SC Regular" w:cs="Liberation Sans"/>
      <w:color w:val="1F497D"/>
      <w:kern w:val="2"/>
      <w:sz w:val="64"/>
      <w:szCs w:val="24"/>
      <w:lang w:eastAsia="zh-CN" w:bidi="hi-IN"/>
    </w:rPr>
  </w:style>
  <w:style w:type="paragraph" w:customStyle="1" w:styleId="8LTUntertitel">
    <w:name w:val="Заголовок8~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Noto Sans CJK SC Regular" w:eastAsia="Tahoma" w:hAnsi="Noto Sans CJK SC Regular" w:cs="Liberation Sans"/>
      <w:color w:val="000000"/>
      <w:kern w:val="2"/>
      <w:sz w:val="52"/>
      <w:szCs w:val="24"/>
      <w:lang w:eastAsia="zh-CN" w:bidi="hi-IN"/>
    </w:rPr>
  </w:style>
  <w:style w:type="paragraph" w:customStyle="1" w:styleId="8LTNotizen">
    <w:name w:val="Заголовок8~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8LTHintergrundobjekte">
    <w:name w:val="Заголовок8~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8LTHintergrund">
    <w:name w:val="Заголовок8~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9LTGliederung1">
    <w:name w:val="Заголовок9~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9LTGliederung2">
    <w:name w:val="Заголовок9~LT~Gliederung 2"/>
    <w:basedOn w:val="9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9LTGliederung3">
    <w:name w:val="Заголовок9~LT~Gliederung 3"/>
    <w:basedOn w:val="9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9LTGliederung4">
    <w:name w:val="Заголовок9~LT~Gliederung 4"/>
    <w:basedOn w:val="9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9LTGliederung5">
    <w:name w:val="Заголовок9~LT~Gliederung 5"/>
    <w:basedOn w:val="9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9LTGliederung6">
    <w:name w:val="Заголовок9~LT~Gliederung 6"/>
    <w:basedOn w:val="9LTGliederung5"/>
    <w:rsid w:val="00247221"/>
  </w:style>
  <w:style w:type="paragraph" w:customStyle="1" w:styleId="9LTGliederung7">
    <w:name w:val="Заголовок9~LT~Gliederung 7"/>
    <w:basedOn w:val="9LTGliederung6"/>
    <w:rsid w:val="00247221"/>
  </w:style>
  <w:style w:type="paragraph" w:customStyle="1" w:styleId="9LTGliederung8">
    <w:name w:val="Заголовок9~LT~Gliederung 8"/>
    <w:basedOn w:val="9LTGliederung7"/>
    <w:rsid w:val="00247221"/>
  </w:style>
  <w:style w:type="paragraph" w:customStyle="1" w:styleId="9LTGliederung9">
    <w:name w:val="Заголовок9~LT~Gliederung 9"/>
    <w:basedOn w:val="9LTGliederung8"/>
    <w:rsid w:val="00247221"/>
  </w:style>
  <w:style w:type="paragraph" w:customStyle="1" w:styleId="9LTTitel">
    <w:name w:val="Заголовок9~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58"/>
      <w:szCs w:val="24"/>
      <w:lang w:eastAsia="zh-CN" w:bidi="hi-IN"/>
    </w:rPr>
  </w:style>
  <w:style w:type="paragraph" w:customStyle="1" w:styleId="9LTUntertitel">
    <w:name w:val="Заголовок9~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9LTNotizen">
    <w:name w:val="Заголовок9~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9LTHintergrundobjekte">
    <w:name w:val="Заголовок9~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9LTHintergrund">
    <w:name w:val="Заголовок9~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39">
    <w:name w:val="Текст примечания3"/>
    <w:basedOn w:val="a"/>
    <w:rsid w:val="00247221"/>
    <w:pPr>
      <w:spacing w:line="240" w:lineRule="auto"/>
    </w:pPr>
    <w:rPr>
      <w:rFonts w:ascii="Times New Roman" w:hAnsi="Times New Roman" w:cs="Times New Roman"/>
      <w:sz w:val="20"/>
      <w:szCs w:val="20"/>
    </w:rPr>
  </w:style>
  <w:style w:type="paragraph" w:customStyle="1" w:styleId="49">
    <w:name w:val="Текст примечания4"/>
    <w:basedOn w:val="a"/>
    <w:rsid w:val="00247221"/>
    <w:pPr>
      <w:spacing w:line="240" w:lineRule="auto"/>
    </w:pPr>
    <w:rPr>
      <w:rFonts w:ascii="Times New Roman" w:hAnsi="Times New Roman" w:cs="Times New Roman"/>
      <w:sz w:val="20"/>
      <w:szCs w:val="20"/>
    </w:rPr>
  </w:style>
  <w:style w:type="paragraph" w:customStyle="1" w:styleId="1fd">
    <w:name w:val="Верхній колонтитул1"/>
    <w:basedOn w:val="a"/>
    <w:rsid w:val="00247221"/>
    <w:pPr>
      <w:tabs>
        <w:tab w:val="center" w:pos="4819"/>
        <w:tab w:val="right" w:pos="9639"/>
      </w:tabs>
      <w:spacing w:line="240" w:lineRule="auto"/>
    </w:pPr>
    <w:rPr>
      <w:rFonts w:ascii="Times New Roman" w:hAnsi="Times New Roman" w:cs="Times New Roman"/>
      <w:sz w:val="24"/>
      <w:szCs w:val="24"/>
    </w:rPr>
  </w:style>
  <w:style w:type="paragraph" w:customStyle="1" w:styleId="western">
    <w:name w:val="western"/>
    <w:basedOn w:val="a"/>
    <w:rsid w:val="00247221"/>
    <w:pPr>
      <w:shd w:val="clear" w:color="auto" w:fill="FFFFFF"/>
      <w:suppressAutoHyphens w:val="0"/>
      <w:spacing w:before="100" w:line="240" w:lineRule="auto"/>
    </w:pPr>
    <w:rPr>
      <w:color w:val="000000"/>
      <w:sz w:val="20"/>
      <w:szCs w:val="20"/>
    </w:rPr>
  </w:style>
  <w:style w:type="paragraph" w:customStyle="1" w:styleId="LO-normal">
    <w:name w:val="LO-normal"/>
    <w:rsid w:val="00247221"/>
    <w:pPr>
      <w:suppressAutoHyphens/>
    </w:pPr>
    <w:rPr>
      <w:rFonts w:eastAsia="Noto Serif CJK SC" w:cs="Lohit Devanagari"/>
      <w:lang w:eastAsia="zh-CN" w:bidi="hi-IN"/>
    </w:rPr>
  </w:style>
  <w:style w:type="paragraph" w:styleId="afff2">
    <w:name w:val="Balloon Text"/>
    <w:basedOn w:val="a"/>
    <w:link w:val="1fe"/>
    <w:uiPriority w:val="99"/>
    <w:semiHidden/>
    <w:unhideWhenUsed/>
    <w:rsid w:val="00824E46"/>
    <w:pPr>
      <w:spacing w:line="240" w:lineRule="auto"/>
    </w:pPr>
    <w:rPr>
      <w:rFonts w:ascii="Segoe UI" w:hAnsi="Segoe UI" w:cs="Segoe UI"/>
      <w:sz w:val="18"/>
      <w:szCs w:val="18"/>
    </w:rPr>
  </w:style>
  <w:style w:type="character" w:customStyle="1" w:styleId="1fe">
    <w:name w:val="Текст выноски Знак1"/>
    <w:link w:val="afff2"/>
    <w:uiPriority w:val="99"/>
    <w:semiHidden/>
    <w:rsid w:val="00824E46"/>
    <w:rPr>
      <w:rFonts w:ascii="Segoe UI" w:hAnsi="Segoe UI" w:cs="Segoe UI"/>
      <w:sz w:val="18"/>
      <w:szCs w:val="18"/>
      <w:lang w:eastAsia="zh-CN"/>
    </w:rPr>
  </w:style>
  <w:style w:type="paragraph" w:customStyle="1" w:styleId="EquationComment">
    <w:name w:val="EquationComment"/>
    <w:basedOn w:val="a"/>
    <w:next w:val="a"/>
    <w:rsid w:val="00ED641E"/>
    <w:pPr>
      <w:spacing w:line="360" w:lineRule="auto"/>
    </w:pPr>
    <w:rPr>
      <w:szCs w:val="20"/>
      <w:lang w:eastAsia="uk-UA"/>
    </w:rPr>
  </w:style>
  <w:style w:type="paragraph" w:customStyle="1" w:styleId="Equation">
    <w:name w:val="Equation"/>
    <w:basedOn w:val="a"/>
    <w:next w:val="EquationComment"/>
    <w:rsid w:val="00ED641E"/>
    <w:pPr>
      <w:keepLines/>
      <w:tabs>
        <w:tab w:val="center" w:pos="4536"/>
        <w:tab w:val="right" w:pos="9639"/>
      </w:tabs>
      <w:spacing w:line="480" w:lineRule="auto"/>
      <w:jc w:val="center"/>
    </w:pPr>
    <w:rPr>
      <w:sz w:val="28"/>
      <w:szCs w:val="20"/>
      <w:lang w:eastAsia="uk-UA"/>
    </w:rPr>
  </w:style>
  <w:style w:type="paragraph" w:customStyle="1" w:styleId="TableName">
    <w:name w:val="TableName"/>
    <w:basedOn w:val="a"/>
    <w:rsid w:val="00ED641E"/>
    <w:pPr>
      <w:keepNext/>
      <w:tabs>
        <w:tab w:val="center" w:pos="4820"/>
        <w:tab w:val="right" w:pos="9639"/>
      </w:tabs>
      <w:spacing w:line="360" w:lineRule="auto"/>
    </w:pPr>
    <w:rPr>
      <w:szCs w:val="20"/>
      <w:lang w:eastAsia="uk-UA"/>
    </w:rPr>
  </w:style>
  <w:style w:type="paragraph" w:customStyle="1" w:styleId="2a">
    <w:name w:val="Абзац списка2"/>
    <w:basedOn w:val="a"/>
    <w:rsid w:val="00ED641E"/>
    <w:pPr>
      <w:ind w:left="720"/>
      <w:contextualSpacing/>
    </w:pPr>
    <w:rPr>
      <w:lang w:val="ru-RU"/>
    </w:rPr>
  </w:style>
  <w:style w:type="paragraph" w:customStyle="1" w:styleId="FigureName">
    <w:name w:val="FigureName"/>
    <w:basedOn w:val="a"/>
    <w:next w:val="a"/>
    <w:rsid w:val="00ED641E"/>
    <w:pPr>
      <w:spacing w:after="120" w:line="360" w:lineRule="auto"/>
      <w:jc w:val="center"/>
    </w:pPr>
    <w:rPr>
      <w:sz w:val="28"/>
      <w:szCs w:val="20"/>
      <w:lang w:eastAsia="uk-UA"/>
    </w:rPr>
  </w:style>
  <w:style w:type="paragraph" w:customStyle="1" w:styleId="2b">
    <w:name w:val="Заголовок2"/>
    <w:basedOn w:val="a"/>
    <w:next w:val="af1"/>
    <w:rsid w:val="0099766E"/>
    <w:pPr>
      <w:keepNext/>
      <w:spacing w:before="240" w:after="120"/>
    </w:pPr>
    <w:rPr>
      <w:rFonts w:ascii="Liberation Sans" w:eastAsia="Noto Sans CJK SC" w:hAnsi="Liberation Sans" w:cs="Lohit Devanagari"/>
      <w:sz w:val="28"/>
      <w:szCs w:val="28"/>
    </w:rPr>
  </w:style>
  <w:style w:type="paragraph" w:styleId="HTML0">
    <w:name w:val="HTML Preformatted"/>
    <w:basedOn w:val="a"/>
    <w:link w:val="HTML11"/>
    <w:uiPriority w:val="99"/>
    <w:rsid w:val="0099766E"/>
    <w:pPr>
      <w:spacing w:line="240" w:lineRule="auto"/>
    </w:pPr>
    <w:rPr>
      <w:rFonts w:ascii="Courier New" w:hAnsi="Courier New" w:cs="Courier New"/>
      <w:sz w:val="20"/>
      <w:szCs w:val="20"/>
    </w:rPr>
  </w:style>
  <w:style w:type="character" w:customStyle="1" w:styleId="HTML11">
    <w:name w:val="Стандартный HTML Знак1"/>
    <w:link w:val="HTML0"/>
    <w:uiPriority w:val="99"/>
    <w:rsid w:val="0099766E"/>
    <w:rPr>
      <w:rFonts w:ascii="Courier New" w:hAnsi="Courier New" w:cs="Courier New"/>
      <w:lang w:eastAsia="zh-CN"/>
    </w:rPr>
  </w:style>
  <w:style w:type="character" w:customStyle="1" w:styleId="10">
    <w:name w:val="Заголовок Знак1"/>
    <w:link w:val="a3"/>
    <w:rsid w:val="00DE0C83"/>
    <w:rPr>
      <w:rFonts w:ascii="Arial" w:hAnsi="Arial"/>
      <w:b/>
      <w:color w:val="000000"/>
      <w:sz w:val="28"/>
      <w:szCs w:val="33"/>
      <w:shd w:val="clear" w:color="auto" w:fill="FFFFFF"/>
      <w:lang w:eastAsia="ru-RU"/>
    </w:rPr>
  </w:style>
  <w:style w:type="character" w:customStyle="1" w:styleId="2c">
    <w:name w:val="Основной текст (2)_"/>
    <w:link w:val="2d"/>
    <w:uiPriority w:val="99"/>
    <w:rsid w:val="00DE0C83"/>
    <w:rPr>
      <w:rFonts w:ascii="Arial" w:hAnsi="Arial" w:cs="Arial"/>
      <w:spacing w:val="28"/>
      <w:shd w:val="clear" w:color="auto" w:fill="FFFFFF"/>
    </w:rPr>
  </w:style>
  <w:style w:type="character" w:customStyle="1" w:styleId="1ff">
    <w:name w:val="Заголовок №1_"/>
    <w:link w:val="1ff0"/>
    <w:rsid w:val="00DE0C83"/>
    <w:rPr>
      <w:rFonts w:ascii="Arial" w:hAnsi="Arial" w:cs="Arial"/>
      <w:b/>
      <w:bCs/>
      <w:spacing w:val="20"/>
      <w:sz w:val="32"/>
      <w:szCs w:val="32"/>
      <w:shd w:val="clear" w:color="auto" w:fill="FFFFFF"/>
    </w:rPr>
  </w:style>
  <w:style w:type="character" w:customStyle="1" w:styleId="3a">
    <w:name w:val="Основной текст (3)_"/>
    <w:link w:val="3b"/>
    <w:uiPriority w:val="99"/>
    <w:rsid w:val="00DE0C83"/>
    <w:rPr>
      <w:rFonts w:ascii="Arial" w:hAnsi="Arial" w:cs="Arial"/>
      <w:i/>
      <w:iCs/>
      <w:spacing w:val="16"/>
      <w:shd w:val="clear" w:color="auto" w:fill="FFFFFF"/>
    </w:rPr>
  </w:style>
  <w:style w:type="paragraph" w:customStyle="1" w:styleId="2d">
    <w:name w:val="Основной текст (2)"/>
    <w:basedOn w:val="a"/>
    <w:link w:val="2c"/>
    <w:uiPriority w:val="99"/>
    <w:rsid w:val="00DE0C83"/>
    <w:pPr>
      <w:widowControl w:val="0"/>
      <w:shd w:val="clear" w:color="auto" w:fill="FFFFFF"/>
      <w:suppressAutoHyphens w:val="0"/>
      <w:spacing w:before="900" w:line="1579" w:lineRule="exact"/>
      <w:jc w:val="center"/>
    </w:pPr>
    <w:rPr>
      <w:spacing w:val="28"/>
      <w:sz w:val="20"/>
      <w:szCs w:val="20"/>
      <w:lang w:eastAsia="uk-UA"/>
    </w:rPr>
  </w:style>
  <w:style w:type="paragraph" w:customStyle="1" w:styleId="1ff0">
    <w:name w:val="Заголовок №1"/>
    <w:basedOn w:val="a"/>
    <w:link w:val="1ff"/>
    <w:rsid w:val="00DE0C83"/>
    <w:pPr>
      <w:widowControl w:val="0"/>
      <w:shd w:val="clear" w:color="auto" w:fill="FFFFFF"/>
      <w:suppressAutoHyphens w:val="0"/>
      <w:spacing w:after="180" w:line="514" w:lineRule="exact"/>
      <w:jc w:val="center"/>
      <w:outlineLvl w:val="0"/>
    </w:pPr>
    <w:rPr>
      <w:b/>
      <w:bCs/>
      <w:spacing w:val="20"/>
      <w:sz w:val="32"/>
      <w:szCs w:val="32"/>
      <w:lang w:eastAsia="uk-UA"/>
    </w:rPr>
  </w:style>
  <w:style w:type="paragraph" w:customStyle="1" w:styleId="3b">
    <w:name w:val="Основной текст (3)"/>
    <w:basedOn w:val="a"/>
    <w:link w:val="3a"/>
    <w:uiPriority w:val="99"/>
    <w:rsid w:val="00DE0C83"/>
    <w:pPr>
      <w:widowControl w:val="0"/>
      <w:shd w:val="clear" w:color="auto" w:fill="FFFFFF"/>
      <w:suppressAutoHyphens w:val="0"/>
      <w:spacing w:before="180" w:after="6180" w:line="240" w:lineRule="atLeast"/>
      <w:jc w:val="center"/>
    </w:pPr>
    <w:rPr>
      <w:i/>
      <w:iCs/>
      <w:spacing w:val="16"/>
      <w:sz w:val="20"/>
      <w:szCs w:val="20"/>
      <w:lang w:eastAsia="uk-UA"/>
    </w:rPr>
  </w:style>
  <w:style w:type="character" w:customStyle="1" w:styleId="4a">
    <w:name w:val="Основной текст (4)_"/>
    <w:link w:val="4b"/>
    <w:uiPriority w:val="99"/>
    <w:rsid w:val="00DE0C83"/>
    <w:rPr>
      <w:rFonts w:ascii="Arial" w:hAnsi="Arial" w:cs="Arial"/>
      <w:spacing w:val="1"/>
      <w:shd w:val="clear" w:color="auto" w:fill="FFFFFF"/>
    </w:rPr>
  </w:style>
  <w:style w:type="paragraph" w:customStyle="1" w:styleId="4b">
    <w:name w:val="Основной текст (4)"/>
    <w:basedOn w:val="a"/>
    <w:link w:val="4a"/>
    <w:uiPriority w:val="99"/>
    <w:rsid w:val="00DE0C83"/>
    <w:pPr>
      <w:widowControl w:val="0"/>
      <w:shd w:val="clear" w:color="auto" w:fill="FFFFFF"/>
      <w:suppressAutoHyphens w:val="0"/>
      <w:spacing w:before="6180" w:line="302" w:lineRule="exact"/>
      <w:jc w:val="center"/>
    </w:pPr>
    <w:rPr>
      <w:spacing w:val="1"/>
      <w:sz w:val="20"/>
      <w:szCs w:val="20"/>
      <w:lang w:eastAsia="uk-UA"/>
    </w:rPr>
  </w:style>
  <w:style w:type="paragraph" w:customStyle="1" w:styleId="WW-3">
    <w:name w:val="WW-Îñíîâíîé òåêñò ñ îòñòóïîì 3"/>
    <w:basedOn w:val="a"/>
    <w:uiPriority w:val="99"/>
    <w:rsid w:val="00E27A5A"/>
    <w:pPr>
      <w:spacing w:line="240" w:lineRule="auto"/>
      <w:ind w:firstLine="426"/>
    </w:pPr>
    <w:rPr>
      <w:rFonts w:ascii="Times New Roman" w:hAnsi="Times New Roman" w:cs="Times New Roman"/>
      <w:sz w:val="24"/>
      <w:szCs w:val="24"/>
      <w:lang w:val="en-US" w:eastAsia="ru-RU"/>
    </w:rPr>
  </w:style>
  <w:style w:type="paragraph" w:customStyle="1" w:styleId="afff3">
    <w:name w:val="Знак Знак"/>
    <w:aliases w:val=" Знак Знак"/>
    <w:basedOn w:val="a"/>
    <w:rsid w:val="00C30F3A"/>
    <w:pPr>
      <w:suppressAutoHyphens w:val="0"/>
      <w:spacing w:line="240" w:lineRule="auto"/>
    </w:pPr>
    <w:rPr>
      <w:rFonts w:ascii="Verdana" w:hAnsi="Verdana" w:cs="Verdana"/>
      <w:sz w:val="20"/>
      <w:szCs w:val="20"/>
      <w:lang w:val="en-US" w:eastAsia="en-US"/>
    </w:rPr>
  </w:style>
  <w:style w:type="character" w:styleId="afff4">
    <w:name w:val="Placeholder Text"/>
    <w:uiPriority w:val="99"/>
    <w:semiHidden/>
    <w:rsid w:val="005246CF"/>
    <w:rPr>
      <w:color w:val="808080"/>
    </w:rPr>
  </w:style>
  <w:style w:type="table" w:styleId="afff5">
    <w:name w:val="Table Grid"/>
    <w:basedOn w:val="a1"/>
    <w:uiPriority w:val="39"/>
    <w:rsid w:val="00232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Subtitle"/>
    <w:basedOn w:val="a"/>
    <w:next w:val="a"/>
    <w:link w:val="afff7"/>
    <w:rsid w:val="00247221"/>
    <w:pPr>
      <w:keepNext/>
      <w:keepLines/>
      <w:spacing w:before="360" w:after="80"/>
    </w:pPr>
    <w:rPr>
      <w:rFonts w:ascii="Georgia" w:eastAsia="Georgia" w:hAnsi="Georgia" w:cs="Georgia"/>
      <w:i/>
      <w:color w:val="666666"/>
      <w:sz w:val="48"/>
      <w:szCs w:val="48"/>
    </w:rPr>
  </w:style>
  <w:style w:type="table" w:customStyle="1" w:styleId="afff8">
    <w:basedOn w:val="TableNormal11"/>
    <w:rsid w:val="00247221"/>
    <w:tblPr>
      <w:tblStyleRowBandSize w:val="1"/>
      <w:tblStyleColBandSize w:val="1"/>
      <w:tblCellMar>
        <w:left w:w="108" w:type="dxa"/>
        <w:right w:w="108" w:type="dxa"/>
      </w:tblCellMar>
    </w:tblPr>
  </w:style>
  <w:style w:type="table" w:customStyle="1" w:styleId="afff9">
    <w:basedOn w:val="TableNormal11"/>
    <w:rsid w:val="00247221"/>
    <w:tblPr>
      <w:tblStyleRowBandSize w:val="1"/>
      <w:tblStyleColBandSize w:val="1"/>
      <w:tblCellMar>
        <w:left w:w="108" w:type="dxa"/>
        <w:right w:w="108" w:type="dxa"/>
      </w:tblCellMar>
    </w:tblPr>
  </w:style>
  <w:style w:type="table" w:customStyle="1" w:styleId="afffa">
    <w:basedOn w:val="TableNormal11"/>
    <w:rsid w:val="00247221"/>
    <w:tblPr>
      <w:tblStyleRowBandSize w:val="1"/>
      <w:tblStyleColBandSize w:val="1"/>
    </w:tblPr>
  </w:style>
  <w:style w:type="table" w:customStyle="1" w:styleId="afffb">
    <w:basedOn w:val="TableNormal11"/>
    <w:rsid w:val="00247221"/>
    <w:tblPr>
      <w:tblStyleRowBandSize w:val="1"/>
      <w:tblStyleColBandSize w:val="1"/>
      <w:tblCellMar>
        <w:top w:w="100" w:type="dxa"/>
        <w:left w:w="100" w:type="dxa"/>
        <w:bottom w:w="100" w:type="dxa"/>
        <w:right w:w="100" w:type="dxa"/>
      </w:tblCellMar>
    </w:tblPr>
  </w:style>
  <w:style w:type="table" w:customStyle="1" w:styleId="afffc">
    <w:basedOn w:val="TableNormal11"/>
    <w:rsid w:val="00247221"/>
    <w:tblPr>
      <w:tblStyleRowBandSize w:val="1"/>
      <w:tblStyleColBandSize w:val="1"/>
      <w:tblCellMar>
        <w:left w:w="115" w:type="dxa"/>
        <w:right w:w="115" w:type="dxa"/>
      </w:tblCellMar>
    </w:tblPr>
  </w:style>
  <w:style w:type="table" w:customStyle="1" w:styleId="afffd">
    <w:basedOn w:val="TableNormal11"/>
    <w:rsid w:val="00247221"/>
    <w:tblPr>
      <w:tblStyleRowBandSize w:val="1"/>
      <w:tblStyleColBandSize w:val="1"/>
      <w:tblCellMar>
        <w:left w:w="115" w:type="dxa"/>
        <w:right w:w="115" w:type="dxa"/>
      </w:tblCellMar>
    </w:tblPr>
  </w:style>
  <w:style w:type="table" w:customStyle="1" w:styleId="afffe">
    <w:basedOn w:val="TableNormal11"/>
    <w:rsid w:val="00247221"/>
    <w:tblPr>
      <w:tblStyleRowBandSize w:val="1"/>
      <w:tblStyleColBandSize w:val="1"/>
      <w:tblCellMar>
        <w:left w:w="115" w:type="dxa"/>
        <w:right w:w="115" w:type="dxa"/>
      </w:tblCellMar>
    </w:tblPr>
  </w:style>
  <w:style w:type="table" w:customStyle="1" w:styleId="affff">
    <w:basedOn w:val="TableNormal11"/>
    <w:rsid w:val="00247221"/>
    <w:tblPr>
      <w:tblStyleRowBandSize w:val="1"/>
      <w:tblStyleColBandSize w:val="1"/>
      <w:tblCellMar>
        <w:left w:w="115" w:type="dxa"/>
        <w:right w:w="115" w:type="dxa"/>
      </w:tblCellMar>
    </w:tblPr>
  </w:style>
  <w:style w:type="table" w:customStyle="1" w:styleId="affff0">
    <w:basedOn w:val="TableNormal11"/>
    <w:rsid w:val="00247221"/>
    <w:tblPr>
      <w:tblStyleRowBandSize w:val="1"/>
      <w:tblStyleColBandSize w:val="1"/>
      <w:tblCellMar>
        <w:left w:w="115" w:type="dxa"/>
        <w:right w:w="115" w:type="dxa"/>
      </w:tblCellMar>
    </w:tblPr>
  </w:style>
  <w:style w:type="table" w:customStyle="1" w:styleId="affff1">
    <w:basedOn w:val="TableNormal11"/>
    <w:rsid w:val="00247221"/>
    <w:tblPr>
      <w:tblStyleRowBandSize w:val="1"/>
      <w:tblStyleColBandSize w:val="1"/>
      <w:tblCellMar>
        <w:left w:w="115" w:type="dxa"/>
        <w:right w:w="115" w:type="dxa"/>
      </w:tblCellMar>
    </w:tblPr>
  </w:style>
  <w:style w:type="table" w:customStyle="1" w:styleId="affff2">
    <w:basedOn w:val="TableNormal11"/>
    <w:rsid w:val="00247221"/>
    <w:tblPr>
      <w:tblStyleRowBandSize w:val="1"/>
      <w:tblStyleColBandSize w:val="1"/>
      <w:tblCellMar>
        <w:left w:w="115" w:type="dxa"/>
        <w:right w:w="115" w:type="dxa"/>
      </w:tblCellMar>
    </w:tblPr>
  </w:style>
  <w:style w:type="table" w:customStyle="1" w:styleId="affff3">
    <w:basedOn w:val="TableNormal11"/>
    <w:rsid w:val="00247221"/>
    <w:tblPr>
      <w:tblStyleRowBandSize w:val="1"/>
      <w:tblStyleColBandSize w:val="1"/>
      <w:tblCellMar>
        <w:left w:w="115" w:type="dxa"/>
        <w:right w:w="115" w:type="dxa"/>
      </w:tblCellMar>
    </w:tblPr>
  </w:style>
  <w:style w:type="table" w:customStyle="1" w:styleId="affff4">
    <w:basedOn w:val="TableNormal11"/>
    <w:rsid w:val="00247221"/>
    <w:tblPr>
      <w:tblStyleRowBandSize w:val="1"/>
      <w:tblStyleColBandSize w:val="1"/>
      <w:tblCellMar>
        <w:top w:w="75" w:type="dxa"/>
        <w:left w:w="75" w:type="dxa"/>
        <w:bottom w:w="75" w:type="dxa"/>
        <w:right w:w="75" w:type="dxa"/>
      </w:tblCellMar>
    </w:tblPr>
  </w:style>
  <w:style w:type="table" w:customStyle="1" w:styleId="affff5">
    <w:basedOn w:val="TableNormal11"/>
    <w:rsid w:val="00247221"/>
    <w:tblPr>
      <w:tblStyleRowBandSize w:val="1"/>
      <w:tblStyleColBandSize w:val="1"/>
      <w:tblCellMar>
        <w:left w:w="115" w:type="dxa"/>
        <w:right w:w="115" w:type="dxa"/>
      </w:tblCellMar>
    </w:tblPr>
  </w:style>
  <w:style w:type="table" w:customStyle="1" w:styleId="affff6">
    <w:basedOn w:val="TableNormal11"/>
    <w:rsid w:val="00247221"/>
    <w:tblPr>
      <w:tblStyleRowBandSize w:val="1"/>
      <w:tblStyleColBandSize w:val="1"/>
      <w:tblCellMar>
        <w:top w:w="75" w:type="dxa"/>
        <w:left w:w="75" w:type="dxa"/>
        <w:bottom w:w="75" w:type="dxa"/>
        <w:right w:w="75" w:type="dxa"/>
      </w:tblCellMar>
    </w:tblPr>
  </w:style>
  <w:style w:type="table" w:customStyle="1" w:styleId="affff7">
    <w:basedOn w:val="TableNormal11"/>
    <w:rsid w:val="00247221"/>
    <w:tblPr>
      <w:tblStyleRowBandSize w:val="1"/>
      <w:tblStyleColBandSize w:val="1"/>
      <w:tblCellMar>
        <w:left w:w="115" w:type="dxa"/>
        <w:right w:w="115" w:type="dxa"/>
      </w:tblCellMar>
    </w:tblPr>
  </w:style>
  <w:style w:type="table" w:customStyle="1" w:styleId="affff8">
    <w:basedOn w:val="TableNormal11"/>
    <w:rsid w:val="00247221"/>
    <w:tblPr>
      <w:tblStyleRowBandSize w:val="1"/>
      <w:tblStyleColBandSize w:val="1"/>
      <w:tblCellMar>
        <w:left w:w="115" w:type="dxa"/>
        <w:right w:w="115" w:type="dxa"/>
      </w:tblCellMar>
    </w:tblPr>
  </w:style>
  <w:style w:type="table" w:customStyle="1" w:styleId="affff9">
    <w:basedOn w:val="TableNormal11"/>
    <w:rsid w:val="00247221"/>
    <w:tblPr>
      <w:tblStyleRowBandSize w:val="1"/>
      <w:tblStyleColBandSize w:val="1"/>
      <w:tblCellMar>
        <w:left w:w="115" w:type="dxa"/>
        <w:right w:w="115" w:type="dxa"/>
      </w:tblCellMar>
    </w:tblPr>
  </w:style>
  <w:style w:type="table" w:customStyle="1" w:styleId="affffa">
    <w:basedOn w:val="TableNormal11"/>
    <w:rsid w:val="00247221"/>
    <w:tblPr>
      <w:tblStyleRowBandSize w:val="1"/>
      <w:tblStyleColBandSize w:val="1"/>
      <w:tblCellMar>
        <w:left w:w="115" w:type="dxa"/>
        <w:right w:w="115" w:type="dxa"/>
      </w:tblCellMar>
    </w:tblPr>
  </w:style>
  <w:style w:type="table" w:customStyle="1" w:styleId="affffb">
    <w:basedOn w:val="TableNormal11"/>
    <w:rsid w:val="00247221"/>
    <w:tblPr>
      <w:tblStyleRowBandSize w:val="1"/>
      <w:tblStyleColBandSize w:val="1"/>
      <w:tblCellMar>
        <w:left w:w="115" w:type="dxa"/>
        <w:right w:w="115" w:type="dxa"/>
      </w:tblCellMar>
    </w:tblPr>
  </w:style>
  <w:style w:type="table" w:customStyle="1" w:styleId="affffc">
    <w:basedOn w:val="TableNormal11"/>
    <w:rsid w:val="00247221"/>
    <w:tblPr>
      <w:tblStyleRowBandSize w:val="1"/>
      <w:tblStyleColBandSize w:val="1"/>
      <w:tblCellMar>
        <w:left w:w="115" w:type="dxa"/>
        <w:right w:w="115" w:type="dxa"/>
      </w:tblCellMar>
    </w:tblPr>
  </w:style>
  <w:style w:type="table" w:customStyle="1" w:styleId="affffd">
    <w:basedOn w:val="TableNormal11"/>
    <w:rsid w:val="00247221"/>
    <w:tblPr>
      <w:tblStyleRowBandSize w:val="1"/>
      <w:tblStyleColBandSize w:val="1"/>
      <w:tblCellMar>
        <w:left w:w="115" w:type="dxa"/>
        <w:right w:w="115" w:type="dxa"/>
      </w:tblCellMar>
    </w:tblPr>
  </w:style>
  <w:style w:type="table" w:customStyle="1" w:styleId="affffe">
    <w:basedOn w:val="TableNormal11"/>
    <w:rsid w:val="00247221"/>
    <w:tblPr>
      <w:tblStyleRowBandSize w:val="1"/>
      <w:tblStyleColBandSize w:val="1"/>
      <w:tblCellMar>
        <w:left w:w="115" w:type="dxa"/>
        <w:right w:w="115" w:type="dxa"/>
      </w:tblCellMar>
    </w:tblPr>
  </w:style>
  <w:style w:type="table" w:customStyle="1" w:styleId="afffff">
    <w:basedOn w:val="TableNormal11"/>
    <w:rsid w:val="00247221"/>
    <w:tblPr>
      <w:tblStyleRowBandSize w:val="1"/>
      <w:tblStyleColBandSize w:val="1"/>
      <w:tblCellMar>
        <w:left w:w="115" w:type="dxa"/>
        <w:right w:w="115" w:type="dxa"/>
      </w:tblCellMar>
    </w:tblPr>
  </w:style>
  <w:style w:type="table" w:customStyle="1" w:styleId="afffff0">
    <w:basedOn w:val="TableNormal11"/>
    <w:rsid w:val="00247221"/>
    <w:tblPr>
      <w:tblStyleRowBandSize w:val="1"/>
      <w:tblStyleColBandSize w:val="1"/>
      <w:tblCellMar>
        <w:left w:w="115" w:type="dxa"/>
        <w:right w:w="115" w:type="dxa"/>
      </w:tblCellMar>
    </w:tblPr>
  </w:style>
  <w:style w:type="table" w:customStyle="1" w:styleId="afffff1">
    <w:basedOn w:val="TableNormal11"/>
    <w:rsid w:val="00247221"/>
    <w:tblPr>
      <w:tblStyleRowBandSize w:val="1"/>
      <w:tblStyleColBandSize w:val="1"/>
      <w:tblCellMar>
        <w:left w:w="115" w:type="dxa"/>
        <w:right w:w="115" w:type="dxa"/>
      </w:tblCellMar>
    </w:tblPr>
  </w:style>
  <w:style w:type="table" w:customStyle="1" w:styleId="afffff2">
    <w:basedOn w:val="TableNormal11"/>
    <w:rsid w:val="00247221"/>
    <w:tblPr>
      <w:tblStyleRowBandSize w:val="1"/>
      <w:tblStyleColBandSize w:val="1"/>
      <w:tblCellMar>
        <w:left w:w="115" w:type="dxa"/>
        <w:right w:w="115" w:type="dxa"/>
      </w:tblCellMar>
    </w:tblPr>
  </w:style>
  <w:style w:type="table" w:customStyle="1" w:styleId="afffff3">
    <w:basedOn w:val="TableNormal11"/>
    <w:rsid w:val="00247221"/>
    <w:tblPr>
      <w:tblStyleRowBandSize w:val="1"/>
      <w:tblStyleColBandSize w:val="1"/>
      <w:tblCellMar>
        <w:left w:w="115" w:type="dxa"/>
        <w:right w:w="115" w:type="dxa"/>
      </w:tblCellMar>
    </w:tblPr>
  </w:style>
  <w:style w:type="table" w:customStyle="1" w:styleId="afffff4">
    <w:basedOn w:val="TableNormal11"/>
    <w:rsid w:val="00247221"/>
    <w:tblPr>
      <w:tblStyleRowBandSize w:val="1"/>
      <w:tblStyleColBandSize w:val="1"/>
      <w:tblCellMar>
        <w:left w:w="115" w:type="dxa"/>
        <w:right w:w="115" w:type="dxa"/>
      </w:tblCellMar>
    </w:tblPr>
  </w:style>
  <w:style w:type="table" w:customStyle="1" w:styleId="afffff5">
    <w:basedOn w:val="TableNormal11"/>
    <w:rsid w:val="00247221"/>
    <w:tblPr>
      <w:tblStyleRowBandSize w:val="1"/>
      <w:tblStyleColBandSize w:val="1"/>
      <w:tblCellMar>
        <w:left w:w="115" w:type="dxa"/>
        <w:right w:w="115" w:type="dxa"/>
      </w:tblCellMar>
    </w:tblPr>
  </w:style>
  <w:style w:type="table" w:customStyle="1" w:styleId="afffff6">
    <w:basedOn w:val="TableNormal11"/>
    <w:rsid w:val="00247221"/>
    <w:tblPr>
      <w:tblStyleRowBandSize w:val="1"/>
      <w:tblStyleColBandSize w:val="1"/>
      <w:tblCellMar>
        <w:left w:w="115" w:type="dxa"/>
        <w:right w:w="115" w:type="dxa"/>
      </w:tblCellMar>
    </w:tblPr>
  </w:style>
  <w:style w:type="table" w:customStyle="1" w:styleId="afffff7">
    <w:basedOn w:val="TableNormal11"/>
    <w:rsid w:val="00247221"/>
    <w:tblPr>
      <w:tblStyleRowBandSize w:val="1"/>
      <w:tblStyleColBandSize w:val="1"/>
      <w:tblCellMar>
        <w:left w:w="115" w:type="dxa"/>
        <w:right w:w="115" w:type="dxa"/>
      </w:tblCellMar>
    </w:tblPr>
  </w:style>
  <w:style w:type="table" w:customStyle="1" w:styleId="afffff8">
    <w:basedOn w:val="TableNormal11"/>
    <w:rsid w:val="00247221"/>
    <w:tblPr>
      <w:tblStyleRowBandSize w:val="1"/>
      <w:tblStyleColBandSize w:val="1"/>
      <w:tblCellMar>
        <w:top w:w="75" w:type="dxa"/>
        <w:left w:w="75" w:type="dxa"/>
        <w:bottom w:w="75" w:type="dxa"/>
        <w:right w:w="75" w:type="dxa"/>
      </w:tblCellMar>
    </w:tblPr>
  </w:style>
  <w:style w:type="table" w:customStyle="1" w:styleId="afffff9">
    <w:basedOn w:val="TableNormal11"/>
    <w:rsid w:val="00247221"/>
    <w:tblPr>
      <w:tblStyleRowBandSize w:val="1"/>
      <w:tblStyleColBandSize w:val="1"/>
      <w:tblCellMar>
        <w:left w:w="115" w:type="dxa"/>
        <w:right w:w="115" w:type="dxa"/>
      </w:tblCellMar>
    </w:tblPr>
  </w:style>
  <w:style w:type="table" w:customStyle="1" w:styleId="afffffa">
    <w:basedOn w:val="TableNormal11"/>
    <w:rsid w:val="00247221"/>
    <w:tblPr>
      <w:tblStyleRowBandSize w:val="1"/>
      <w:tblStyleColBandSize w:val="1"/>
      <w:tblCellMar>
        <w:left w:w="115" w:type="dxa"/>
        <w:right w:w="115" w:type="dxa"/>
      </w:tblCellMar>
    </w:tblPr>
  </w:style>
  <w:style w:type="table" w:customStyle="1" w:styleId="afffffb">
    <w:basedOn w:val="TableNormal11"/>
    <w:rsid w:val="00247221"/>
    <w:tblPr>
      <w:tblStyleRowBandSize w:val="1"/>
      <w:tblStyleColBandSize w:val="1"/>
      <w:tblCellMar>
        <w:left w:w="115" w:type="dxa"/>
        <w:right w:w="115" w:type="dxa"/>
      </w:tblCellMar>
    </w:tblPr>
  </w:style>
  <w:style w:type="table" w:customStyle="1" w:styleId="afffffc">
    <w:basedOn w:val="TableNormal11"/>
    <w:rsid w:val="00247221"/>
    <w:tblPr>
      <w:tblStyleRowBandSize w:val="1"/>
      <w:tblStyleColBandSize w:val="1"/>
      <w:tblCellMar>
        <w:left w:w="115" w:type="dxa"/>
        <w:right w:w="115" w:type="dxa"/>
      </w:tblCellMar>
    </w:tblPr>
  </w:style>
  <w:style w:type="table" w:customStyle="1" w:styleId="afffffd">
    <w:basedOn w:val="TableNormal11"/>
    <w:rsid w:val="00247221"/>
    <w:tblPr>
      <w:tblStyleRowBandSize w:val="1"/>
      <w:tblStyleColBandSize w:val="1"/>
      <w:tblCellMar>
        <w:left w:w="115" w:type="dxa"/>
        <w:right w:w="115" w:type="dxa"/>
      </w:tblCellMar>
    </w:tblPr>
  </w:style>
  <w:style w:type="table" w:customStyle="1" w:styleId="afffffe">
    <w:basedOn w:val="TableNormal11"/>
    <w:rsid w:val="00247221"/>
    <w:tblPr>
      <w:tblStyleRowBandSize w:val="1"/>
      <w:tblStyleColBandSize w:val="1"/>
      <w:tblCellMar>
        <w:top w:w="100" w:type="dxa"/>
        <w:left w:w="100" w:type="dxa"/>
        <w:bottom w:w="100" w:type="dxa"/>
        <w:right w:w="100" w:type="dxa"/>
      </w:tblCellMar>
    </w:tblPr>
  </w:style>
  <w:style w:type="table" w:customStyle="1" w:styleId="affffff">
    <w:basedOn w:val="TableNormal11"/>
    <w:rsid w:val="00247221"/>
    <w:tblPr>
      <w:tblStyleRowBandSize w:val="1"/>
      <w:tblStyleColBandSize w:val="1"/>
      <w:tblCellMar>
        <w:left w:w="115" w:type="dxa"/>
        <w:right w:w="115" w:type="dxa"/>
      </w:tblCellMar>
    </w:tblPr>
  </w:style>
  <w:style w:type="table" w:customStyle="1" w:styleId="affffff0">
    <w:basedOn w:val="TableNormal11"/>
    <w:rsid w:val="00247221"/>
    <w:tblPr>
      <w:tblStyleRowBandSize w:val="1"/>
      <w:tblStyleColBandSize w:val="1"/>
      <w:tblCellMar>
        <w:left w:w="115" w:type="dxa"/>
        <w:right w:w="115" w:type="dxa"/>
      </w:tblCellMar>
    </w:tblPr>
  </w:style>
  <w:style w:type="table" w:customStyle="1" w:styleId="affffff1">
    <w:basedOn w:val="TableNormal11"/>
    <w:rsid w:val="00247221"/>
    <w:tblPr>
      <w:tblStyleRowBandSize w:val="1"/>
      <w:tblStyleColBandSize w:val="1"/>
      <w:tblCellMar>
        <w:left w:w="115" w:type="dxa"/>
        <w:right w:w="115" w:type="dxa"/>
      </w:tblCellMar>
    </w:tblPr>
  </w:style>
  <w:style w:type="paragraph" w:styleId="affffff2">
    <w:name w:val="List Paragraph"/>
    <w:basedOn w:val="a"/>
    <w:uiPriority w:val="34"/>
    <w:qFormat/>
    <w:rsid w:val="00F33873"/>
    <w:pPr>
      <w:ind w:left="720"/>
      <w:contextualSpacing/>
    </w:pPr>
  </w:style>
  <w:style w:type="table" w:customStyle="1" w:styleId="TableGrid1">
    <w:name w:val="Table Grid1"/>
    <w:basedOn w:val="a1"/>
    <w:next w:val="afff5"/>
    <w:uiPriority w:val="39"/>
    <w:rsid w:val="00BD045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
    <w:uiPriority w:val="2"/>
    <w:unhideWhenUsed/>
    <w:qFormat/>
    <w:rsid w:val="002E0CBE"/>
    <w:pPr>
      <w:widowControl w:val="0"/>
      <w:autoSpaceDE w:val="0"/>
      <w:autoSpaceDN w:val="0"/>
    </w:pPr>
    <w:rPr>
      <w:rFonts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0CBE"/>
    <w:pPr>
      <w:widowControl w:val="0"/>
      <w:suppressAutoHyphens w:val="0"/>
      <w:autoSpaceDE w:val="0"/>
      <w:autoSpaceDN w:val="0"/>
      <w:spacing w:line="240" w:lineRule="auto"/>
      <w:jc w:val="center"/>
    </w:pPr>
    <w:rPr>
      <w:rFonts w:ascii="Times New Roman" w:eastAsia="Times New Roman" w:hAnsi="Times New Roman" w:cs="Times New Roman"/>
      <w:lang w:eastAsia="en-US"/>
    </w:rPr>
  </w:style>
  <w:style w:type="character" w:customStyle="1" w:styleId="19">
    <w:name w:val="Основной текст Знак1"/>
    <w:link w:val="af1"/>
    <w:rsid w:val="00860562"/>
    <w:rPr>
      <w:rFonts w:ascii="UkrainianBaltica" w:hAnsi="UkrainianBaltica" w:cs="UkrainianBaltica"/>
      <w:sz w:val="20"/>
      <w:szCs w:val="20"/>
      <w:lang w:eastAsia="zh-CN"/>
    </w:rPr>
  </w:style>
  <w:style w:type="numbering" w:customStyle="1" w:styleId="1ff1">
    <w:name w:val="Немає списку1"/>
    <w:next w:val="a2"/>
    <w:uiPriority w:val="99"/>
    <w:semiHidden/>
    <w:unhideWhenUsed/>
    <w:rsid w:val="0070062C"/>
  </w:style>
  <w:style w:type="character" w:customStyle="1" w:styleId="11">
    <w:name w:val="Заголовок 1 Знак1"/>
    <w:link w:val="1"/>
    <w:rsid w:val="00C33868"/>
    <w:rPr>
      <w:rFonts w:ascii="Times New Roman" w:hAnsi="Times New Roman" w:cs="Times New Roman"/>
      <w:b/>
      <w:sz w:val="20"/>
      <w:szCs w:val="20"/>
      <w:lang w:eastAsia="zh-CN"/>
    </w:rPr>
  </w:style>
  <w:style w:type="character" w:customStyle="1" w:styleId="21">
    <w:name w:val="Заголовок 2 Знак1"/>
    <w:link w:val="2"/>
    <w:uiPriority w:val="9"/>
    <w:rsid w:val="00F942F9"/>
    <w:rPr>
      <w:rFonts w:ascii="Calibri" w:hAnsi="Calibri"/>
      <w:b/>
      <w:bCs/>
      <w:iCs/>
      <w:sz w:val="28"/>
      <w:szCs w:val="28"/>
      <w:lang w:eastAsia="zh-CN"/>
    </w:rPr>
  </w:style>
  <w:style w:type="character" w:customStyle="1" w:styleId="31">
    <w:name w:val="Заголовок 3 Знак1"/>
    <w:link w:val="3"/>
    <w:rsid w:val="00CC58DA"/>
    <w:rPr>
      <w:rFonts w:ascii="Arial" w:hAnsi="Arial" w:cs="Arial"/>
      <w:b/>
      <w:bCs/>
      <w:szCs w:val="26"/>
      <w:lang w:eastAsia="zh-CN"/>
    </w:rPr>
  </w:style>
  <w:style w:type="character" w:customStyle="1" w:styleId="41">
    <w:name w:val="Заголовок 4 Знак1"/>
    <w:link w:val="4"/>
    <w:uiPriority w:val="9"/>
    <w:rsid w:val="00401266"/>
    <w:rPr>
      <w:rFonts w:cs="Times New Roman"/>
      <w:b/>
      <w:szCs w:val="20"/>
      <w:lang w:eastAsia="zh-CN"/>
    </w:rPr>
  </w:style>
  <w:style w:type="character" w:customStyle="1" w:styleId="51">
    <w:name w:val="Заголовок 5 Знак1"/>
    <w:link w:val="5"/>
    <w:rsid w:val="00C33868"/>
    <w:rPr>
      <w:rFonts w:ascii="Times New Roman" w:hAnsi="Times New Roman" w:cs="Times New Roman"/>
      <w:b/>
      <w:bCs/>
      <w:i/>
      <w:iCs/>
      <w:sz w:val="26"/>
      <w:szCs w:val="26"/>
      <w:lang w:eastAsia="zh-CN"/>
    </w:rPr>
  </w:style>
  <w:style w:type="character" w:customStyle="1" w:styleId="61">
    <w:name w:val="Заголовок 6 Знак1"/>
    <w:link w:val="6"/>
    <w:rsid w:val="00C33868"/>
    <w:rPr>
      <w:rFonts w:ascii="Times New Roman" w:hAnsi="Times New Roman" w:cs="Times New Roman"/>
      <w:b/>
      <w:sz w:val="20"/>
      <w:szCs w:val="20"/>
      <w:lang w:eastAsia="zh-CN"/>
    </w:rPr>
  </w:style>
  <w:style w:type="character" w:customStyle="1" w:styleId="71">
    <w:name w:val="Заголовок 7 Знак1"/>
    <w:link w:val="7"/>
    <w:rsid w:val="00C33868"/>
    <w:rPr>
      <w:rFonts w:ascii="UkrainianBaltica" w:hAnsi="UkrainianBaltica" w:cs="UkrainianBaltica"/>
      <w:b/>
      <w:sz w:val="20"/>
      <w:szCs w:val="20"/>
      <w:lang w:eastAsia="zh-CN"/>
    </w:rPr>
  </w:style>
  <w:style w:type="character" w:customStyle="1" w:styleId="81">
    <w:name w:val="Заголовок 8 Знак1"/>
    <w:link w:val="8"/>
    <w:rsid w:val="00C33868"/>
    <w:rPr>
      <w:rFonts w:ascii="UkrainianBaltica" w:hAnsi="UkrainianBaltica" w:cs="UkrainianBaltica"/>
      <w:b/>
      <w:sz w:val="20"/>
      <w:szCs w:val="20"/>
      <w:lang w:eastAsia="zh-CN"/>
    </w:rPr>
  </w:style>
  <w:style w:type="character" w:customStyle="1" w:styleId="91">
    <w:name w:val="Заголовок 9 Знак1"/>
    <w:link w:val="9"/>
    <w:rsid w:val="00C33868"/>
    <w:rPr>
      <w:rFonts w:ascii="Times New Roman" w:hAnsi="Times New Roman" w:cs="Times New Roman"/>
      <w:b/>
      <w:sz w:val="20"/>
      <w:szCs w:val="20"/>
      <w:lang w:eastAsia="zh-CN"/>
    </w:rPr>
  </w:style>
  <w:style w:type="character" w:customStyle="1" w:styleId="1f2">
    <w:name w:val="Основной текст с отступом Знак1"/>
    <w:link w:val="af5"/>
    <w:rsid w:val="00C33868"/>
    <w:rPr>
      <w:rFonts w:ascii="UkrainianBaltica" w:hAnsi="UkrainianBaltica" w:cs="UkrainianBaltica"/>
      <w:sz w:val="20"/>
      <w:szCs w:val="20"/>
      <w:lang w:eastAsia="zh-CN"/>
    </w:rPr>
  </w:style>
  <w:style w:type="character" w:customStyle="1" w:styleId="1f3">
    <w:name w:val="Верхний колонтитул Знак1"/>
    <w:link w:val="af7"/>
    <w:rsid w:val="00C33868"/>
    <w:rPr>
      <w:rFonts w:ascii="UkrainianBaltica" w:hAnsi="UkrainianBaltica" w:cs="UkrainianBaltica"/>
      <w:sz w:val="20"/>
      <w:szCs w:val="20"/>
      <w:lang w:eastAsia="zh-CN"/>
    </w:rPr>
  </w:style>
  <w:style w:type="character" w:customStyle="1" w:styleId="1f4">
    <w:name w:val="Нижний колонтитул Знак1"/>
    <w:link w:val="af8"/>
    <w:uiPriority w:val="99"/>
    <w:rsid w:val="00C33868"/>
    <w:rPr>
      <w:rFonts w:ascii="UkrainianBaltica" w:hAnsi="UkrainianBaltica" w:cs="UkrainianBaltica"/>
      <w:sz w:val="20"/>
      <w:szCs w:val="20"/>
      <w:lang w:eastAsia="zh-CN"/>
    </w:rPr>
  </w:style>
  <w:style w:type="character" w:customStyle="1" w:styleId="afff7">
    <w:name w:val="Подзаголовок Знак"/>
    <w:link w:val="afff6"/>
    <w:rsid w:val="00C33868"/>
    <w:rPr>
      <w:rFonts w:ascii="Georgia" w:eastAsia="Georgia" w:hAnsi="Georgia" w:cs="Georgia"/>
      <w:i/>
      <w:color w:val="666666"/>
      <w:sz w:val="48"/>
      <w:szCs w:val="48"/>
      <w:lang w:eastAsia="zh-CN"/>
    </w:rPr>
  </w:style>
  <w:style w:type="character" w:styleId="affffff3">
    <w:name w:val="annotation reference"/>
    <w:uiPriority w:val="99"/>
    <w:semiHidden/>
    <w:unhideWhenUsed/>
    <w:rsid w:val="00C33868"/>
    <w:rPr>
      <w:sz w:val="16"/>
      <w:szCs w:val="16"/>
    </w:rPr>
  </w:style>
  <w:style w:type="paragraph" w:styleId="affffff4">
    <w:name w:val="annotation text"/>
    <w:basedOn w:val="a"/>
    <w:link w:val="4c"/>
    <w:uiPriority w:val="99"/>
    <w:unhideWhenUsed/>
    <w:rsid w:val="00C33868"/>
    <w:pPr>
      <w:spacing w:line="240" w:lineRule="auto"/>
    </w:pPr>
    <w:rPr>
      <w:sz w:val="20"/>
      <w:szCs w:val="20"/>
    </w:rPr>
  </w:style>
  <w:style w:type="character" w:customStyle="1" w:styleId="4c">
    <w:name w:val="Текст примечания Знак4"/>
    <w:link w:val="affffff4"/>
    <w:uiPriority w:val="99"/>
    <w:rsid w:val="00C33868"/>
    <w:rPr>
      <w:sz w:val="20"/>
      <w:szCs w:val="20"/>
      <w:lang w:eastAsia="zh-CN"/>
    </w:rPr>
  </w:style>
  <w:style w:type="paragraph" w:styleId="affffff5">
    <w:name w:val="annotation subject"/>
    <w:basedOn w:val="affffff4"/>
    <w:next w:val="affffff4"/>
    <w:link w:val="1ff2"/>
    <w:uiPriority w:val="99"/>
    <w:semiHidden/>
    <w:unhideWhenUsed/>
    <w:rsid w:val="00C33868"/>
    <w:rPr>
      <w:b/>
      <w:bCs/>
    </w:rPr>
  </w:style>
  <w:style w:type="character" w:customStyle="1" w:styleId="1ff2">
    <w:name w:val="Тема примечания Знак1"/>
    <w:link w:val="affffff5"/>
    <w:uiPriority w:val="99"/>
    <w:semiHidden/>
    <w:rsid w:val="00C33868"/>
    <w:rPr>
      <w:b/>
      <w:bCs/>
      <w:sz w:val="20"/>
      <w:szCs w:val="20"/>
      <w:lang w:eastAsia="zh-CN"/>
    </w:rPr>
  </w:style>
  <w:style w:type="table" w:customStyle="1" w:styleId="affffff6">
    <w:basedOn w:val="TableNormal8"/>
    <w:rsid w:val="00247221"/>
    <w:pPr>
      <w:spacing w:line="240" w:lineRule="auto"/>
    </w:pPr>
    <w:tblPr>
      <w:tblStyleRowBandSize w:val="1"/>
      <w:tblStyleColBandSize w:val="1"/>
      <w:tblCellMar>
        <w:left w:w="108" w:type="dxa"/>
        <w:right w:w="108" w:type="dxa"/>
      </w:tblCellMar>
    </w:tblPr>
  </w:style>
  <w:style w:type="table" w:customStyle="1" w:styleId="affffff7">
    <w:basedOn w:val="TableNormal8"/>
    <w:rsid w:val="00247221"/>
    <w:tblPr>
      <w:tblStyleRowBandSize w:val="1"/>
      <w:tblStyleColBandSize w:val="1"/>
      <w:tblCellMar>
        <w:left w:w="115" w:type="dxa"/>
        <w:right w:w="115" w:type="dxa"/>
      </w:tblCellMar>
    </w:tblPr>
  </w:style>
  <w:style w:type="table" w:customStyle="1" w:styleId="affffff8">
    <w:basedOn w:val="TableNormal8"/>
    <w:rsid w:val="00247221"/>
    <w:pPr>
      <w:spacing w:line="240" w:lineRule="auto"/>
    </w:pPr>
    <w:tblPr>
      <w:tblStyleRowBandSize w:val="1"/>
      <w:tblStyleColBandSize w:val="1"/>
      <w:tblCellMar>
        <w:left w:w="108" w:type="dxa"/>
        <w:right w:w="108" w:type="dxa"/>
      </w:tblCellMar>
    </w:tblPr>
  </w:style>
  <w:style w:type="table" w:customStyle="1" w:styleId="affffff9">
    <w:basedOn w:val="TableNormal8"/>
    <w:rsid w:val="00247221"/>
    <w:tblPr>
      <w:tblStyleRowBandSize w:val="1"/>
      <w:tblStyleColBandSize w:val="1"/>
      <w:tblCellMar>
        <w:left w:w="115" w:type="dxa"/>
        <w:right w:w="115" w:type="dxa"/>
      </w:tblCellMar>
    </w:tblPr>
  </w:style>
  <w:style w:type="table" w:customStyle="1" w:styleId="affffffa">
    <w:basedOn w:val="TableNormal8"/>
    <w:rsid w:val="00247221"/>
    <w:tblPr>
      <w:tblStyleRowBandSize w:val="1"/>
      <w:tblStyleColBandSize w:val="1"/>
      <w:tblCellMar>
        <w:left w:w="115" w:type="dxa"/>
        <w:right w:w="115" w:type="dxa"/>
      </w:tblCellMar>
    </w:tblPr>
  </w:style>
  <w:style w:type="table" w:customStyle="1" w:styleId="affffffb">
    <w:basedOn w:val="TableNormal8"/>
    <w:rsid w:val="00247221"/>
    <w:tblPr>
      <w:tblStyleRowBandSize w:val="1"/>
      <w:tblStyleColBandSize w:val="1"/>
      <w:tblCellMar>
        <w:left w:w="115" w:type="dxa"/>
        <w:right w:w="115" w:type="dxa"/>
      </w:tblCellMar>
    </w:tblPr>
  </w:style>
  <w:style w:type="table" w:customStyle="1" w:styleId="affffffc">
    <w:basedOn w:val="TableNormal8"/>
    <w:rsid w:val="00247221"/>
    <w:tblPr>
      <w:tblStyleRowBandSize w:val="1"/>
      <w:tblStyleColBandSize w:val="1"/>
      <w:tblCellMar>
        <w:left w:w="115" w:type="dxa"/>
        <w:right w:w="115" w:type="dxa"/>
      </w:tblCellMar>
    </w:tblPr>
  </w:style>
  <w:style w:type="table" w:customStyle="1" w:styleId="affffffd">
    <w:basedOn w:val="TableNormal8"/>
    <w:rsid w:val="00247221"/>
    <w:tblPr>
      <w:tblStyleRowBandSize w:val="1"/>
      <w:tblStyleColBandSize w:val="1"/>
      <w:tblCellMar>
        <w:left w:w="115" w:type="dxa"/>
        <w:right w:w="115" w:type="dxa"/>
      </w:tblCellMar>
    </w:tblPr>
  </w:style>
  <w:style w:type="table" w:customStyle="1" w:styleId="affffffe">
    <w:basedOn w:val="TableNormal8"/>
    <w:rsid w:val="00247221"/>
    <w:tblPr>
      <w:tblStyleRowBandSize w:val="1"/>
      <w:tblStyleColBandSize w:val="1"/>
      <w:tblCellMar>
        <w:left w:w="115" w:type="dxa"/>
        <w:right w:w="115" w:type="dxa"/>
      </w:tblCellMar>
    </w:tblPr>
  </w:style>
  <w:style w:type="table" w:customStyle="1" w:styleId="afffffff">
    <w:basedOn w:val="TableNormal8"/>
    <w:rsid w:val="00247221"/>
    <w:tblPr>
      <w:tblStyleRowBandSize w:val="1"/>
      <w:tblStyleColBandSize w:val="1"/>
      <w:tblCellMar>
        <w:left w:w="115" w:type="dxa"/>
        <w:right w:w="115" w:type="dxa"/>
      </w:tblCellMar>
    </w:tblPr>
  </w:style>
  <w:style w:type="table" w:customStyle="1" w:styleId="afffffff0">
    <w:basedOn w:val="TableNormal8"/>
    <w:rsid w:val="00247221"/>
    <w:tblPr>
      <w:tblStyleRowBandSize w:val="1"/>
      <w:tblStyleColBandSize w:val="1"/>
      <w:tblCellMar>
        <w:left w:w="115" w:type="dxa"/>
        <w:right w:w="115" w:type="dxa"/>
      </w:tblCellMar>
    </w:tblPr>
  </w:style>
  <w:style w:type="table" w:customStyle="1" w:styleId="afffffff1">
    <w:basedOn w:val="TableNormal8"/>
    <w:rsid w:val="00247221"/>
    <w:tblPr>
      <w:tblStyleRowBandSize w:val="1"/>
      <w:tblStyleColBandSize w:val="1"/>
      <w:tblCellMar>
        <w:left w:w="115" w:type="dxa"/>
        <w:right w:w="115" w:type="dxa"/>
      </w:tblCellMar>
    </w:tblPr>
  </w:style>
  <w:style w:type="table" w:customStyle="1" w:styleId="afffffff2">
    <w:basedOn w:val="TableNormal8"/>
    <w:rsid w:val="00247221"/>
    <w:tblPr>
      <w:tblStyleRowBandSize w:val="1"/>
      <w:tblStyleColBandSize w:val="1"/>
      <w:tblCellMar>
        <w:left w:w="115" w:type="dxa"/>
        <w:right w:w="115" w:type="dxa"/>
      </w:tblCellMar>
    </w:tblPr>
  </w:style>
  <w:style w:type="table" w:customStyle="1" w:styleId="afffffff3">
    <w:basedOn w:val="TableNormal8"/>
    <w:rsid w:val="00247221"/>
    <w:tblPr>
      <w:tblStyleRowBandSize w:val="1"/>
      <w:tblStyleColBandSize w:val="1"/>
      <w:tblCellMar>
        <w:left w:w="115" w:type="dxa"/>
        <w:right w:w="115" w:type="dxa"/>
      </w:tblCellMar>
    </w:tblPr>
  </w:style>
  <w:style w:type="table" w:customStyle="1" w:styleId="afffffff4">
    <w:basedOn w:val="TableNormal8"/>
    <w:rsid w:val="00247221"/>
    <w:tblPr>
      <w:tblStyleRowBandSize w:val="1"/>
      <w:tblStyleColBandSize w:val="1"/>
      <w:tblCellMar>
        <w:left w:w="115" w:type="dxa"/>
        <w:right w:w="115" w:type="dxa"/>
      </w:tblCellMar>
    </w:tblPr>
  </w:style>
  <w:style w:type="table" w:customStyle="1" w:styleId="afffffff5">
    <w:basedOn w:val="TableNormal8"/>
    <w:rsid w:val="00247221"/>
    <w:tblPr>
      <w:tblStyleRowBandSize w:val="1"/>
      <w:tblStyleColBandSize w:val="1"/>
      <w:tblCellMar>
        <w:left w:w="115" w:type="dxa"/>
        <w:right w:w="115" w:type="dxa"/>
      </w:tblCellMar>
    </w:tblPr>
  </w:style>
  <w:style w:type="table" w:customStyle="1" w:styleId="afffffff6">
    <w:basedOn w:val="TableNormal8"/>
    <w:rsid w:val="00247221"/>
    <w:tblPr>
      <w:tblStyleRowBandSize w:val="1"/>
      <w:tblStyleColBandSize w:val="1"/>
      <w:tblCellMar>
        <w:top w:w="100" w:type="dxa"/>
        <w:left w:w="115" w:type="dxa"/>
        <w:bottom w:w="100" w:type="dxa"/>
        <w:right w:w="115" w:type="dxa"/>
      </w:tblCellMar>
    </w:tblPr>
  </w:style>
  <w:style w:type="table" w:customStyle="1" w:styleId="afffffff7">
    <w:basedOn w:val="TableNormal8"/>
    <w:rsid w:val="00247221"/>
    <w:tblPr>
      <w:tblStyleRowBandSize w:val="1"/>
      <w:tblStyleColBandSize w:val="1"/>
      <w:tblCellMar>
        <w:left w:w="115" w:type="dxa"/>
        <w:right w:w="115" w:type="dxa"/>
      </w:tblCellMar>
    </w:tblPr>
  </w:style>
  <w:style w:type="table" w:customStyle="1" w:styleId="afffffff8">
    <w:basedOn w:val="TableNormal8"/>
    <w:rsid w:val="00247221"/>
    <w:tblPr>
      <w:tblStyleRowBandSize w:val="1"/>
      <w:tblStyleColBandSize w:val="1"/>
      <w:tblCellMar>
        <w:left w:w="115" w:type="dxa"/>
        <w:right w:w="115" w:type="dxa"/>
      </w:tblCellMar>
    </w:tblPr>
  </w:style>
  <w:style w:type="table" w:customStyle="1" w:styleId="afffffff9">
    <w:basedOn w:val="TableNormal8"/>
    <w:rsid w:val="00247221"/>
    <w:tblPr>
      <w:tblStyleRowBandSize w:val="1"/>
      <w:tblStyleColBandSize w:val="1"/>
      <w:tblCellMar>
        <w:left w:w="115" w:type="dxa"/>
        <w:right w:w="115" w:type="dxa"/>
      </w:tblCellMar>
    </w:tblPr>
  </w:style>
  <w:style w:type="table" w:customStyle="1" w:styleId="afffffffa">
    <w:basedOn w:val="TableNormal8"/>
    <w:rsid w:val="00247221"/>
    <w:tblPr>
      <w:tblStyleRowBandSize w:val="1"/>
      <w:tblStyleColBandSize w:val="1"/>
      <w:tblCellMar>
        <w:left w:w="115" w:type="dxa"/>
        <w:right w:w="115" w:type="dxa"/>
      </w:tblCellMar>
    </w:tblPr>
  </w:style>
  <w:style w:type="table" w:customStyle="1" w:styleId="afffffffb">
    <w:basedOn w:val="TableNormal8"/>
    <w:rsid w:val="00247221"/>
    <w:tblPr>
      <w:tblStyleRowBandSize w:val="1"/>
      <w:tblStyleColBandSize w:val="1"/>
      <w:tblCellMar>
        <w:left w:w="115" w:type="dxa"/>
        <w:right w:w="115" w:type="dxa"/>
      </w:tblCellMar>
    </w:tblPr>
  </w:style>
  <w:style w:type="table" w:customStyle="1" w:styleId="afffffffc">
    <w:basedOn w:val="TableNormal8"/>
    <w:rsid w:val="00247221"/>
    <w:tblPr>
      <w:tblStyleRowBandSize w:val="1"/>
      <w:tblStyleColBandSize w:val="1"/>
      <w:tblCellMar>
        <w:left w:w="115" w:type="dxa"/>
        <w:right w:w="115" w:type="dxa"/>
      </w:tblCellMar>
    </w:tblPr>
  </w:style>
  <w:style w:type="table" w:customStyle="1" w:styleId="afffffffd">
    <w:basedOn w:val="TableNormal8"/>
    <w:rsid w:val="00247221"/>
    <w:tblPr>
      <w:tblStyleRowBandSize w:val="1"/>
      <w:tblStyleColBandSize w:val="1"/>
      <w:tblCellMar>
        <w:left w:w="115" w:type="dxa"/>
        <w:right w:w="115" w:type="dxa"/>
      </w:tblCellMar>
    </w:tblPr>
  </w:style>
  <w:style w:type="table" w:customStyle="1" w:styleId="afffffffe">
    <w:basedOn w:val="TableNormal8"/>
    <w:rsid w:val="00247221"/>
    <w:tblPr>
      <w:tblStyleRowBandSize w:val="1"/>
      <w:tblStyleColBandSize w:val="1"/>
      <w:tblCellMar>
        <w:left w:w="115" w:type="dxa"/>
        <w:right w:w="115" w:type="dxa"/>
      </w:tblCellMar>
    </w:tblPr>
  </w:style>
  <w:style w:type="table" w:customStyle="1" w:styleId="affffffff">
    <w:basedOn w:val="TableNormal8"/>
    <w:rsid w:val="00247221"/>
    <w:tblPr>
      <w:tblStyleRowBandSize w:val="1"/>
      <w:tblStyleColBandSize w:val="1"/>
      <w:tblCellMar>
        <w:left w:w="115" w:type="dxa"/>
        <w:right w:w="115" w:type="dxa"/>
      </w:tblCellMar>
    </w:tblPr>
  </w:style>
  <w:style w:type="table" w:customStyle="1" w:styleId="affffffff0">
    <w:basedOn w:val="TableNormal8"/>
    <w:rsid w:val="00247221"/>
    <w:pPr>
      <w:widowControl w:val="0"/>
      <w:spacing w:line="240" w:lineRule="auto"/>
    </w:pPr>
    <w:tblPr>
      <w:tblStyleRowBandSize w:val="1"/>
      <w:tblStyleColBandSize w:val="1"/>
    </w:tblPr>
  </w:style>
  <w:style w:type="table" w:customStyle="1" w:styleId="affffffff1">
    <w:basedOn w:val="TableNormal8"/>
    <w:rsid w:val="00247221"/>
    <w:pPr>
      <w:widowControl w:val="0"/>
      <w:spacing w:line="240" w:lineRule="auto"/>
    </w:pPr>
    <w:tblPr>
      <w:tblStyleRowBandSize w:val="1"/>
      <w:tblStyleColBandSize w:val="1"/>
    </w:tblPr>
  </w:style>
  <w:style w:type="table" w:customStyle="1" w:styleId="affffffff2">
    <w:basedOn w:val="TableNormal8"/>
    <w:rsid w:val="00247221"/>
    <w:pPr>
      <w:spacing w:line="240" w:lineRule="auto"/>
    </w:pPr>
    <w:tblPr>
      <w:tblStyleRowBandSize w:val="1"/>
      <w:tblStyleColBandSize w:val="1"/>
      <w:tblCellMar>
        <w:left w:w="108" w:type="dxa"/>
        <w:right w:w="108" w:type="dxa"/>
      </w:tblCellMar>
    </w:tblPr>
  </w:style>
  <w:style w:type="table" w:customStyle="1" w:styleId="affffffff3">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4">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5">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6">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7">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8">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9">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a">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b">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c">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d">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e">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0">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1">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2">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3">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4">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5">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6">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7">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8">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9">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a">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b">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c">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d">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e">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
    <w:basedOn w:val="TableNormal8"/>
    <w:rsid w:val="00247221"/>
    <w:pPr>
      <w:spacing w:line="240" w:lineRule="auto"/>
    </w:pPr>
    <w:tblPr>
      <w:tblStyleRowBandSize w:val="1"/>
      <w:tblStyleColBandSize w:val="1"/>
      <w:tblCellMar>
        <w:left w:w="108" w:type="dxa"/>
        <w:right w:w="108" w:type="dxa"/>
      </w:tblCellMar>
    </w:tblPr>
  </w:style>
  <w:style w:type="table" w:customStyle="1" w:styleId="affffffffff0">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1">
    <w:basedOn w:val="TableNormal7"/>
    <w:rsid w:val="00247221"/>
    <w:tblPr>
      <w:tblStyleRowBandSize w:val="1"/>
      <w:tblStyleColBandSize w:val="1"/>
      <w:tblCellMar>
        <w:top w:w="100" w:type="dxa"/>
        <w:left w:w="100" w:type="dxa"/>
        <w:bottom w:w="100" w:type="dxa"/>
        <w:right w:w="100" w:type="dxa"/>
      </w:tblCellMar>
    </w:tblPr>
  </w:style>
  <w:style w:type="table" w:customStyle="1" w:styleId="affffffffff2">
    <w:basedOn w:val="TableNormal7"/>
    <w:rsid w:val="00247221"/>
    <w:tblPr>
      <w:tblStyleRowBandSize w:val="1"/>
      <w:tblStyleColBandSize w:val="1"/>
      <w:tblCellMar>
        <w:top w:w="100" w:type="dxa"/>
        <w:left w:w="100" w:type="dxa"/>
        <w:bottom w:w="100" w:type="dxa"/>
        <w:right w:w="100" w:type="dxa"/>
      </w:tblCellMar>
    </w:tblPr>
  </w:style>
  <w:style w:type="table" w:customStyle="1" w:styleId="affffffffff3">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4">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5">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6">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7">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8">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9">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a">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b">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c">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d">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e">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0">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1">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2">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3">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4">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5">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6">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7">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8">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9">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a">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b">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c">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d">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e">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character" w:customStyle="1" w:styleId="affffffffffff">
    <w:name w:val="Подпись к картинке_"/>
    <w:link w:val="affffffffffff0"/>
    <w:rsid w:val="00DC3558"/>
    <w:rPr>
      <w:rFonts w:ascii="Arial" w:eastAsia="Arial" w:hAnsi="Arial" w:cs="Arial"/>
      <w:sz w:val="19"/>
      <w:szCs w:val="19"/>
      <w:shd w:val="clear" w:color="auto" w:fill="FFFFFF"/>
    </w:rPr>
  </w:style>
  <w:style w:type="character" w:customStyle="1" w:styleId="affffffffffff1">
    <w:name w:val="Подпись к картинке + Полужирный"/>
    <w:rsid w:val="00DC3558"/>
    <w:rPr>
      <w:rFonts w:ascii="Arial" w:eastAsia="Arial" w:hAnsi="Arial" w:cs="Arial"/>
      <w:b/>
      <w:bCs/>
      <w:color w:val="000000"/>
      <w:spacing w:val="0"/>
      <w:w w:val="100"/>
      <w:position w:val="0"/>
      <w:sz w:val="19"/>
      <w:szCs w:val="19"/>
      <w:shd w:val="clear" w:color="auto" w:fill="FFFFFF"/>
      <w:lang w:val="uk-UA" w:eastAsia="uk-UA" w:bidi="uk-UA"/>
    </w:rPr>
  </w:style>
  <w:style w:type="paragraph" w:customStyle="1" w:styleId="affffffffffff0">
    <w:name w:val="Подпись к картинке"/>
    <w:basedOn w:val="a"/>
    <w:link w:val="affffffffffff"/>
    <w:rsid w:val="00DC3558"/>
    <w:pPr>
      <w:widowControl w:val="0"/>
      <w:shd w:val="clear" w:color="auto" w:fill="FFFFFF"/>
      <w:suppressAutoHyphens w:val="0"/>
      <w:spacing w:line="0" w:lineRule="atLeast"/>
      <w:jc w:val="center"/>
    </w:pPr>
    <w:rPr>
      <w:sz w:val="19"/>
      <w:szCs w:val="19"/>
      <w:lang w:eastAsia="ru-RU"/>
    </w:rPr>
  </w:style>
  <w:style w:type="table" w:customStyle="1" w:styleId="affffffffffff2">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3">
    <w:basedOn w:val="TableNormal6"/>
    <w:rsid w:val="00247221"/>
    <w:pPr>
      <w:widowControl w:val="0"/>
      <w:spacing w:line="240" w:lineRule="auto"/>
    </w:pPr>
    <w:tblPr>
      <w:tblStyleRowBandSize w:val="1"/>
      <w:tblStyleColBandSize w:val="1"/>
      <w:tblCellMar>
        <w:top w:w="100" w:type="dxa"/>
        <w:left w:w="57" w:type="dxa"/>
        <w:bottom w:w="100" w:type="dxa"/>
        <w:right w:w="57" w:type="dxa"/>
      </w:tblCellMar>
    </w:tblPr>
  </w:style>
  <w:style w:type="table" w:customStyle="1" w:styleId="affffffffffff4">
    <w:basedOn w:val="TableNormal6"/>
    <w:rsid w:val="00247221"/>
    <w:tblPr>
      <w:tblStyleRowBandSize w:val="1"/>
      <w:tblStyleColBandSize w:val="1"/>
      <w:tblCellMar>
        <w:top w:w="100" w:type="dxa"/>
        <w:left w:w="100" w:type="dxa"/>
        <w:bottom w:w="100" w:type="dxa"/>
        <w:right w:w="100" w:type="dxa"/>
      </w:tblCellMar>
    </w:tblPr>
  </w:style>
  <w:style w:type="table" w:customStyle="1" w:styleId="affffffffffff5">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6">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7">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8">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9">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a">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b">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c">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d">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e">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0">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1">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2">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3">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4">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5">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6">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7">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8">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9">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a">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b">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c">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d">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e">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0">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1">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2">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3">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4">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5">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6">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7">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8">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9">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a">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b">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c">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d">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e">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0">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1">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2">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3">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4">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5">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6">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7">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8">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9">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a">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b">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c">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d">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e">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
    <w:basedOn w:val="TableNormal5"/>
    <w:rsid w:val="00247221"/>
    <w:tblPr>
      <w:tblStyleRowBandSize w:val="1"/>
      <w:tblStyleColBandSize w:val="1"/>
      <w:tblCellMar>
        <w:top w:w="100" w:type="dxa"/>
        <w:left w:w="100" w:type="dxa"/>
        <w:bottom w:w="100" w:type="dxa"/>
        <w:right w:w="100" w:type="dxa"/>
      </w:tblCellMar>
    </w:tblPr>
  </w:style>
  <w:style w:type="table" w:customStyle="1" w:styleId="affffffffffffffff0">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1">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2">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3">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4">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5">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6">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7">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8">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9">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a">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b">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c">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d">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e">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0">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1">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2">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3">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4">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5">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6">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7">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8">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9">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a">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b">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c">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d">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e">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0">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1">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2">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3">
    <w:basedOn w:val="TableNormal40"/>
    <w:rsid w:val="00247221"/>
    <w:tblPr>
      <w:tblStyleRowBandSize w:val="1"/>
      <w:tblStyleColBandSize w:val="1"/>
      <w:tblCellMar>
        <w:top w:w="100" w:type="dxa"/>
        <w:left w:w="57" w:type="dxa"/>
        <w:bottom w:w="100" w:type="dxa"/>
        <w:right w:w="57" w:type="dxa"/>
      </w:tblCellMar>
    </w:tblPr>
  </w:style>
  <w:style w:type="table" w:customStyle="1" w:styleId="affffffffffffffffff4">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5">
    <w:basedOn w:val="TableNormal40"/>
    <w:rsid w:val="00247221"/>
    <w:tblPr>
      <w:tblStyleRowBandSize w:val="1"/>
      <w:tblStyleColBandSize w:val="1"/>
      <w:tblCellMar>
        <w:top w:w="100" w:type="dxa"/>
        <w:left w:w="57" w:type="dxa"/>
        <w:bottom w:w="100" w:type="dxa"/>
        <w:right w:w="57" w:type="dxa"/>
      </w:tblCellMar>
    </w:tblPr>
  </w:style>
  <w:style w:type="table" w:customStyle="1" w:styleId="affffffffffffffffff6">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7">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8">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9">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a">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b">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c">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d">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e">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f">
    <w:basedOn w:val="TableNormal40"/>
    <w:rsid w:val="00247221"/>
    <w:tblPr>
      <w:tblStyleRowBandSize w:val="1"/>
      <w:tblStyleColBandSize w:val="1"/>
      <w:tblCellMar>
        <w:top w:w="100" w:type="dxa"/>
        <w:left w:w="100" w:type="dxa"/>
        <w:bottom w:w="100" w:type="dxa"/>
        <w:right w:w="100" w:type="dxa"/>
      </w:tblCellMar>
    </w:tblPr>
  </w:style>
  <w:style w:type="table" w:customStyle="1" w:styleId="afffffffffffffffffff0">
    <w:basedOn w:val="TableNormal40"/>
    <w:rsid w:val="00247221"/>
    <w:tblPr>
      <w:tblStyleRowBandSize w:val="1"/>
      <w:tblStyleColBandSize w:val="1"/>
      <w:tblCellMar>
        <w:top w:w="100" w:type="dxa"/>
        <w:left w:w="100" w:type="dxa"/>
        <w:bottom w:w="100" w:type="dxa"/>
        <w:right w:w="100" w:type="dxa"/>
      </w:tblCellMar>
    </w:tblPr>
  </w:style>
  <w:style w:type="numbering" w:customStyle="1" w:styleId="2e">
    <w:name w:val="Немає списку2"/>
    <w:next w:val="a2"/>
    <w:uiPriority w:val="99"/>
    <w:semiHidden/>
    <w:unhideWhenUsed/>
    <w:rsid w:val="00854B2B"/>
  </w:style>
  <w:style w:type="table" w:customStyle="1" w:styleId="1ff3">
    <w:name w:val="Сітка таблиці1"/>
    <w:basedOn w:val="a1"/>
    <w:next w:val="afff5"/>
    <w:uiPriority w:val="39"/>
    <w:rsid w:val="00854B2B"/>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ffffff1">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2">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3">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4">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5">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6">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7">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8">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9">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a">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b">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c">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d">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e">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0">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1">
    <w:basedOn w:val="TableNormal3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2">
    <w:basedOn w:val="TableNormal30"/>
    <w:rsid w:val="00247221"/>
    <w:pPr>
      <w:widowControl w:val="0"/>
      <w:spacing w:line="240" w:lineRule="auto"/>
    </w:pPr>
    <w:tblPr>
      <w:tblStyleRowBandSize w:val="1"/>
      <w:tblStyleColBandSize w:val="1"/>
      <w:tblCellMar>
        <w:top w:w="100" w:type="dxa"/>
        <w:left w:w="57" w:type="dxa"/>
        <w:bottom w:w="100" w:type="dxa"/>
        <w:right w:w="57" w:type="dxa"/>
      </w:tblCellMar>
    </w:tblPr>
  </w:style>
  <w:style w:type="table" w:customStyle="1" w:styleId="affffffffffffffffffff3">
    <w:basedOn w:val="TableNormal30"/>
    <w:rsid w:val="00247221"/>
    <w:pPr>
      <w:widowControl w:val="0"/>
      <w:spacing w:line="240" w:lineRule="auto"/>
    </w:pPr>
    <w:tblPr>
      <w:tblStyleRowBandSize w:val="1"/>
      <w:tblStyleColBandSize w:val="1"/>
      <w:tblCellMar>
        <w:top w:w="100" w:type="dxa"/>
        <w:left w:w="57" w:type="dxa"/>
        <w:bottom w:w="100" w:type="dxa"/>
        <w:right w:w="57" w:type="dxa"/>
      </w:tblCellMar>
    </w:tblPr>
  </w:style>
  <w:style w:type="table" w:customStyle="1" w:styleId="affffffffffffffffffff4">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5">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6">
    <w:basedOn w:val="TableNormal30"/>
    <w:rsid w:val="00247221"/>
    <w:tblPr>
      <w:tblStyleRowBandSize w:val="1"/>
      <w:tblStyleColBandSize w:val="1"/>
      <w:tblCellMar>
        <w:left w:w="115" w:type="dxa"/>
        <w:right w:w="115" w:type="dxa"/>
      </w:tblCellMar>
    </w:tblPr>
  </w:style>
  <w:style w:type="table" w:customStyle="1" w:styleId="affffffffffffffffffff7">
    <w:basedOn w:val="TableNormal20"/>
    <w:rsid w:val="00247221"/>
    <w:tblPr>
      <w:tblStyleRowBandSize w:val="1"/>
      <w:tblStyleColBandSize w:val="1"/>
      <w:tblCellMar>
        <w:left w:w="40" w:type="dxa"/>
        <w:right w:w="40" w:type="dxa"/>
      </w:tblCellMar>
    </w:tblPr>
  </w:style>
  <w:style w:type="table" w:customStyle="1" w:styleId="affffffffffffffffffff8">
    <w:basedOn w:val="TableNormal20"/>
    <w:rsid w:val="00247221"/>
    <w:pPr>
      <w:spacing w:before="0" w:line="240" w:lineRule="auto"/>
      <w:ind w:firstLine="0"/>
      <w:jc w:val="left"/>
    </w:pPr>
    <w:rPr>
      <w:rFonts w:ascii="Calibri" w:eastAsia="Calibri" w:hAnsi="Calibri" w:cs="Calibri"/>
    </w:rPr>
    <w:tblPr>
      <w:tblStyleRowBandSize w:val="1"/>
      <w:tblStyleColBandSize w:val="1"/>
      <w:tblCellMar>
        <w:right w:w="57" w:type="dxa"/>
      </w:tblCellMar>
    </w:tblPr>
  </w:style>
  <w:style w:type="table" w:customStyle="1" w:styleId="affffffffffffffffffff9">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a">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b">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c">
    <w:basedOn w:val="TableNormal20"/>
    <w:rsid w:val="00247221"/>
    <w:tblPr>
      <w:tblStyleRowBandSize w:val="1"/>
      <w:tblStyleColBandSize w:val="1"/>
      <w:tblCellMar>
        <w:top w:w="100" w:type="dxa"/>
        <w:left w:w="100" w:type="dxa"/>
        <w:bottom w:w="100" w:type="dxa"/>
        <w:right w:w="100" w:type="dxa"/>
      </w:tblCellMar>
    </w:tblPr>
  </w:style>
  <w:style w:type="table" w:customStyle="1" w:styleId="affffffffffffffffffffd">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e">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0">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57" w:type="dxa"/>
        <w:right w:w="57" w:type="dxa"/>
      </w:tblCellMar>
    </w:tblPr>
  </w:style>
  <w:style w:type="table" w:customStyle="1" w:styleId="afffffffffffffffffffff1">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2">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3">
    <w:basedOn w:val="TableNormal20"/>
    <w:rsid w:val="00247221"/>
    <w:tblPr>
      <w:tblStyleRowBandSize w:val="1"/>
      <w:tblStyleColBandSize w:val="1"/>
      <w:tblCellMar>
        <w:left w:w="115" w:type="dxa"/>
        <w:right w:w="115" w:type="dxa"/>
      </w:tblCellMar>
    </w:tblPr>
  </w:style>
  <w:style w:type="table" w:customStyle="1" w:styleId="afffffffffffffffffffff4">
    <w:basedOn w:val="TableNormal20"/>
    <w:rsid w:val="00247221"/>
    <w:tblPr>
      <w:tblStyleRowBandSize w:val="1"/>
      <w:tblStyleColBandSize w:val="1"/>
      <w:tblCellMar>
        <w:left w:w="115" w:type="dxa"/>
        <w:right w:w="115" w:type="dxa"/>
      </w:tblCellMar>
    </w:tblPr>
  </w:style>
  <w:style w:type="table" w:customStyle="1" w:styleId="afffffffffffffffffffff5">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6">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7">
    <w:basedOn w:val="TableNormal20"/>
    <w:rsid w:val="00247221"/>
    <w:tblPr>
      <w:tblStyleRowBandSize w:val="1"/>
      <w:tblStyleColBandSize w:val="1"/>
      <w:tblCellMar>
        <w:left w:w="57" w:type="dxa"/>
        <w:right w:w="57" w:type="dxa"/>
      </w:tblCellMar>
    </w:tblPr>
  </w:style>
  <w:style w:type="table" w:customStyle="1" w:styleId="afffffffffffffffffffff8">
    <w:basedOn w:val="TableNormal20"/>
    <w:rsid w:val="00247221"/>
    <w:tblPr>
      <w:tblStyleRowBandSize w:val="1"/>
      <w:tblStyleColBandSize w:val="1"/>
      <w:tblCellMar>
        <w:left w:w="115" w:type="dxa"/>
        <w:right w:w="115" w:type="dxa"/>
      </w:tblCellMar>
    </w:tblPr>
  </w:style>
  <w:style w:type="table" w:customStyle="1" w:styleId="afffffffffffffffffffff9">
    <w:basedOn w:val="TableNormal20"/>
    <w:rsid w:val="00247221"/>
    <w:tblPr>
      <w:tblStyleRowBandSize w:val="1"/>
      <w:tblStyleColBandSize w:val="1"/>
      <w:tblCellMar>
        <w:left w:w="115" w:type="dxa"/>
        <w:right w:w="115" w:type="dxa"/>
      </w:tblCellMar>
    </w:tblPr>
  </w:style>
  <w:style w:type="table" w:customStyle="1" w:styleId="afffffffffffffffffffffa">
    <w:basedOn w:val="TableNormal20"/>
    <w:rsid w:val="00247221"/>
    <w:tblPr>
      <w:tblStyleRowBandSize w:val="1"/>
      <w:tblStyleColBandSize w:val="1"/>
      <w:tblCellMar>
        <w:left w:w="115" w:type="dxa"/>
        <w:right w:w="115" w:type="dxa"/>
      </w:tblCellMar>
    </w:tblPr>
  </w:style>
  <w:style w:type="table" w:customStyle="1" w:styleId="afffffffffffffffffffffb">
    <w:basedOn w:val="TableNormal20"/>
    <w:rsid w:val="00247221"/>
    <w:tblPr>
      <w:tblStyleRowBandSize w:val="1"/>
      <w:tblStyleColBandSize w:val="1"/>
      <w:tblCellMar>
        <w:left w:w="115" w:type="dxa"/>
        <w:right w:w="115" w:type="dxa"/>
      </w:tblCellMar>
    </w:tblPr>
  </w:style>
  <w:style w:type="table" w:customStyle="1" w:styleId="afffffffffffffffffffffc">
    <w:basedOn w:val="TableNormal20"/>
    <w:rsid w:val="00247221"/>
    <w:tblPr>
      <w:tblStyleRowBandSize w:val="1"/>
      <w:tblStyleColBandSize w:val="1"/>
      <w:tblCellMar>
        <w:left w:w="115" w:type="dxa"/>
        <w:right w:w="115" w:type="dxa"/>
      </w:tblCellMar>
    </w:tblPr>
  </w:style>
  <w:style w:type="table" w:customStyle="1" w:styleId="afffffffffffffffffffffd">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e">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0">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1">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2">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3">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f4">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f5">
    <w:basedOn w:val="a1"/>
    <w:rsid w:val="00247221"/>
    <w:tblPr>
      <w:tblStyleRowBandSize w:val="1"/>
      <w:tblStyleColBandSize w:val="1"/>
      <w:tblCellMar>
        <w:left w:w="40" w:type="dxa"/>
        <w:right w:w="40" w:type="dxa"/>
      </w:tblCellMar>
    </w:tblPr>
  </w:style>
  <w:style w:type="table" w:customStyle="1" w:styleId="affffffffffffffffffffff6">
    <w:basedOn w:val="a1"/>
    <w:rsid w:val="00247221"/>
    <w:tblPr>
      <w:tblStyleRowBandSize w:val="1"/>
      <w:tblStyleColBandSize w:val="1"/>
      <w:tblCellMar>
        <w:left w:w="0" w:type="dxa"/>
        <w:right w:w="57" w:type="dxa"/>
      </w:tblCellMar>
    </w:tblPr>
  </w:style>
  <w:style w:type="table" w:customStyle="1" w:styleId="affffffffffffffffffffff7">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8">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9">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a">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b">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c">
    <w:basedOn w:val="a1"/>
    <w:rsid w:val="00247221"/>
    <w:tblPr>
      <w:tblStyleRowBandSize w:val="1"/>
      <w:tblStyleColBandSize w:val="1"/>
      <w:tblCellMar>
        <w:left w:w="115" w:type="dxa"/>
        <w:right w:w="115" w:type="dxa"/>
      </w:tblCellMar>
    </w:tblPr>
  </w:style>
  <w:style w:type="table" w:customStyle="1" w:styleId="affffffffffffffffffffffd">
    <w:basedOn w:val="a1"/>
    <w:rsid w:val="00247221"/>
    <w:tblPr>
      <w:tblStyleRowBandSize w:val="1"/>
      <w:tblStyleColBandSize w:val="1"/>
      <w:tblCellMar>
        <w:left w:w="115" w:type="dxa"/>
        <w:right w:w="115" w:type="dxa"/>
      </w:tblCellMar>
    </w:tblPr>
  </w:style>
  <w:style w:type="table" w:customStyle="1" w:styleId="affffffffffffffffffffffe">
    <w:basedOn w:val="a1"/>
    <w:rsid w:val="00247221"/>
    <w:tblPr>
      <w:tblStyleRowBandSize w:val="1"/>
      <w:tblStyleColBandSize w:val="1"/>
      <w:tblCellMar>
        <w:left w:w="115" w:type="dxa"/>
        <w:right w:w="115" w:type="dxa"/>
      </w:tblCellMar>
    </w:tblPr>
  </w:style>
  <w:style w:type="table" w:customStyle="1" w:styleId="afffffffffffffffffffffff">
    <w:basedOn w:val="a1"/>
    <w:rsid w:val="00247221"/>
    <w:tblPr>
      <w:tblStyleRowBandSize w:val="1"/>
      <w:tblStyleColBandSize w:val="1"/>
      <w:tblCellMar>
        <w:left w:w="115" w:type="dxa"/>
        <w:right w:w="115" w:type="dxa"/>
      </w:tblCellMar>
    </w:tblPr>
  </w:style>
  <w:style w:type="table" w:customStyle="1" w:styleId="afffffffffffffffffffffff0">
    <w:basedOn w:val="a1"/>
    <w:rsid w:val="00247221"/>
    <w:tblPr>
      <w:tblStyleRowBandSize w:val="1"/>
      <w:tblStyleColBandSize w:val="1"/>
      <w:tblCellMar>
        <w:left w:w="57" w:type="dxa"/>
        <w:right w:w="57" w:type="dxa"/>
      </w:tblCellMar>
    </w:tblPr>
  </w:style>
  <w:style w:type="table" w:customStyle="1" w:styleId="afffffffffffffffffffffff1">
    <w:basedOn w:val="a1"/>
    <w:rsid w:val="00247221"/>
    <w:tblPr>
      <w:tblStyleRowBandSize w:val="1"/>
      <w:tblStyleColBandSize w:val="1"/>
      <w:tblCellMar>
        <w:left w:w="115" w:type="dxa"/>
        <w:right w:w="115" w:type="dxa"/>
      </w:tblCellMar>
    </w:tblPr>
  </w:style>
  <w:style w:type="table" w:customStyle="1" w:styleId="afffffffffffffffffffffff2">
    <w:basedOn w:val="a1"/>
    <w:rsid w:val="00247221"/>
    <w:tblPr>
      <w:tblStyleRowBandSize w:val="1"/>
      <w:tblStyleColBandSize w:val="1"/>
      <w:tblCellMar>
        <w:left w:w="115" w:type="dxa"/>
        <w:right w:w="115" w:type="dxa"/>
      </w:tblCellMar>
    </w:tblPr>
  </w:style>
  <w:style w:type="table" w:customStyle="1" w:styleId="afffffffffffffffffffffff3">
    <w:basedOn w:val="a1"/>
    <w:rsid w:val="00247221"/>
    <w:tblPr>
      <w:tblStyleRowBandSize w:val="1"/>
      <w:tblStyleColBandSize w:val="1"/>
      <w:tblCellMar>
        <w:left w:w="57" w:type="dxa"/>
        <w:right w:w="57" w:type="dxa"/>
      </w:tblCellMar>
    </w:tblPr>
  </w:style>
  <w:style w:type="table" w:customStyle="1" w:styleId="afffffffffffffffffffffff4">
    <w:basedOn w:val="a1"/>
    <w:rsid w:val="00247221"/>
    <w:tblPr>
      <w:tblStyleRowBandSize w:val="1"/>
      <w:tblStyleColBandSize w:val="1"/>
      <w:tblCellMar>
        <w:left w:w="115" w:type="dxa"/>
        <w:right w:w="115" w:type="dxa"/>
      </w:tblCellMar>
    </w:tblPr>
  </w:style>
  <w:style w:type="table" w:customStyle="1" w:styleId="afffffffffffffffffffffff5">
    <w:basedOn w:val="a1"/>
    <w:rsid w:val="00247221"/>
    <w:tblPr>
      <w:tblStyleRowBandSize w:val="1"/>
      <w:tblStyleColBandSize w:val="1"/>
      <w:tblCellMar>
        <w:left w:w="115" w:type="dxa"/>
        <w:right w:w="115" w:type="dxa"/>
      </w:tblCellMar>
    </w:tblPr>
  </w:style>
  <w:style w:type="table" w:customStyle="1" w:styleId="afffffffffffffffffffffff6">
    <w:basedOn w:val="a1"/>
    <w:rsid w:val="00247221"/>
    <w:tblPr>
      <w:tblStyleRowBandSize w:val="1"/>
      <w:tblStyleColBandSize w:val="1"/>
      <w:tblCellMar>
        <w:left w:w="115" w:type="dxa"/>
        <w:right w:w="115" w:type="dxa"/>
      </w:tblCellMar>
    </w:tblPr>
  </w:style>
  <w:style w:type="table" w:customStyle="1" w:styleId="afffffffffffffffffffffff7">
    <w:basedOn w:val="a1"/>
    <w:rsid w:val="00247221"/>
    <w:tblPr>
      <w:tblStyleRowBandSize w:val="1"/>
      <w:tblStyleColBandSize w:val="1"/>
      <w:tblCellMar>
        <w:left w:w="115" w:type="dxa"/>
        <w:right w:w="115" w:type="dxa"/>
      </w:tblCellMar>
    </w:tblPr>
  </w:style>
  <w:style w:type="table" w:customStyle="1" w:styleId="afffffffffffffffffffffff8">
    <w:basedOn w:val="a1"/>
    <w:rsid w:val="00247221"/>
    <w:tblPr>
      <w:tblStyleRowBandSize w:val="1"/>
      <w:tblStyleColBandSize w:val="1"/>
      <w:tblCellMar>
        <w:left w:w="115" w:type="dxa"/>
        <w:right w:w="115" w:type="dxa"/>
      </w:tblCellMar>
    </w:tblPr>
  </w:style>
  <w:style w:type="table" w:customStyle="1" w:styleId="afffffffffffffffffffffff9">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a">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b">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c">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d">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e">
    <w:basedOn w:val="a1"/>
    <w:rsid w:val="00247221"/>
    <w:tblPr>
      <w:tblStyleRowBandSize w:val="1"/>
      <w:tblStyleColBandSize w:val="1"/>
      <w:tblCellMar>
        <w:left w:w="115" w:type="dxa"/>
        <w:right w:w="115" w:type="dxa"/>
      </w:tblCellMar>
    </w:tblPr>
  </w:style>
  <w:style w:type="table" w:customStyle="1" w:styleId="affffffffffffffffffffffff">
    <w:basedOn w:val="a1"/>
    <w:rsid w:val="00247221"/>
    <w:tblPr>
      <w:tblStyleRowBandSize w:val="1"/>
      <w:tblStyleColBandSize w:val="1"/>
      <w:tblCellMar>
        <w:left w:w="115" w:type="dxa"/>
        <w:right w:w="115" w:type="dxa"/>
      </w:tblCellMar>
    </w:tblPr>
  </w:style>
  <w:style w:type="table" w:customStyle="1" w:styleId="affffffffffffffffffffffff0">
    <w:basedOn w:val="a1"/>
    <w:rsid w:val="00247221"/>
    <w:tblPr>
      <w:tblStyleRowBandSize w:val="1"/>
      <w:tblStyleColBandSize w:val="1"/>
      <w:tblCellMar>
        <w:top w:w="100" w:type="dxa"/>
        <w:left w:w="57" w:type="dxa"/>
        <w:bottom w:w="100" w:type="dxa"/>
        <w:right w:w="57" w:type="dxa"/>
      </w:tblCellMar>
    </w:tblPr>
  </w:style>
  <w:style w:type="table" w:customStyle="1" w:styleId="affffffffffffffffffffffff1">
    <w:basedOn w:val="a1"/>
    <w:rsid w:val="00247221"/>
    <w:tblPr>
      <w:tblStyleRowBandSize w:val="1"/>
      <w:tblStyleColBandSize w:val="1"/>
      <w:tblCellMar>
        <w:left w:w="115" w:type="dxa"/>
        <w:right w:w="115" w:type="dxa"/>
      </w:tblCellMar>
    </w:tblPr>
  </w:style>
  <w:style w:type="table" w:customStyle="1" w:styleId="affffffffffffffffffffffff2">
    <w:basedOn w:val="a1"/>
    <w:rsid w:val="00247221"/>
    <w:tblPr>
      <w:tblStyleRowBandSize w:val="1"/>
      <w:tblStyleColBandSize w:val="1"/>
      <w:tblCellMar>
        <w:left w:w="115" w:type="dxa"/>
        <w:right w:w="115" w:type="dxa"/>
      </w:tblCellMar>
    </w:tblPr>
  </w:style>
  <w:style w:type="table" w:customStyle="1" w:styleId="affffffffffffffffffffffff3">
    <w:basedOn w:val="a1"/>
    <w:rsid w:val="00247221"/>
    <w:tblPr>
      <w:tblStyleRowBandSize w:val="1"/>
      <w:tblStyleColBandSize w:val="1"/>
      <w:tblCellMar>
        <w:left w:w="115" w:type="dxa"/>
        <w:right w:w="115" w:type="dxa"/>
      </w:tblCellMar>
    </w:tblPr>
  </w:style>
  <w:style w:type="table" w:customStyle="1" w:styleId="affffffffffffffffffffffff4">
    <w:basedOn w:val="a1"/>
    <w:rsid w:val="00247221"/>
    <w:tblPr>
      <w:tblStyleRowBandSize w:val="1"/>
      <w:tblStyleColBandSize w:val="1"/>
      <w:tblCellMar>
        <w:left w:w="115" w:type="dxa"/>
        <w:right w:w="115" w:type="dxa"/>
      </w:tblCellMar>
    </w:tblPr>
  </w:style>
  <w:style w:type="table" w:customStyle="1" w:styleId="affffffffffffffffffffffff5">
    <w:basedOn w:val="a1"/>
    <w:rsid w:val="00247221"/>
    <w:tblPr>
      <w:tblStyleRowBandSize w:val="1"/>
      <w:tblStyleColBandSize w:val="1"/>
      <w:tblCellMar>
        <w:left w:w="115" w:type="dxa"/>
        <w:right w:w="115" w:type="dxa"/>
      </w:tblCellMar>
    </w:tblPr>
  </w:style>
  <w:style w:type="table" w:customStyle="1" w:styleId="affffffffffffffffffffffff6">
    <w:basedOn w:val="a1"/>
    <w:rsid w:val="00247221"/>
    <w:tblPr>
      <w:tblStyleRowBandSize w:val="1"/>
      <w:tblStyleColBandSize w:val="1"/>
      <w:tblCellMar>
        <w:left w:w="115" w:type="dxa"/>
        <w:right w:w="115" w:type="dxa"/>
      </w:tblCellMar>
    </w:tblPr>
  </w:style>
  <w:style w:type="table" w:customStyle="1" w:styleId="affffffffffffffffffffffff7">
    <w:basedOn w:val="a1"/>
    <w:rsid w:val="00247221"/>
    <w:tblPr>
      <w:tblStyleRowBandSize w:val="1"/>
      <w:tblStyleColBandSize w:val="1"/>
      <w:tblCellMar>
        <w:left w:w="115" w:type="dxa"/>
        <w:right w:w="115" w:type="dxa"/>
      </w:tblCellMar>
    </w:tblPr>
  </w:style>
  <w:style w:type="paragraph" w:styleId="affffffffffffffffffffffff8">
    <w:name w:val="Normal (Web)"/>
    <w:basedOn w:val="a"/>
    <w:uiPriority w:val="99"/>
    <w:unhideWhenUsed/>
    <w:rsid w:val="00810E95"/>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uk-UA"/>
    </w:rPr>
  </w:style>
  <w:style w:type="character" w:customStyle="1" w:styleId="apple-tab-span">
    <w:name w:val="apple-tab-span"/>
    <w:basedOn w:val="a0"/>
    <w:rsid w:val="009C4342"/>
  </w:style>
  <w:style w:type="paragraph" w:customStyle="1" w:styleId="msonormal0">
    <w:name w:val="msonormal"/>
    <w:basedOn w:val="a"/>
    <w:rsid w:val="00E31260"/>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uk-UA"/>
    </w:rPr>
  </w:style>
  <w:style w:type="table" w:customStyle="1" w:styleId="affffffffffffffffffffffff9">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a">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b">
    <w:basedOn w:val="TableNormal4"/>
    <w:rsid w:val="00247221"/>
    <w:tblPr>
      <w:tblStyleRowBandSize w:val="1"/>
      <w:tblStyleColBandSize w:val="1"/>
      <w:tblCellMar>
        <w:top w:w="6" w:type="dxa"/>
        <w:left w:w="15" w:type="dxa"/>
        <w:bottom w:w="6" w:type="dxa"/>
        <w:right w:w="15" w:type="dxa"/>
      </w:tblCellMar>
    </w:tblPr>
  </w:style>
  <w:style w:type="table" w:customStyle="1" w:styleId="affffffffffffffffffffffffc">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d">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e">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0">
    <w:basedOn w:val="TableNormal4"/>
    <w:rsid w:val="00247221"/>
    <w:tblPr>
      <w:tblStyleRowBandSize w:val="1"/>
      <w:tblStyleColBandSize w:val="1"/>
      <w:tblCellMar>
        <w:top w:w="6" w:type="dxa"/>
        <w:bottom w:w="6" w:type="dxa"/>
      </w:tblCellMar>
    </w:tblPr>
  </w:style>
  <w:style w:type="table" w:customStyle="1" w:styleId="afffffffffffffffffffffffff1">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2">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3">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4">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5">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6">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7">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8">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9">
    <w:basedOn w:val="TableNormal4"/>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a">
    <w:basedOn w:val="TableNormal4"/>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b">
    <w:basedOn w:val="TableNormal4"/>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c">
    <w:basedOn w:val="TableNormal4"/>
    <w:rsid w:val="00247221"/>
    <w:rPr>
      <w:rFonts w:ascii="Calibri" w:eastAsia="Calibri" w:hAnsi="Calibri" w:cs="Calibri"/>
    </w:rPr>
    <w:tblPr>
      <w:tblStyleRowBandSize w:val="1"/>
      <w:tblStyleColBandSize w:val="1"/>
      <w:tblCellMar>
        <w:top w:w="100" w:type="dxa"/>
        <w:bottom w:w="100" w:type="dxa"/>
      </w:tblCellMar>
    </w:tblPr>
  </w:style>
  <w:style w:type="character" w:customStyle="1" w:styleId="cf01">
    <w:name w:val="cf01"/>
    <w:basedOn w:val="a0"/>
    <w:rsid w:val="00B82A9F"/>
    <w:rPr>
      <w:rFonts w:ascii="Segoe UI" w:hAnsi="Segoe UI" w:cs="Segoe UI" w:hint="default"/>
      <w:sz w:val="18"/>
      <w:szCs w:val="18"/>
    </w:rPr>
  </w:style>
  <w:style w:type="table" w:customStyle="1" w:styleId="afffffffffffffffffffffffffd">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e">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0">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1">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2">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3">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4">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5">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6">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7">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8">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9">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a">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b">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c">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d">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e">
    <w:basedOn w:val="TableNormal3"/>
    <w:rsid w:val="00247221"/>
    <w:tblPr>
      <w:tblStyleRowBandSize w:val="1"/>
      <w:tblStyleColBandSize w:val="1"/>
      <w:tblCellMar>
        <w:left w:w="6" w:type="dxa"/>
        <w:right w:w="6" w:type="dxa"/>
      </w:tblCellMar>
    </w:tblPr>
  </w:style>
  <w:style w:type="table" w:customStyle="1" w:styleId="afffffffffffffffffffffffffff">
    <w:basedOn w:val="TableNormal3"/>
    <w:rsid w:val="00247221"/>
    <w:tblPr>
      <w:tblStyleRowBandSize w:val="1"/>
      <w:tblStyleColBandSize w:val="1"/>
      <w:tblCellMar>
        <w:left w:w="115" w:type="dxa"/>
        <w:right w:w="115" w:type="dxa"/>
      </w:tblCellMar>
    </w:tblPr>
  </w:style>
  <w:style w:type="table" w:customStyle="1" w:styleId="afffffffffffffffffffffffffff0">
    <w:basedOn w:val="TableNormal3"/>
    <w:rsid w:val="00247221"/>
    <w:tblPr>
      <w:tblStyleRowBandSize w:val="1"/>
      <w:tblStyleColBandSize w:val="1"/>
      <w:tblCellMar>
        <w:left w:w="115" w:type="dxa"/>
        <w:right w:w="115" w:type="dxa"/>
      </w:tblCellMar>
    </w:tblPr>
  </w:style>
  <w:style w:type="table" w:customStyle="1" w:styleId="afffffffffffffffffffffffffff1">
    <w:basedOn w:val="TableNormal3"/>
    <w:rsid w:val="00247221"/>
    <w:tblPr>
      <w:tblStyleRowBandSize w:val="1"/>
      <w:tblStyleColBandSize w:val="1"/>
      <w:tblCellMar>
        <w:left w:w="115" w:type="dxa"/>
        <w:right w:w="115" w:type="dxa"/>
      </w:tblCellMar>
    </w:tblPr>
  </w:style>
  <w:style w:type="table" w:customStyle="1" w:styleId="afffffffffffffffffffffffffff2">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3">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4">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5">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6">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7">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340">
    <w:name w:val="34"/>
    <w:basedOn w:val="a1"/>
    <w:rsid w:val="001C05D7"/>
    <w:tblPr>
      <w:tblStyleRowBandSize w:val="1"/>
      <w:tblStyleColBandSize w:val="1"/>
      <w:tblCellMar>
        <w:left w:w="0" w:type="dxa"/>
        <w:right w:w="57" w:type="dxa"/>
      </w:tblCellMar>
    </w:tblPr>
  </w:style>
  <w:style w:type="table" w:customStyle="1" w:styleId="afffffffffffffffffffffffffff8">
    <w:basedOn w:val="TableNormal2"/>
    <w:rsid w:val="00247221"/>
    <w:tblPr>
      <w:tblStyleRowBandSize w:val="1"/>
      <w:tblStyleColBandSize w:val="1"/>
      <w:tblCellMar>
        <w:left w:w="115" w:type="dxa"/>
        <w:right w:w="115" w:type="dxa"/>
      </w:tblCellMar>
    </w:tblPr>
  </w:style>
  <w:style w:type="table" w:customStyle="1" w:styleId="afffffffffffffffffffffffffff9">
    <w:basedOn w:val="TableNormal2"/>
    <w:rsid w:val="00247221"/>
    <w:rPr>
      <w:rFonts w:ascii="Calibri" w:eastAsia="Calibri" w:hAnsi="Calibri" w:cs="Calibri"/>
    </w:rPr>
    <w:tblPr>
      <w:tblStyleRowBandSize w:val="1"/>
      <w:tblStyleColBandSize w:val="1"/>
      <w:tblCellMar>
        <w:top w:w="100" w:type="dxa"/>
        <w:bottom w:w="100" w:type="dxa"/>
        <w:right w:w="57" w:type="dxa"/>
      </w:tblCellMar>
    </w:tblPr>
  </w:style>
  <w:style w:type="table" w:customStyle="1" w:styleId="afffffffffffffffffffffffffffa">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b">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c">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d">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e">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0">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1">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2">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3">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4">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5">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6">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7">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8">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9">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a">
    <w:basedOn w:val="TableNormal2"/>
    <w:rsid w:val="00247221"/>
    <w:tblPr>
      <w:tblStyleRowBandSize w:val="1"/>
      <w:tblStyleColBandSize w:val="1"/>
      <w:tblCellMar>
        <w:left w:w="115" w:type="dxa"/>
        <w:right w:w="115" w:type="dxa"/>
      </w:tblCellMar>
    </w:tblPr>
  </w:style>
  <w:style w:type="table" w:customStyle="1" w:styleId="affffffffffffffffffffffffffffb">
    <w:basedOn w:val="TableNormal2"/>
    <w:rsid w:val="00247221"/>
    <w:tblPr>
      <w:tblStyleRowBandSize w:val="1"/>
      <w:tblStyleColBandSize w:val="1"/>
      <w:tblCellMar>
        <w:left w:w="115" w:type="dxa"/>
        <w:right w:w="115" w:type="dxa"/>
      </w:tblCellMar>
    </w:tblPr>
  </w:style>
  <w:style w:type="table" w:customStyle="1" w:styleId="affffffffffffffffffffffffffffc">
    <w:basedOn w:val="TableNormal2"/>
    <w:rsid w:val="00247221"/>
    <w:tblPr>
      <w:tblStyleRowBandSize w:val="1"/>
      <w:tblStyleColBandSize w:val="1"/>
      <w:tblCellMar>
        <w:left w:w="115" w:type="dxa"/>
        <w:right w:w="115" w:type="dxa"/>
      </w:tblCellMar>
    </w:tblPr>
  </w:style>
  <w:style w:type="table" w:customStyle="1" w:styleId="affffffffffffffffffffffffffffd">
    <w:basedOn w:val="TableNormal2"/>
    <w:rsid w:val="00247221"/>
    <w:tblPr>
      <w:tblStyleRowBandSize w:val="1"/>
      <w:tblStyleColBandSize w:val="1"/>
      <w:tblCellMar>
        <w:left w:w="115" w:type="dxa"/>
        <w:right w:w="115" w:type="dxa"/>
      </w:tblCellMar>
    </w:tblPr>
  </w:style>
  <w:style w:type="table" w:customStyle="1" w:styleId="affffffffffffffffffffffffffffe">
    <w:basedOn w:val="TableNormal2"/>
    <w:rsid w:val="00247221"/>
    <w:tblPr>
      <w:tblStyleRowBandSize w:val="1"/>
      <w:tblStyleColBandSize w:val="1"/>
      <w:tblCellMar>
        <w:left w:w="115" w:type="dxa"/>
        <w:right w:w="115" w:type="dxa"/>
      </w:tblCellMar>
    </w:tblPr>
  </w:style>
  <w:style w:type="table" w:customStyle="1" w:styleId="afffffffffffffffffffffffffffff">
    <w:basedOn w:val="TableNormal2"/>
    <w:rsid w:val="00247221"/>
    <w:tblPr>
      <w:tblStyleRowBandSize w:val="1"/>
      <w:tblStyleColBandSize w:val="1"/>
      <w:tblCellMar>
        <w:left w:w="115" w:type="dxa"/>
        <w:right w:w="115" w:type="dxa"/>
      </w:tblCellMar>
    </w:tblPr>
  </w:style>
  <w:style w:type="table" w:customStyle="1" w:styleId="afffffffffffffffffffffffffffff0">
    <w:basedOn w:val="TableNormal2"/>
    <w:rsid w:val="00247221"/>
    <w:tblPr>
      <w:tblStyleRowBandSize w:val="1"/>
      <w:tblStyleColBandSize w:val="1"/>
      <w:tblCellMar>
        <w:left w:w="115" w:type="dxa"/>
        <w:right w:w="115" w:type="dxa"/>
      </w:tblCellMar>
    </w:tblPr>
  </w:style>
  <w:style w:type="table" w:customStyle="1" w:styleId="afffffffffffffffffffffffffffff1">
    <w:basedOn w:val="TableNormal2"/>
    <w:rsid w:val="00247221"/>
    <w:tblPr>
      <w:tblStyleRowBandSize w:val="1"/>
      <w:tblStyleColBandSize w:val="1"/>
      <w:tblCellMar>
        <w:left w:w="115" w:type="dxa"/>
        <w:right w:w="115" w:type="dxa"/>
      </w:tblCellMar>
    </w:tblPr>
  </w:style>
  <w:style w:type="table" w:customStyle="1" w:styleId="afffffffffffffffffffffffffffff2">
    <w:basedOn w:val="TableNormal2"/>
    <w:rsid w:val="00247221"/>
    <w:tblPr>
      <w:tblStyleRowBandSize w:val="1"/>
      <w:tblStyleColBandSize w:val="1"/>
      <w:tblCellMar>
        <w:left w:w="115" w:type="dxa"/>
        <w:right w:w="115" w:type="dxa"/>
      </w:tblCellMar>
    </w:tblPr>
  </w:style>
  <w:style w:type="table" w:customStyle="1" w:styleId="afffffffffffffffffffffffffffff3">
    <w:basedOn w:val="TableNormal2"/>
    <w:rsid w:val="00247221"/>
    <w:tblPr>
      <w:tblStyleRowBandSize w:val="1"/>
      <w:tblStyleColBandSize w:val="1"/>
      <w:tblCellMar>
        <w:left w:w="115" w:type="dxa"/>
        <w:right w:w="115" w:type="dxa"/>
      </w:tblCellMar>
    </w:tblPr>
  </w:style>
  <w:style w:type="table" w:customStyle="1" w:styleId="afffffffffffffffffffffffffffff4">
    <w:basedOn w:val="TableNormal2"/>
    <w:rsid w:val="00247221"/>
    <w:tblPr>
      <w:tblStyleRowBandSize w:val="1"/>
      <w:tblStyleColBandSize w:val="1"/>
      <w:tblCellMar>
        <w:left w:w="115" w:type="dxa"/>
        <w:right w:w="115" w:type="dxa"/>
      </w:tblCellMar>
    </w:tblPr>
  </w:style>
  <w:style w:type="table" w:customStyle="1" w:styleId="afffffffffffffffffffffffffffff5">
    <w:basedOn w:val="TableNormal2"/>
    <w:rsid w:val="00247221"/>
    <w:tblPr>
      <w:tblStyleRowBandSize w:val="1"/>
      <w:tblStyleColBandSize w:val="1"/>
      <w:tblCellMar>
        <w:left w:w="115" w:type="dxa"/>
        <w:right w:w="115" w:type="dxa"/>
      </w:tblCellMar>
    </w:tblPr>
  </w:style>
  <w:style w:type="table" w:customStyle="1" w:styleId="afffffffffffffffffffffffffffff6">
    <w:basedOn w:val="TableNormal2"/>
    <w:rsid w:val="00247221"/>
    <w:tblPr>
      <w:tblStyleRowBandSize w:val="1"/>
      <w:tblStyleColBandSize w:val="1"/>
      <w:tblCellMar>
        <w:left w:w="115" w:type="dxa"/>
        <w:right w:w="115" w:type="dxa"/>
      </w:tblCellMar>
    </w:tblPr>
  </w:style>
  <w:style w:type="table" w:customStyle="1" w:styleId="afffffffffffffffffffffffffffff7">
    <w:basedOn w:val="TableNormal2"/>
    <w:rsid w:val="00247221"/>
    <w:tblPr>
      <w:tblStyleRowBandSize w:val="1"/>
      <w:tblStyleColBandSize w:val="1"/>
      <w:tblCellMar>
        <w:left w:w="115" w:type="dxa"/>
        <w:right w:w="115" w:type="dxa"/>
      </w:tblCellMar>
    </w:tblPr>
  </w:style>
  <w:style w:type="table" w:customStyle="1" w:styleId="afffffffffffffffffffffffffffff8">
    <w:basedOn w:val="TableNormal2"/>
    <w:rsid w:val="00247221"/>
    <w:tblPr>
      <w:tblStyleRowBandSize w:val="1"/>
      <w:tblStyleColBandSize w:val="1"/>
      <w:tblCellMar>
        <w:top w:w="100" w:type="dxa"/>
        <w:left w:w="115" w:type="dxa"/>
        <w:bottom w:w="100" w:type="dxa"/>
        <w:right w:w="115" w:type="dxa"/>
      </w:tblCellMar>
    </w:tblPr>
  </w:style>
  <w:style w:type="table" w:customStyle="1" w:styleId="afffffffffffffffffffffffffffff9">
    <w:basedOn w:val="TableNormal2"/>
    <w:rsid w:val="00247221"/>
    <w:tblPr>
      <w:tblStyleRowBandSize w:val="1"/>
      <w:tblStyleColBandSize w:val="1"/>
      <w:tblCellMar>
        <w:top w:w="100" w:type="dxa"/>
        <w:left w:w="115" w:type="dxa"/>
        <w:bottom w:w="100" w:type="dxa"/>
        <w:right w:w="115" w:type="dxa"/>
      </w:tblCellMar>
    </w:tblPr>
  </w:style>
  <w:style w:type="table" w:customStyle="1" w:styleId="afffffffffffffffffffffffffffffa">
    <w:basedOn w:val="TableNormal2"/>
    <w:rsid w:val="00247221"/>
    <w:tblPr>
      <w:tblStyleRowBandSize w:val="1"/>
      <w:tblStyleColBandSize w:val="1"/>
      <w:tblCellMar>
        <w:left w:w="115" w:type="dxa"/>
        <w:right w:w="115" w:type="dxa"/>
      </w:tblCellMar>
    </w:tblPr>
  </w:style>
  <w:style w:type="table" w:customStyle="1" w:styleId="afffffffffffffffffffffffffffffb">
    <w:basedOn w:val="TableNormal2"/>
    <w:rsid w:val="00247221"/>
    <w:tblPr>
      <w:tblStyleRowBandSize w:val="1"/>
      <w:tblStyleColBandSize w:val="1"/>
      <w:tblCellMar>
        <w:left w:w="115" w:type="dxa"/>
        <w:right w:w="115" w:type="dxa"/>
      </w:tblCellMar>
    </w:tblPr>
  </w:style>
  <w:style w:type="table" w:customStyle="1" w:styleId="afffffffffffffffffffffffffffffc">
    <w:basedOn w:val="TableNormal2"/>
    <w:rsid w:val="00247221"/>
    <w:tblPr>
      <w:tblStyleRowBandSize w:val="1"/>
      <w:tblStyleColBandSize w:val="1"/>
      <w:tblCellMar>
        <w:left w:w="115" w:type="dxa"/>
        <w:right w:w="115" w:type="dxa"/>
      </w:tblCellMar>
    </w:tblPr>
  </w:style>
  <w:style w:type="table" w:customStyle="1" w:styleId="afffffffffffffffffffffffffffffd">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e">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0">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1">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2">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3">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4">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5">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6">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7">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8">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9">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a">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b">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c">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d">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e">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0">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1">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2">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3">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4">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5">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6">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7">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8">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9">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a">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b">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c">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d">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e">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0">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1">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2">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3">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4">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5">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6">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7">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8">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9">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a">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b">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c">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d">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e">
    <w:basedOn w:val="a1"/>
    <w:rsid w:val="00247221"/>
    <w:rPr>
      <w:rFonts w:ascii="Calibri" w:eastAsia="Calibri" w:hAnsi="Calibri" w:cs="Calibri"/>
    </w:rPr>
    <w:tblPr>
      <w:tblStyleRowBandSize w:val="1"/>
      <w:tblStyleColBandSize w:val="1"/>
      <w:tblCellMar>
        <w:top w:w="100" w:type="dxa"/>
        <w:left w:w="6" w:type="dxa"/>
        <w:bottom w:w="100" w:type="dxa"/>
        <w:right w:w="6" w:type="dxa"/>
      </w:tblCellMar>
    </w:tblPr>
  </w:style>
  <w:style w:type="table" w:customStyle="1" w:styleId="afffffffffffffffffffffffffffffffff">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0">
    <w:basedOn w:val="a1"/>
    <w:rsid w:val="00247221"/>
    <w:rPr>
      <w:rFonts w:ascii="Calibri" w:eastAsia="Calibri" w:hAnsi="Calibri" w:cs="Calibri"/>
    </w:rPr>
    <w:tblPr>
      <w:tblStyleRowBandSize w:val="1"/>
      <w:tblStyleColBandSize w:val="1"/>
      <w:tblCellMar>
        <w:top w:w="100" w:type="dxa"/>
        <w:left w:w="6" w:type="dxa"/>
        <w:bottom w:w="100" w:type="dxa"/>
        <w:right w:w="6" w:type="dxa"/>
      </w:tblCellMar>
    </w:tblPr>
  </w:style>
  <w:style w:type="table" w:customStyle="1" w:styleId="afffffffffffffffffffffffffffffffff1">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2">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3">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4">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5">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6">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7">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paragraph" w:styleId="afffffffffffffffffffffffffffffffff8">
    <w:name w:val="Revision"/>
    <w:hidden/>
    <w:uiPriority w:val="99"/>
    <w:semiHidden/>
    <w:rsid w:val="00351B9B"/>
    <w:pPr>
      <w:spacing w:before="0" w:line="240" w:lineRule="auto"/>
      <w:ind w:firstLine="0"/>
      <w:jc w:val="left"/>
    </w:pPr>
    <w:rPr>
      <w:lang w:eastAsia="zh-CN"/>
    </w:rPr>
  </w:style>
  <w:style w:type="character" w:customStyle="1" w:styleId="65">
    <w:name w:val="Основной текст (6)_"/>
    <w:basedOn w:val="a0"/>
    <w:link w:val="66"/>
    <w:uiPriority w:val="99"/>
    <w:locked/>
    <w:rsid w:val="006B760E"/>
    <w:rPr>
      <w:b/>
      <w:bCs/>
      <w:spacing w:val="29"/>
      <w:shd w:val="clear" w:color="auto" w:fill="FFFFFF"/>
    </w:rPr>
  </w:style>
  <w:style w:type="paragraph" w:customStyle="1" w:styleId="66">
    <w:name w:val="Основной текст (6)"/>
    <w:basedOn w:val="a"/>
    <w:link w:val="65"/>
    <w:uiPriority w:val="99"/>
    <w:rsid w:val="006B760E"/>
    <w:pPr>
      <w:widowControl w:val="0"/>
      <w:shd w:val="clear" w:color="auto" w:fill="FFFFFF"/>
      <w:suppressAutoHyphens w:val="0"/>
      <w:spacing w:before="0" w:after="360" w:line="240" w:lineRule="atLeast"/>
      <w:ind w:firstLine="0"/>
      <w:jc w:val="center"/>
    </w:pPr>
    <w:rPr>
      <w:b/>
      <w:bCs/>
      <w:spacing w:val="29"/>
    </w:rPr>
  </w:style>
  <w:style w:type="character" w:customStyle="1" w:styleId="75">
    <w:name w:val="Основной текст (7)_"/>
    <w:basedOn w:val="a0"/>
    <w:link w:val="76"/>
    <w:uiPriority w:val="99"/>
    <w:locked/>
    <w:rsid w:val="006B760E"/>
    <w:rPr>
      <w:spacing w:val="1"/>
      <w:sz w:val="14"/>
      <w:szCs w:val="14"/>
      <w:shd w:val="clear" w:color="auto" w:fill="FFFFFF"/>
    </w:rPr>
  </w:style>
  <w:style w:type="paragraph" w:customStyle="1" w:styleId="76">
    <w:name w:val="Основной текст (7)"/>
    <w:basedOn w:val="a"/>
    <w:link w:val="75"/>
    <w:uiPriority w:val="99"/>
    <w:rsid w:val="006B760E"/>
    <w:pPr>
      <w:widowControl w:val="0"/>
      <w:shd w:val="clear" w:color="auto" w:fill="FFFFFF"/>
      <w:suppressAutoHyphens w:val="0"/>
      <w:spacing w:before="0" w:after="180" w:line="274" w:lineRule="exact"/>
      <w:ind w:firstLine="0"/>
      <w:jc w:val="center"/>
    </w:pPr>
    <w:rPr>
      <w:spacing w:val="1"/>
      <w:sz w:val="14"/>
      <w:szCs w:val="14"/>
    </w:rPr>
  </w:style>
  <w:style w:type="character" w:customStyle="1" w:styleId="110">
    <w:name w:val="Основной текст (11)_"/>
    <w:basedOn w:val="a0"/>
    <w:link w:val="111"/>
    <w:uiPriority w:val="99"/>
    <w:locked/>
    <w:rsid w:val="006B760E"/>
    <w:rPr>
      <w:spacing w:val="2"/>
      <w:sz w:val="14"/>
      <w:szCs w:val="14"/>
      <w:shd w:val="clear" w:color="auto" w:fill="FFFFFF"/>
    </w:rPr>
  </w:style>
  <w:style w:type="paragraph" w:customStyle="1" w:styleId="111">
    <w:name w:val="Основной текст (11)"/>
    <w:basedOn w:val="a"/>
    <w:link w:val="110"/>
    <w:uiPriority w:val="99"/>
    <w:rsid w:val="006B760E"/>
    <w:pPr>
      <w:widowControl w:val="0"/>
      <w:shd w:val="clear" w:color="auto" w:fill="FFFFFF"/>
      <w:suppressAutoHyphens w:val="0"/>
      <w:spacing w:before="0" w:after="180" w:line="274" w:lineRule="exact"/>
      <w:ind w:firstLine="0"/>
      <w:jc w:val="center"/>
    </w:pPr>
    <w:rPr>
      <w:spacing w:val="2"/>
      <w:sz w:val="14"/>
      <w:szCs w:val="14"/>
    </w:rPr>
  </w:style>
  <w:style w:type="character" w:customStyle="1" w:styleId="afffffffffffffffffffffffffffffffff9">
    <w:name w:val="Другое_"/>
    <w:link w:val="afffffffffffffffffffffffffffffffffa"/>
    <w:rsid w:val="006E7926"/>
    <w:rPr>
      <w:color w:val="231F20"/>
      <w:sz w:val="20"/>
      <w:szCs w:val="20"/>
    </w:rPr>
  </w:style>
  <w:style w:type="paragraph" w:customStyle="1" w:styleId="afffffffffffffffffffffffffffffffffa">
    <w:name w:val="Другое"/>
    <w:basedOn w:val="a"/>
    <w:link w:val="afffffffffffffffffffffffffffffffff9"/>
    <w:rsid w:val="006E7926"/>
    <w:pPr>
      <w:widowControl w:val="0"/>
      <w:suppressAutoHyphens w:val="0"/>
      <w:spacing w:before="0" w:after="40" w:line="293" w:lineRule="auto"/>
      <w:ind w:firstLine="400"/>
      <w:jc w:val="left"/>
    </w:pPr>
    <w:rPr>
      <w:color w:val="231F20"/>
      <w:sz w:val="20"/>
      <w:szCs w:val="20"/>
    </w:rPr>
  </w:style>
  <w:style w:type="character" w:styleId="afffffffffffffffffffffffffffffffffb">
    <w:name w:val="Unresolved Mention"/>
    <w:basedOn w:val="a0"/>
    <w:uiPriority w:val="99"/>
    <w:semiHidden/>
    <w:unhideWhenUsed/>
    <w:rsid w:val="00CE589F"/>
    <w:rPr>
      <w:color w:val="605E5C"/>
      <w:shd w:val="clear" w:color="auto" w:fill="E1DFDD"/>
    </w:rPr>
  </w:style>
  <w:style w:type="character" w:styleId="afffffffffffffffffffffffffffffffffc">
    <w:name w:val="FollowedHyperlink"/>
    <w:basedOn w:val="a0"/>
    <w:uiPriority w:val="99"/>
    <w:semiHidden/>
    <w:unhideWhenUsed/>
    <w:rsid w:val="00166B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onstruction.gov.ua/laws_detail/3199686959802877315?doc_type=2" TargetMode="External"/><Relationship Id="rId299" Type="http://schemas.openxmlformats.org/officeDocument/2006/relationships/image" Target="media/image10.png"/><Relationship Id="rId21" Type="http://schemas.openxmlformats.org/officeDocument/2006/relationships/footer" Target="footer8.xml"/><Relationship Id="rId63" Type="http://schemas.openxmlformats.org/officeDocument/2006/relationships/hyperlink" Target="https://ua-s.org/katalog-normativnih-dokumentiv/search-by-result-parameters/4129?search=%D0%94%D0%A1%D0%A2%D0%A3+7525:2014+" TargetMode="External"/><Relationship Id="rId159" Type="http://schemas.openxmlformats.org/officeDocument/2006/relationships/hyperlink" Target="https://e-construction.gov.ua/laws_detail/3260441209981634046?doc_type=2" TargetMode="External"/><Relationship Id="rId324" Type="http://schemas.openxmlformats.org/officeDocument/2006/relationships/hyperlink" Target="https://ua-s.org/katalog-normativnih-dokumentiv/search-by-result-parameters?search=%D0%94%D0%A1%D0%A2%D0%A3+EN+13256" TargetMode="External"/><Relationship Id="rId170" Type="http://schemas.openxmlformats.org/officeDocument/2006/relationships/hyperlink" Target="https://e-construction.gov.ua/laws_detail/3192362160978134152?doc_type=2" TargetMode="External"/><Relationship Id="rId226" Type="http://schemas.openxmlformats.org/officeDocument/2006/relationships/hyperlink" Target="https://e-construction.gov.ua/laws_detail/3074971619479783152?doc_type=2" TargetMode="External"/><Relationship Id="rId268" Type="http://schemas.openxmlformats.org/officeDocument/2006/relationships/hyperlink" Target="https://e-construction.gov.ua/laws_detail/3074174554558432858?doc_type=2" TargetMode="External"/><Relationship Id="rId32" Type="http://schemas.openxmlformats.org/officeDocument/2006/relationships/hyperlink" Target="https://e-construction.gov.ua/laws_detail/3080743763845318619?doc_type=2" TargetMode="External"/><Relationship Id="rId74" Type="http://schemas.openxmlformats.org/officeDocument/2006/relationships/hyperlink" Target="https://ua-s.org/katalog-normativnih-dokumentiv/search-by-result-parameters/64253?search=%D0%94%D0%A1%D0%A2%D0%A3+EN+81-70:2022+" TargetMode="External"/><Relationship Id="rId128" Type="http://schemas.openxmlformats.org/officeDocument/2006/relationships/hyperlink" Target="https://ua-s.org/katalog-normativnih-dokumentiv/search-by-result-parameters/65490?search=%D0%94%D0%A1%D0%A2%D0%A3+CEN/TS+81-76" TargetMode="External"/><Relationship Id="rId335" Type="http://schemas.openxmlformats.org/officeDocument/2006/relationships/hyperlink" Target="https://zakon.rada.gov.ua/laws/show/6-2014-%D0%BF" TargetMode="External"/><Relationship Id="rId5" Type="http://schemas.openxmlformats.org/officeDocument/2006/relationships/settings" Target="settings.xml"/><Relationship Id="rId181" Type="http://schemas.openxmlformats.org/officeDocument/2006/relationships/hyperlink" Target="https://e-construction.gov.ua/laws_detail/3080029223885211423?doc_type=2" TargetMode="External"/><Relationship Id="rId237" Type="http://schemas.openxmlformats.org/officeDocument/2006/relationships/hyperlink" Target="https://e-construction.gov.ua/laws_detail/3200385397578270089?doc_type=2" TargetMode="External"/><Relationship Id="rId279" Type="http://schemas.openxmlformats.org/officeDocument/2006/relationships/hyperlink" Target="https://ua-s.org/katalog-normativnih-dokumentiv/search-by-result-parameters?search=%D0%94%D0%A1%D0%A2%D0%A3-%D0%9D+%D0%91+%D0%92.1.1-34" TargetMode="External"/><Relationship Id="rId43" Type="http://schemas.openxmlformats.org/officeDocument/2006/relationships/hyperlink" Target="https://e-construction.gov.ua/laws_detail/3084989669637621022?doc_type=2" TargetMode="External"/><Relationship Id="rId139" Type="http://schemas.openxmlformats.org/officeDocument/2006/relationships/hyperlink" Target="https://e-construction.gov.ua/laws_detail/3192362160978134152?doc_type=2" TargetMode="External"/><Relationship Id="rId290" Type="http://schemas.openxmlformats.org/officeDocument/2006/relationships/hyperlink" Target="https://e-construction.gov.ua/laws_detail/3199621970136139233?doc_type=2" TargetMode="External"/><Relationship Id="rId304" Type="http://schemas.openxmlformats.org/officeDocument/2006/relationships/hyperlink" Target="https://e-construction.gov.ua/laws_detail/3200413563881522897?doc_type=2" TargetMode="External"/><Relationship Id="rId346" Type="http://schemas.openxmlformats.org/officeDocument/2006/relationships/hyperlink" Target="https://ua-s.org/katalog-normativnih-dokumentiv/search-by-result-parameters?search=%D0%94%D0%A1%D0%A2%D0%A3+ISO+8528-12:2005+" TargetMode="External"/><Relationship Id="rId85" Type="http://schemas.openxmlformats.org/officeDocument/2006/relationships/hyperlink" Target="https://ua-s.org/katalog-normativnih-dokumentiv/search-by-result-parameters/11019?search=%D0%94%D0%A1%D0%A2%D0%A3+EN+62305-4:2012+" TargetMode="External"/><Relationship Id="rId150" Type="http://schemas.openxmlformats.org/officeDocument/2006/relationships/hyperlink" Target="https://e-construction.gov.ua/laws_detail/3236500339955861496?doc_type=2" TargetMode="External"/><Relationship Id="rId192" Type="http://schemas.openxmlformats.org/officeDocument/2006/relationships/hyperlink" Target="https://e-construction.gov.ua/laws_detail/3192362160978134152?doc_type=2" TargetMode="External"/><Relationship Id="rId206" Type="http://schemas.openxmlformats.org/officeDocument/2006/relationships/hyperlink" Target="https://ua-s.org/katalog-normativnih-dokumentiv/search-by-result-parameters/3924?search=%D0%94%D0%A1%D0%A2%D0%A3+7313" TargetMode="External"/><Relationship Id="rId248" Type="http://schemas.openxmlformats.org/officeDocument/2006/relationships/hyperlink" Target="https://ua-s.org/katalog-normativnih-dokumentiv/search-by-result-parameters?search=%D0%94%D0%A1%D0%A2%D0%A3+HD+62640" TargetMode="External"/><Relationship Id="rId12" Type="http://schemas.openxmlformats.org/officeDocument/2006/relationships/footer" Target="footer1.xml"/><Relationship Id="rId108" Type="http://schemas.openxmlformats.org/officeDocument/2006/relationships/hyperlink" Target="https://ua-s.org/katalog-normativnih-dokumentiv/search-by-result-parameters/37003?search=%D0%94%D0%A1%D0%A2%D0%A3+8773" TargetMode="External"/><Relationship Id="rId315" Type="http://schemas.openxmlformats.org/officeDocument/2006/relationships/hyperlink" Target="https://e-construction.gov.ua/laws_detail/3200869840512354218?doc_type=2" TargetMode="External"/><Relationship Id="rId54" Type="http://schemas.openxmlformats.org/officeDocument/2006/relationships/hyperlink" Target="https://ua-s.org/katalog-normativnih-dokumentiv/search-by-result-parameters/33863?search=%D0%94%D0%A1%D0%A2%D0%A3-%D0%9D+%D0%91+%D0%92.1.1-27:2010+" TargetMode="External"/><Relationship Id="rId96" Type="http://schemas.openxmlformats.org/officeDocument/2006/relationships/hyperlink" Target="https://zakon.rada.gov.ua/laws/show/39/95-%D0%B2%D1%80" TargetMode="External"/><Relationship Id="rId161" Type="http://schemas.openxmlformats.org/officeDocument/2006/relationships/hyperlink" Target="https://e-construction.gov.ua/laws_detail/3192362160978134152?doc_type=2" TargetMode="External"/><Relationship Id="rId217" Type="http://schemas.openxmlformats.org/officeDocument/2006/relationships/hyperlink" Target="https://e-construction.gov.ua/laws_detail/3074971619479783152?doc_type=2" TargetMode="External"/><Relationship Id="rId259" Type="http://schemas.openxmlformats.org/officeDocument/2006/relationships/hyperlink" Target="https://ua-s.org/katalog-normativnih-dokumentiv/search-by-result-parameters/14278?search=%D0%94%D0%A1%D0%A2%D0%A3+ISO+8528-4:2005+" TargetMode="External"/><Relationship Id="rId23" Type="http://schemas.openxmlformats.org/officeDocument/2006/relationships/footer" Target="footer10.xml"/><Relationship Id="rId119" Type="http://schemas.openxmlformats.org/officeDocument/2006/relationships/hyperlink" Target="https://e-construction.gov.ua/laws_detail/3192362160978134152?doc_type=2" TargetMode="External"/><Relationship Id="rId270" Type="http://schemas.openxmlformats.org/officeDocument/2006/relationships/hyperlink" Target="https://e-construction.gov.ua/laws_detail/3083626778627933844?doc_type=2" TargetMode="External"/><Relationship Id="rId326" Type="http://schemas.openxmlformats.org/officeDocument/2006/relationships/image" Target="media/image14.png"/><Relationship Id="rId65" Type="http://schemas.openxmlformats.org/officeDocument/2006/relationships/hyperlink" Target="https://ua-s.org/katalog-normativnih-dokumentiv/search-by-result-parameters/39010?search=%D0%94%D0%A1%D0%A2%D0%A3+8829:2019+" TargetMode="External"/><Relationship Id="rId130" Type="http://schemas.openxmlformats.org/officeDocument/2006/relationships/hyperlink" Target="https://e-construction.gov.ua/laws_detail/3192362160978134152?doc_type=2" TargetMode="External"/><Relationship Id="rId172" Type="http://schemas.openxmlformats.org/officeDocument/2006/relationships/hyperlink" Target="https://e-construction.gov.ua/laws_detail/3192362160978134152?doc_type=2" TargetMode="External"/><Relationship Id="rId228" Type="http://schemas.openxmlformats.org/officeDocument/2006/relationships/hyperlink" Target="https://e-construction.gov.ua/laws_detail/3307711387089765865?doc_type=2" TargetMode="External"/><Relationship Id="rId281" Type="http://schemas.openxmlformats.org/officeDocument/2006/relationships/hyperlink" Target="https://e-construction.gov.ua/laws_detail/3199648113669179181?doc_type=2" TargetMode="External"/><Relationship Id="rId337" Type="http://schemas.openxmlformats.org/officeDocument/2006/relationships/hyperlink" Target="https://zakon.rada.gov.ua/laws/show/1695-2003-%D0%BF" TargetMode="External"/><Relationship Id="rId34" Type="http://schemas.openxmlformats.org/officeDocument/2006/relationships/hyperlink" Target="https://e-construction.gov.ua/laws_detail/3199621970136139233?doc_type=2" TargetMode="External"/><Relationship Id="rId76" Type="http://schemas.openxmlformats.org/officeDocument/2006/relationships/hyperlink" Target="https://ua-s.org/katalog-normativnih-dokumentiv/search-by-result-parameters/65490?search=%D0%94%D0%A1%D0%A2%D0%A3+CEN/TS+81-76:2022+" TargetMode="External"/><Relationship Id="rId141" Type="http://schemas.openxmlformats.org/officeDocument/2006/relationships/hyperlink" Target="https://e-construction.gov.ua/laws_detail/3192362160978134152?doc_type=2" TargetMode="External"/><Relationship Id="rId7" Type="http://schemas.openxmlformats.org/officeDocument/2006/relationships/footnotes" Target="footnotes.xml"/><Relationship Id="rId183" Type="http://schemas.openxmlformats.org/officeDocument/2006/relationships/hyperlink" Target="https://e-construction.gov.ua/laws_detail/3199648113669179181?doc_type=2" TargetMode="External"/><Relationship Id="rId239" Type="http://schemas.openxmlformats.org/officeDocument/2006/relationships/hyperlink" Target="https://e-construction.gov.ua/laws_detail/3074958732556240833?doc_type=2" TargetMode="External"/><Relationship Id="rId250" Type="http://schemas.openxmlformats.org/officeDocument/2006/relationships/hyperlink" Target="https://ua-s.org/katalog-normativnih-dokumentiv/search-by-result-parameters?search=%D0%94%D0%A1%D0%A2%D0%A3+EN+12464-1" TargetMode="External"/><Relationship Id="rId292" Type="http://schemas.openxmlformats.org/officeDocument/2006/relationships/hyperlink" Target="https://e-construction.gov.ua/laws_detail/3038077155897509804?doc_type=2" TargetMode="External"/><Relationship Id="rId306" Type="http://schemas.openxmlformats.org/officeDocument/2006/relationships/hyperlink" Target="https://e-construction.gov.ua/laws_detail/3200410998024438840?doc_type=2" TargetMode="External"/><Relationship Id="rId45" Type="http://schemas.openxmlformats.org/officeDocument/2006/relationships/hyperlink" Target="https://e-construction.gov.ua/laws_detail/3200381547559519359?doc_type=2" TargetMode="External"/><Relationship Id="rId87" Type="http://schemas.openxmlformats.org/officeDocument/2006/relationships/hyperlink" Target="https://ua-s.org/katalog-normativnih-dokumentiv/search-by-result-parameters/33533?search=%D0%94%D0%A1%D0%A2%D0%A3+HD+62640:2016+" TargetMode="External"/><Relationship Id="rId110" Type="http://schemas.openxmlformats.org/officeDocument/2006/relationships/hyperlink" Target="https://e-construction.gov.ua/laws_detail/3236500339955861496?doc_type=2" TargetMode="External"/><Relationship Id="rId348" Type="http://schemas.openxmlformats.org/officeDocument/2006/relationships/hyperlink" Target="https://ua-s.org/katalog-normativnih-dokumentiv/search-by-result-parameters?search=%D0%94%D0%A1%D0%A2%D0%A3+EN+50174-2:2019+" TargetMode="External"/><Relationship Id="rId152" Type="http://schemas.openxmlformats.org/officeDocument/2006/relationships/hyperlink" Target="https://e-construction.gov.ua/laws_detail/3192362160978134152?doc_type=2" TargetMode="External"/><Relationship Id="rId194" Type="http://schemas.openxmlformats.org/officeDocument/2006/relationships/hyperlink" Target="https://ua-s.org/katalog-normativnih-dokumentiv/search-by-result-parameters/39012?search=%D0%94%D0%A1%D0%A2%D0%A3+8828" TargetMode="External"/><Relationship Id="rId208" Type="http://schemas.openxmlformats.org/officeDocument/2006/relationships/hyperlink" Target="https://ua-s.org/katalog-normativnih-dokumentiv/search-by-result-parameters?search=%D0%94%D0%A1%D0%A2%D0%A3-%D0%9D+%D0%91+%D0%92.1.1-27" TargetMode="External"/><Relationship Id="rId261" Type="http://schemas.openxmlformats.org/officeDocument/2006/relationships/hyperlink" Target="https://e-construction.gov.ua/laws_detail/3074244333172426323?doc_type=2" TargetMode="External"/><Relationship Id="rId14" Type="http://schemas.openxmlformats.org/officeDocument/2006/relationships/header" Target="header3.xml"/><Relationship Id="rId56" Type="http://schemas.openxmlformats.org/officeDocument/2006/relationships/hyperlink" Target="https://ua-s.org/katalog-normativnih-dokumentiv/search-by-result-parameters?search=%D0%94%D0%A1%D0%A2%D0%A3-%D0%9D+%D0%91+%D0%92.1.1-33:2013+" TargetMode="External"/><Relationship Id="rId317" Type="http://schemas.openxmlformats.org/officeDocument/2006/relationships/hyperlink" Target="https://e-construction.gov.ua/laws_detail/3200867636908918478?doc_type=2" TargetMode="External"/><Relationship Id="rId98" Type="http://schemas.openxmlformats.org/officeDocument/2006/relationships/hyperlink" Target="https://zakon.rada.gov.ua/laws/show/39/95-%D0%B2%D1%80" TargetMode="External"/><Relationship Id="rId121" Type="http://schemas.openxmlformats.org/officeDocument/2006/relationships/hyperlink" Target="https://e-construction.gov.ua/laws_detail/3192362160978134152?doc_type=2" TargetMode="External"/><Relationship Id="rId163" Type="http://schemas.openxmlformats.org/officeDocument/2006/relationships/hyperlink" Target="https://e-construction.gov.ua/laws_detail/3199639927805445716?doc_type=2" TargetMode="External"/><Relationship Id="rId219" Type="http://schemas.openxmlformats.org/officeDocument/2006/relationships/hyperlink" Target="https://e-construction.gov.ua/laws_detail/3074971619479783152?doc_type=2" TargetMode="External"/><Relationship Id="rId230" Type="http://schemas.openxmlformats.org/officeDocument/2006/relationships/hyperlink" Target="https://e-construction.gov.ua/laws_detail/3307711387089765865?doc_type=2" TargetMode="External"/><Relationship Id="rId251" Type="http://schemas.openxmlformats.org/officeDocument/2006/relationships/hyperlink" Target="https://ua-s.org/katalog-normativnih-dokumentiv/search-by-result-parameters?search=%D0%94%D0%A1%D0%A2%D0%A3+EN+12464-1" TargetMode="External"/><Relationship Id="rId25" Type="http://schemas.openxmlformats.org/officeDocument/2006/relationships/footer" Target="footer11.xml"/><Relationship Id="rId46" Type="http://schemas.openxmlformats.org/officeDocument/2006/relationships/hyperlink" Target="https://e-construction.gov.ua/laws_detail/3200383488549193714?doc_type=2" TargetMode="External"/><Relationship Id="rId67" Type="http://schemas.openxmlformats.org/officeDocument/2006/relationships/hyperlink" Target="https://ua-s.org/katalog-normativnih-dokumentiv/search-by-result-parameters/42626?search=%D0%94%D0%A1%D0%A2%D0%A3+9077:2021+" TargetMode="External"/><Relationship Id="rId272" Type="http://schemas.openxmlformats.org/officeDocument/2006/relationships/hyperlink" Target="https://e-construction.gov.ua/laws_detail/3200381547559519359?doc_type=2" TargetMode="External"/><Relationship Id="rId293" Type="http://schemas.openxmlformats.org/officeDocument/2006/relationships/image" Target="media/image4.png"/><Relationship Id="rId307" Type="http://schemas.openxmlformats.org/officeDocument/2006/relationships/hyperlink" Target="https://e-construction.gov.ua/laws_detail/3200413563881522897?doc_type=2" TargetMode="External"/><Relationship Id="rId328" Type="http://schemas.openxmlformats.org/officeDocument/2006/relationships/image" Target="media/image16.jpeg"/><Relationship Id="rId349" Type="http://schemas.openxmlformats.org/officeDocument/2006/relationships/hyperlink" Target="https://zakon.rada.gov.ua/laws/show/z0741-20" TargetMode="External"/><Relationship Id="rId88" Type="http://schemas.openxmlformats.org/officeDocument/2006/relationships/hyperlink" Target="https://ua-s.org/katalog-normativnih-dokumentiv/search-by-result-parameters/35667?search=%D0%94%D0%A1%D0%A2%D0%A3+EN+13256:2017+" TargetMode="External"/><Relationship Id="rId111" Type="http://schemas.openxmlformats.org/officeDocument/2006/relationships/hyperlink" Target="https://e-construction.gov.ua/laws_detail/3260441209981634046?doc_type=2" TargetMode="External"/><Relationship Id="rId132" Type="http://schemas.openxmlformats.org/officeDocument/2006/relationships/hyperlink" Target="https://e-construction.gov.ua/laws_detail/3192362160978134152?doc_type=2" TargetMode="External"/><Relationship Id="rId153" Type="http://schemas.openxmlformats.org/officeDocument/2006/relationships/hyperlink" Target="https://e-construction.gov.ua/laws_detail/3192362160978134152?doc_type=2" TargetMode="External"/><Relationship Id="rId174" Type="http://schemas.openxmlformats.org/officeDocument/2006/relationships/hyperlink" Target="https://e-construction.gov.ua/laws_detail/3192362160978134152?doc_type=2" TargetMode="External"/><Relationship Id="rId195" Type="http://schemas.openxmlformats.org/officeDocument/2006/relationships/hyperlink" Target="https://e-construction.gov.ua/laws_detail/3200383488549193714?doc_type=2" TargetMode="External"/><Relationship Id="rId209" Type="http://schemas.openxmlformats.org/officeDocument/2006/relationships/hyperlink" Target="https://ua-s.org/katalog-normativnih-dokumentiv/search-by-result-parameters?search=%D0%94%D0%A1%D0%A2%D0%A3+%D0%91+EN+13779" TargetMode="External"/><Relationship Id="rId220" Type="http://schemas.openxmlformats.org/officeDocument/2006/relationships/hyperlink" Target="https://e-construction.gov.ua/laws_detail/3200381547559519359?doc_type=2" TargetMode="External"/><Relationship Id="rId241" Type="http://schemas.openxmlformats.org/officeDocument/2006/relationships/hyperlink" Target="https://ua-s.org/katalog-normativnih-dokumentiv/search-by-result-parameters?search=%D0%94%D0%A1%D0%A2%D0%A3+%D0%91+%D0%92.2.5-82+" TargetMode="External"/><Relationship Id="rId15" Type="http://schemas.openxmlformats.org/officeDocument/2006/relationships/footer" Target="footer3.xml"/><Relationship Id="rId36" Type="http://schemas.openxmlformats.org/officeDocument/2006/relationships/hyperlink" Target="https://e-construction.gov.ua/laws_detail/3199634775304307868?doc_type=2" TargetMode="External"/><Relationship Id="rId57" Type="http://schemas.openxmlformats.org/officeDocument/2006/relationships/hyperlink" Target="https://ua-s.org/katalog-normativnih-dokumentiv/search-by-result-parameters?search=%D0%94%D0%A1%D0%A2%D0%A3-%D0%9D+%D0%91+%D0%92.1.1-34:2013+" TargetMode="External"/><Relationship Id="rId262" Type="http://schemas.openxmlformats.org/officeDocument/2006/relationships/hyperlink" Target="https://e-construction.gov.ua/laws_detail/3260441209981634046?doc_type=2" TargetMode="External"/><Relationship Id="rId283" Type="http://schemas.openxmlformats.org/officeDocument/2006/relationships/hyperlink" Target="https://e-construction.gov.ua/laws_detail/3199639927805445716?doc_type=2" TargetMode="External"/><Relationship Id="rId318" Type="http://schemas.openxmlformats.org/officeDocument/2006/relationships/hyperlink" Target="https://e-construction.gov.ua/laws_detail/3200869840512354218?doc_type=2" TargetMode="External"/><Relationship Id="rId339" Type="http://schemas.openxmlformats.org/officeDocument/2006/relationships/hyperlink" Target="https://zakon.rada.gov.ua/laws/show/z0879-18" TargetMode="External"/><Relationship Id="rId78" Type="http://schemas.openxmlformats.org/officeDocument/2006/relationships/hyperlink" Target="https://ua-s.org/katalog-normativnih-dokumentiv/search-by-result-parameters/41954?search=%D0%94%D0%A1%D0%A2%D0%A3+EN+1838:2019+" TargetMode="External"/><Relationship Id="rId99" Type="http://schemas.openxmlformats.org/officeDocument/2006/relationships/hyperlink" Target="https://zakon.rada.gov.ua/laws/show/3038-17" TargetMode="External"/><Relationship Id="rId101" Type="http://schemas.openxmlformats.org/officeDocument/2006/relationships/hyperlink" Target="https://e-construction.gov.ua/laws_detail/3080743763845318619?doc_type=2" TargetMode="External"/><Relationship Id="rId122" Type="http://schemas.openxmlformats.org/officeDocument/2006/relationships/hyperlink" Target="https://e-construction.gov.ua/laws_detail/3192362160978134152?doc_type=2" TargetMode="External"/><Relationship Id="rId143" Type="http://schemas.openxmlformats.org/officeDocument/2006/relationships/hyperlink" Target="https://e-construction.gov.ua/laws_detail/3192362160978134152?doc_type=2" TargetMode="External"/><Relationship Id="rId164" Type="http://schemas.openxmlformats.org/officeDocument/2006/relationships/hyperlink" Target="https://e-construction.gov.ua/laws_detail/3199641891914122817?doc_type=2" TargetMode="External"/><Relationship Id="rId185" Type="http://schemas.openxmlformats.org/officeDocument/2006/relationships/hyperlink" Target="https://e-construction.gov.ua/laws_detail/3080029223885211423?doc_type=2" TargetMode="External"/><Relationship Id="rId350" Type="http://schemas.openxmlformats.org/officeDocument/2006/relationships/header" Target="header7.xml"/><Relationship Id="rId9" Type="http://schemas.openxmlformats.org/officeDocument/2006/relationships/image" Target="media/image1.png"/><Relationship Id="rId210" Type="http://schemas.openxmlformats.org/officeDocument/2006/relationships/hyperlink" Target="https://e-construction.gov.ua/laws_detail/3074971619479783152?doc_type=2" TargetMode="External"/><Relationship Id="rId26" Type="http://schemas.openxmlformats.org/officeDocument/2006/relationships/header" Target="header6.xml"/><Relationship Id="rId231" Type="http://schemas.openxmlformats.org/officeDocument/2006/relationships/hyperlink" Target="https://ua-s.org/katalog-normativnih-dokumentiv/search-by-result-parameters?search=%D0%94%D0%A1%D0%A2%D0%A3+7525" TargetMode="External"/><Relationship Id="rId252" Type="http://schemas.openxmlformats.org/officeDocument/2006/relationships/hyperlink" Target="https://e-construction.gov.ua/laws_detail/3074958732556240833?doc_type=2" TargetMode="External"/><Relationship Id="rId273" Type="http://schemas.openxmlformats.org/officeDocument/2006/relationships/hyperlink" Target="https://e-construction.gov.ua/laws_detail/3200385397578270089?doc_type=2" TargetMode="External"/><Relationship Id="rId294" Type="http://schemas.openxmlformats.org/officeDocument/2006/relationships/image" Target="media/image5.png"/><Relationship Id="rId308" Type="http://schemas.openxmlformats.org/officeDocument/2006/relationships/hyperlink" Target="https://e-construction.gov.ua/laws_detail/3200410998024438840?doc_type=2" TargetMode="External"/><Relationship Id="rId329" Type="http://schemas.openxmlformats.org/officeDocument/2006/relationships/image" Target="media/image17.jpeg"/><Relationship Id="rId47" Type="http://schemas.openxmlformats.org/officeDocument/2006/relationships/hyperlink" Target="https://e-construction.gov.ua/laws_detail/3200385397578270089?doc_type=2" TargetMode="External"/><Relationship Id="rId68" Type="http://schemas.openxmlformats.org/officeDocument/2006/relationships/hyperlink" Target="https://ua-s.org/katalog-normativnih-dokumentiv/search-by-result-parameters/38923?search=%D0%94%D0%A1%D0%A2%D0%A3+ISO+8528-1:2018+" TargetMode="External"/><Relationship Id="rId89" Type="http://schemas.openxmlformats.org/officeDocument/2006/relationships/hyperlink" Target="https://ua-s.org/katalog-normativnih-dokumentiv/search-by-result-parameters/41184?search=%D0%94%D0%A1%D0%A2%D0%A3+EN+13967:2019+" TargetMode="External"/><Relationship Id="rId112" Type="http://schemas.openxmlformats.org/officeDocument/2006/relationships/hyperlink" Target="https://ua-s.org/katalog-normativnih-dokumentiv/search-by-result-parameters/42298?search=%D0%94%D0%A1%D0%A2%D0%A3+9058" TargetMode="External"/><Relationship Id="rId133" Type="http://schemas.openxmlformats.org/officeDocument/2006/relationships/hyperlink" Target="https://e-construction.gov.ua/laws_detail/3192362160978134152?doc_type=2" TargetMode="External"/><Relationship Id="rId154" Type="http://schemas.openxmlformats.org/officeDocument/2006/relationships/hyperlink" Target="https://e-construction.gov.ua/laws_detail/3192362160978134152?doc_type=2" TargetMode="External"/><Relationship Id="rId175" Type="http://schemas.openxmlformats.org/officeDocument/2006/relationships/hyperlink" Target="https://e-construction.gov.ua/laws_detail/3192362160978134152?doc_type=2" TargetMode="External"/><Relationship Id="rId340" Type="http://schemas.openxmlformats.org/officeDocument/2006/relationships/hyperlink" Target="https://zakon.rada.gov.ua/laws/show/z0252-15" TargetMode="External"/><Relationship Id="rId196" Type="http://schemas.openxmlformats.org/officeDocument/2006/relationships/hyperlink" Target="https://e-construction.gov.ua/laws_detail/3200383488549193714?doc_type=2" TargetMode="External"/><Relationship Id="rId200" Type="http://schemas.openxmlformats.org/officeDocument/2006/relationships/hyperlink" Target="https://e-construction.gov.ua/laws_detail/3307711387089765865?doc_type=2" TargetMode="External"/><Relationship Id="rId16" Type="http://schemas.openxmlformats.org/officeDocument/2006/relationships/footer" Target="footer4.xml"/><Relationship Id="rId221" Type="http://schemas.openxmlformats.org/officeDocument/2006/relationships/hyperlink" Target="https://e-construction.gov.ua/laws_detail/3200385397578270089?doc_type=2" TargetMode="External"/><Relationship Id="rId242" Type="http://schemas.openxmlformats.org/officeDocument/2006/relationships/hyperlink" Target="https://ua-s.org/katalog-normativnih-dokumentiv/search-by-result-parameters?search=%D0%94%D0%A1%D0%A2%D0%A3+EN+62305-4" TargetMode="External"/><Relationship Id="rId263" Type="http://schemas.openxmlformats.org/officeDocument/2006/relationships/hyperlink" Target="https://e-construction.gov.ua/laws_detail/3200383488549193714?doc_type=2" TargetMode="External"/><Relationship Id="rId284" Type="http://schemas.openxmlformats.org/officeDocument/2006/relationships/hyperlink" Target="https://e-construction.gov.ua/laws_detail/3199641891914122817?doc_type=2" TargetMode="External"/><Relationship Id="rId319" Type="http://schemas.openxmlformats.org/officeDocument/2006/relationships/hyperlink" Target="https://e-construction.gov.ua/laws_detail/3074244333172426323?doc_type=2" TargetMode="External"/><Relationship Id="rId37" Type="http://schemas.openxmlformats.org/officeDocument/2006/relationships/hyperlink" Target="https://e-construction.gov.ua/laws_detail/3074244333172426323?doc_type=2" TargetMode="External"/><Relationship Id="rId58" Type="http://schemas.openxmlformats.org/officeDocument/2006/relationships/hyperlink" Target="https://ua-s.org/katalog-normativnih-dokumentiv/search-by-result-parameters/33872?search=%D0%94%D0%A1%D0%A2%D0%A3-%D0%9D+%D0%91+%D0%92.1.1-35:2013+" TargetMode="External"/><Relationship Id="rId79" Type="http://schemas.openxmlformats.org/officeDocument/2006/relationships/hyperlink" Target="https://ua-s.org/katalog-normativnih-dokumentiv/search-by-result-parameters/9269?search=%D0%94%D0%A1%D0%A2%D0%A3+EN+12101-2:2012+" TargetMode="External"/><Relationship Id="rId102" Type="http://schemas.openxmlformats.org/officeDocument/2006/relationships/hyperlink" Target="https://e-construction.gov.ua/laws_detail/3236500339955861496?doc_type=2" TargetMode="External"/><Relationship Id="rId123" Type="http://schemas.openxmlformats.org/officeDocument/2006/relationships/hyperlink" Target="https://ua-s.org/katalog-normativnih-dokumentiv/search-by-result-parameters/43433?search=%D0%94%D0%A1%D0%A2%D0%A3+EN+81-40" TargetMode="External"/><Relationship Id="rId144" Type="http://schemas.openxmlformats.org/officeDocument/2006/relationships/hyperlink" Target="https://e-construction.gov.ua/laws_detail/3192362160978134152?doc_type=2" TargetMode="External"/><Relationship Id="rId330" Type="http://schemas.openxmlformats.org/officeDocument/2006/relationships/hyperlink" Target="https://zakon.rada.gov.ua/laws/show/5403-17" TargetMode="External"/><Relationship Id="rId90" Type="http://schemas.openxmlformats.org/officeDocument/2006/relationships/hyperlink" Target="https://ua-s.org/katalog-normativnih-dokumentiv/search-by-result-parameters/34329?search=%D0%94%D0%A1%D0%A2%D0%A3+%D0%91+%D0%92.2.7-103-2000+" TargetMode="External"/><Relationship Id="rId165" Type="http://schemas.openxmlformats.org/officeDocument/2006/relationships/hyperlink" Target="https://e-construction.gov.ua/laws_detail/3192362160978134152?doc_type=2" TargetMode="External"/><Relationship Id="rId186" Type="http://schemas.openxmlformats.org/officeDocument/2006/relationships/hyperlink" Target="https://e-construction.gov.ua/laws_detail/3199648113669179181?doc_type=2" TargetMode="External"/><Relationship Id="rId351" Type="http://schemas.openxmlformats.org/officeDocument/2006/relationships/footer" Target="footer13.xml"/><Relationship Id="rId211" Type="http://schemas.openxmlformats.org/officeDocument/2006/relationships/hyperlink" Target="https://ua-s.org/katalog-normativnih-dokumentiv/search-by-result-parameters?search=%D0%94%D0%A1%D0%A2%D0%A3-%D0%9D+%D0%91+%D0%92.1.1-27" TargetMode="External"/><Relationship Id="rId232" Type="http://schemas.openxmlformats.org/officeDocument/2006/relationships/hyperlink" Target="https://e-construction.gov.ua/laws_detail/3307711387089765865?doc_type=2" TargetMode="External"/><Relationship Id="rId253" Type="http://schemas.openxmlformats.org/officeDocument/2006/relationships/hyperlink" Target="https://ua-s.org/katalog-normativnih-dokumentiv/search-by-result-parameters?search=%D0%94%D0%A1%D0%A2%D0%A3+EN+1838+" TargetMode="External"/><Relationship Id="rId274" Type="http://schemas.openxmlformats.org/officeDocument/2006/relationships/hyperlink" Target="https://e-construction.gov.ua/laws_detail/3074971619479783152?doc_type=2" TargetMode="External"/><Relationship Id="rId295" Type="http://schemas.openxmlformats.org/officeDocument/2006/relationships/image" Target="media/image6.png"/><Relationship Id="rId309" Type="http://schemas.openxmlformats.org/officeDocument/2006/relationships/hyperlink" Target="https://e-construction.gov.ua/laws_detail/3200410998024438840?doc_type=2" TargetMode="External"/><Relationship Id="rId27" Type="http://schemas.openxmlformats.org/officeDocument/2006/relationships/footer" Target="footer12.xml"/><Relationship Id="rId48" Type="http://schemas.openxmlformats.org/officeDocument/2006/relationships/hyperlink" Target="https://e-construction.gov.ua/laws_detail/3074971619479783152?doc_type=2" TargetMode="External"/><Relationship Id="rId69" Type="http://schemas.openxmlformats.org/officeDocument/2006/relationships/hyperlink" Target="https://ua-s.org/katalog-normativnih-dokumentiv/search-by-result-parameters/14278?search=%D0%94%D0%A1%D0%A2%D0%A3+ISO+8528-4:2005+" TargetMode="External"/><Relationship Id="rId113" Type="http://schemas.openxmlformats.org/officeDocument/2006/relationships/image" Target="media/image2.png"/><Relationship Id="rId134" Type="http://schemas.openxmlformats.org/officeDocument/2006/relationships/hyperlink" Target="https://e-construction.gov.ua/laws_detail/3192362160978134152?doc_type=2" TargetMode="External"/><Relationship Id="rId320" Type="http://schemas.openxmlformats.org/officeDocument/2006/relationships/hyperlink" Target="https://e-construction.gov.ua/laws_detail/3074244333172426323?doc_type=2" TargetMode="External"/><Relationship Id="rId80" Type="http://schemas.openxmlformats.org/officeDocument/2006/relationships/hyperlink" Target="https://ua-s.org/katalog-normativnih-dokumentiv/search-by-result-parameters/37319?search=%D0%94%D0%A1%D0%A2%D0%A3+EN+12464-1:2016+" TargetMode="External"/><Relationship Id="rId155" Type="http://schemas.openxmlformats.org/officeDocument/2006/relationships/hyperlink" Target="https://e-construction.gov.ua/laws_detail/3508997870881604750?doc_type=2" TargetMode="External"/><Relationship Id="rId176" Type="http://schemas.openxmlformats.org/officeDocument/2006/relationships/hyperlink" Target="https://e-construction.gov.ua/laws_detail/3192362160978134152?doc_type=2" TargetMode="External"/><Relationship Id="rId197" Type="http://schemas.openxmlformats.org/officeDocument/2006/relationships/hyperlink" Target="https://ua-s.org/katalog-normativnih-dokumentiv/search-by-result-parameters/39012?search=%D0%94%D0%A1%D0%A2%D0%A3+8828" TargetMode="External"/><Relationship Id="rId341" Type="http://schemas.openxmlformats.org/officeDocument/2006/relationships/hyperlink" Target="https://e-construction.gov.ua/laws_detail/3074797473579927547?doc_type=2" TargetMode="External"/><Relationship Id="rId201" Type="http://schemas.openxmlformats.org/officeDocument/2006/relationships/hyperlink" Target="https://e-construction.gov.ua/laws_detail/3200385397578270089?doc_type=2" TargetMode="External"/><Relationship Id="rId222" Type="http://schemas.openxmlformats.org/officeDocument/2006/relationships/hyperlink" Target="https://e-construction.gov.ua/laws_detail/3074971619479783152?doc_type=2" TargetMode="External"/><Relationship Id="rId243" Type="http://schemas.openxmlformats.org/officeDocument/2006/relationships/hyperlink" Target="https://ua-s.org/katalog-normativnih-dokumentiv/search-by-result-parameters?search=%D0%94%D0%A1%D0%A2%D0%A3+EN+61643-11" TargetMode="External"/><Relationship Id="rId264" Type="http://schemas.openxmlformats.org/officeDocument/2006/relationships/hyperlink" Target="https://e-construction.gov.ua/laws_detail/3074128030063396541?doc_type=2" TargetMode="External"/><Relationship Id="rId285" Type="http://schemas.openxmlformats.org/officeDocument/2006/relationships/hyperlink" Target="https://e-construction.gov.ua/laws_detail/3508997870881604750?doc_type=2" TargetMode="External"/><Relationship Id="rId17" Type="http://schemas.openxmlformats.org/officeDocument/2006/relationships/footer" Target="footer5.xml"/><Relationship Id="rId38" Type="http://schemas.openxmlformats.org/officeDocument/2006/relationships/hyperlink" Target="https://e-construction.gov.ua/laws_detail/3199639927805445716?doc_type=2" TargetMode="External"/><Relationship Id="rId59" Type="http://schemas.openxmlformats.org/officeDocument/2006/relationships/hyperlink" Target="https://ua-s.org/katalog-normativnih-dokumentiv/search-by-result-parameters/35088?search=%D0%94%D0%A1%D0%A2%D0%A3+%D0%91+%D0%92.1.1-36:2016+" TargetMode="External"/><Relationship Id="rId103" Type="http://schemas.openxmlformats.org/officeDocument/2006/relationships/hyperlink" Target="https://e-construction.gov.ua/laws_detail/3192362160978134152?doc_type=2" TargetMode="External"/><Relationship Id="rId124" Type="http://schemas.openxmlformats.org/officeDocument/2006/relationships/hyperlink" Target="https://ua-s.org/katalog-normativnih-dokumentiv/search-by-result-parameters/35411?search=%D0%94%D0%A1%D0%A2%D0%A3+EN+81-41" TargetMode="External"/><Relationship Id="rId310" Type="http://schemas.openxmlformats.org/officeDocument/2006/relationships/hyperlink" Target="https://e-construction.gov.ua/laws_detail/3200410998024438840?doc_type=2" TargetMode="External"/><Relationship Id="rId70" Type="http://schemas.openxmlformats.org/officeDocument/2006/relationships/hyperlink" Target="https://ua-s.org/katalog-normativnih-dokumentiv/search-by-result-parameters/49467?search=%D0%94%D0%A1%D0%A2%D0%A3+EN+81-22:2022+" TargetMode="External"/><Relationship Id="rId91" Type="http://schemas.openxmlformats.org/officeDocument/2006/relationships/hyperlink" Target="https://ua-s.org/katalog-normativnih-dokumentiv/search-by-result-parameters/34325?search=%D0%94%D0%A1%D0%A2%D0%A3+%D0%91+%D0%92.2.7-108-2001+" TargetMode="External"/><Relationship Id="rId145" Type="http://schemas.openxmlformats.org/officeDocument/2006/relationships/hyperlink" Target="https://e-construction.gov.ua/laws_detail/3080743763845318619?doc_type=2" TargetMode="External"/><Relationship Id="rId166" Type="http://schemas.openxmlformats.org/officeDocument/2006/relationships/hyperlink" Target="https://e-construction.gov.ua/laws_detail/3192362160978134152?doc_type=2" TargetMode="External"/><Relationship Id="rId187" Type="http://schemas.openxmlformats.org/officeDocument/2006/relationships/hyperlink" Target="https://e-construction.gov.ua/laws_detail/3080743763845318619?doc_type=2" TargetMode="External"/><Relationship Id="rId331" Type="http://schemas.openxmlformats.org/officeDocument/2006/relationships/hyperlink" Target="https://zakon.rada.gov.ua/laws/show/39/95-%D0%B2%D1%80" TargetMode="External"/><Relationship Id="rId352" Type="http://schemas.openxmlformats.org/officeDocument/2006/relationships/footer" Target="footer14.xml"/><Relationship Id="rId1" Type="http://schemas.openxmlformats.org/officeDocument/2006/relationships/customXml" Target="../customXml/item1.xml"/><Relationship Id="rId212" Type="http://schemas.openxmlformats.org/officeDocument/2006/relationships/hyperlink" Target="https://e-construction.gov.ua/laws_detail/3074971619479783152?doc_type=2" TargetMode="External"/><Relationship Id="rId233" Type="http://schemas.openxmlformats.org/officeDocument/2006/relationships/hyperlink" Target="https://e-construction.gov.ua/laws_detail/3200383488549193714?doc_type=2" TargetMode="External"/><Relationship Id="rId254" Type="http://schemas.openxmlformats.org/officeDocument/2006/relationships/hyperlink" Target="https://ua-s.org/katalog-normativnih-dokumentiv/search-by-result-parameters?search=%D0%94%D0%A1%D0%A2%D0%A3+EN+50172" TargetMode="External"/><Relationship Id="rId28" Type="http://schemas.openxmlformats.org/officeDocument/2006/relationships/hyperlink" Target="https://e-construction.gov.ua/laws_detail/3192355188719486804?doc_type=2" TargetMode="External"/><Relationship Id="rId49" Type="http://schemas.openxmlformats.org/officeDocument/2006/relationships/hyperlink" Target="https://e-construction.gov.ua/laws_detail/3307711387089765865?doc_type=2" TargetMode="External"/><Relationship Id="rId114" Type="http://schemas.openxmlformats.org/officeDocument/2006/relationships/image" Target="media/image3.png"/><Relationship Id="rId275" Type="http://schemas.openxmlformats.org/officeDocument/2006/relationships/hyperlink" Target="https://e-construction.gov.ua/laws_detail/3083626778627933844?doc_type=2" TargetMode="External"/><Relationship Id="rId296" Type="http://schemas.openxmlformats.org/officeDocument/2006/relationships/image" Target="media/image7.png"/><Relationship Id="rId300" Type="http://schemas.openxmlformats.org/officeDocument/2006/relationships/image" Target="media/image11.png"/><Relationship Id="rId60" Type="http://schemas.openxmlformats.org/officeDocument/2006/relationships/hyperlink" Target="https://ua-s.org/katalog-normativnih-dokumentiv/search-by-result-parameters/35136?search=%D0%94%D0%A1%D0%A2%D0%A3+%D0%91+%D0%92.2.5-82:2016+" TargetMode="External"/><Relationship Id="rId81" Type="http://schemas.openxmlformats.org/officeDocument/2006/relationships/hyperlink" Target="https://ua-s.org/katalog-normativnih-dokumentiv/search-by-result-parameters/39198?search=%D0%94%D0%A1%D0%A2%D0%A3+EN+13501-6:2019+" TargetMode="External"/><Relationship Id="rId135" Type="http://schemas.openxmlformats.org/officeDocument/2006/relationships/hyperlink" Target="https://e-construction.gov.ua/laws_detail/3192362160978134152?doc_type=2" TargetMode="External"/><Relationship Id="rId156" Type="http://schemas.openxmlformats.org/officeDocument/2006/relationships/hyperlink" Target="https://e-construction.gov.ua/laws_detail/3199648113669179181?doc_type=2" TargetMode="External"/><Relationship Id="rId177" Type="http://schemas.openxmlformats.org/officeDocument/2006/relationships/hyperlink" Target="https://e-construction.gov.ua/laws_detail/3192362160978134152?doc_type=2" TargetMode="External"/><Relationship Id="rId198" Type="http://schemas.openxmlformats.org/officeDocument/2006/relationships/hyperlink" Target="https://e-construction.gov.ua/laws_detail/3080743763845318619?doc_type=2" TargetMode="External"/><Relationship Id="rId321" Type="http://schemas.openxmlformats.org/officeDocument/2006/relationships/hyperlink" Target="https://ua-s.org/katalog-normativnih-dokumentiv/search-by-result-parameters?search=%D0%94%D0%A1%D0%A2%D0%A3+EN+13967+" TargetMode="External"/><Relationship Id="rId342" Type="http://schemas.openxmlformats.org/officeDocument/2006/relationships/hyperlink" Target="https://e-construction.gov.ua/laws_detail/3199650971919583106?doc_type=2" TargetMode="External"/><Relationship Id="rId202" Type="http://schemas.openxmlformats.org/officeDocument/2006/relationships/hyperlink" Target="https://ua-s.org/katalog-normativnih-dokumentiv/search-by-result-parameters/35614?search=%D0%94%D0%A1%D0%A2%D0%A3+EN+671-1" TargetMode="External"/><Relationship Id="rId223" Type="http://schemas.openxmlformats.org/officeDocument/2006/relationships/hyperlink" Target="https://e-construction.gov.ua/laws_detail/3084989669637621022?doc_type=2" TargetMode="External"/><Relationship Id="rId244" Type="http://schemas.openxmlformats.org/officeDocument/2006/relationships/hyperlink" Target="https://ua-s.org/katalog-normativnih-dokumentiv/search-by-result-parameters?search=%D0%94%D0%A1%D0%A2%D0%A3+CLC/TS+61643-12" TargetMode="External"/><Relationship Id="rId18" Type="http://schemas.openxmlformats.org/officeDocument/2006/relationships/header" Target="header4.xml"/><Relationship Id="rId39" Type="http://schemas.openxmlformats.org/officeDocument/2006/relationships/hyperlink" Target="https://e-construction.gov.ua/laws_detail/3199641891914122817?doc_type=2" TargetMode="External"/><Relationship Id="rId265" Type="http://schemas.openxmlformats.org/officeDocument/2006/relationships/hyperlink" Target="https://e-construction.gov.ua/laws_detail/3260441209981634046?doc_type=2" TargetMode="External"/><Relationship Id="rId286" Type="http://schemas.openxmlformats.org/officeDocument/2006/relationships/hyperlink" Target="https://ua-s.org/katalog-normativnih-dokumentiv/search-by-result-parameters?search=%D0%94%D0%A1%D0%A2%D0%A3+%D0%91+EN+15251" TargetMode="External"/><Relationship Id="rId50" Type="http://schemas.openxmlformats.org/officeDocument/2006/relationships/hyperlink" Target="https://e-construction.gov.ua/laws_detail/3200391384846566485?doc_type=2" TargetMode="External"/><Relationship Id="rId104" Type="http://schemas.openxmlformats.org/officeDocument/2006/relationships/hyperlink" Target="https://e-construction.gov.ua/laws_detail/3084989669637621022?doc_type=2" TargetMode="External"/><Relationship Id="rId125" Type="http://schemas.openxmlformats.org/officeDocument/2006/relationships/hyperlink" Target="https://ua-s.org/katalog-normativnih-dokumentiv/search-by-result-parameters?search=%D0%94%D0%A1%D0%A2%D0%A3+EN+81-22" TargetMode="External"/><Relationship Id="rId146" Type="http://schemas.openxmlformats.org/officeDocument/2006/relationships/hyperlink" Target="https://e-construction.gov.ua/laws_detail/3192362160978134152?doc_type=2" TargetMode="External"/><Relationship Id="rId167" Type="http://schemas.openxmlformats.org/officeDocument/2006/relationships/hyperlink" Target="https://e-construction.gov.ua/laws_detail/3192362160978134152?doc_type=2" TargetMode="External"/><Relationship Id="rId188" Type="http://schemas.openxmlformats.org/officeDocument/2006/relationships/hyperlink" Target="https://e-construction.gov.ua/laws_detail/3199648113669179181?doc_type=2" TargetMode="External"/><Relationship Id="rId311" Type="http://schemas.openxmlformats.org/officeDocument/2006/relationships/hyperlink" Target="https://e-construction.gov.ua/laws_detail/3200410998024438840?doc_type=2" TargetMode="External"/><Relationship Id="rId332" Type="http://schemas.openxmlformats.org/officeDocument/2006/relationships/hyperlink" Target="https://zakon.rada.gov.ua/laws/show/3543-12" TargetMode="External"/><Relationship Id="rId353" Type="http://schemas.openxmlformats.org/officeDocument/2006/relationships/fontTable" Target="fontTable.xml"/><Relationship Id="rId71" Type="http://schemas.openxmlformats.org/officeDocument/2006/relationships/hyperlink" Target="https://ua-s.org/katalog-normativnih-dokumentiv/search-by-result-parameters/43433?search=%D0%94%D0%A1%D0%A2%D0%A3+EN+81-40:2022+" TargetMode="External"/><Relationship Id="rId92" Type="http://schemas.openxmlformats.org/officeDocument/2006/relationships/hyperlink" Target="https://ua-s.org/katalog-normativnih-dokumentiv/search-by-result-parameters/3977?search=%D0%94%D0%A1%D0%A2%D0%A3+7372:2013+" TargetMode="External"/><Relationship Id="rId213" Type="http://schemas.openxmlformats.org/officeDocument/2006/relationships/hyperlink" Target="https://e-construction.gov.ua/laws_detail/3074971619479783152?doc_type=2" TargetMode="External"/><Relationship Id="rId234" Type="http://schemas.openxmlformats.org/officeDocument/2006/relationships/hyperlink" Target="https://e-construction.gov.ua/laws_detail/3200391384846566485?doc_type=2" TargetMode="External"/><Relationship Id="rId2" Type="http://schemas.openxmlformats.org/officeDocument/2006/relationships/customXml" Target="../customXml/item2.xml"/><Relationship Id="rId29" Type="http://schemas.openxmlformats.org/officeDocument/2006/relationships/hyperlink" Target="https://e-construction.gov.ua/laws_detail/3074256437195573110?doc_type=2" TargetMode="External"/><Relationship Id="rId255" Type="http://schemas.openxmlformats.org/officeDocument/2006/relationships/hyperlink" Target="https://e-construction.gov.ua/laws_detail/3080743763845318619?doc_type=2" TargetMode="External"/><Relationship Id="rId276" Type="http://schemas.openxmlformats.org/officeDocument/2006/relationships/hyperlink" Target="https://e-construction.gov.ua/laws_detail/3083626778627933844?doc_type=2" TargetMode="External"/><Relationship Id="rId297" Type="http://schemas.openxmlformats.org/officeDocument/2006/relationships/image" Target="media/image8.png"/><Relationship Id="rId40" Type="http://schemas.openxmlformats.org/officeDocument/2006/relationships/hyperlink" Target="https://e-construction.gov.ua/laws_detail/3199648113669179181?doc_type=2" TargetMode="External"/><Relationship Id="rId115" Type="http://schemas.openxmlformats.org/officeDocument/2006/relationships/hyperlink" Target="https://e-construction.gov.ua/laws_detail/3200385397578270089?doc_type=2" TargetMode="External"/><Relationship Id="rId136" Type="http://schemas.openxmlformats.org/officeDocument/2006/relationships/hyperlink" Target="https://e-construction.gov.ua/laws_detail/3192362160978134152?doc_type=2" TargetMode="External"/><Relationship Id="rId157" Type="http://schemas.openxmlformats.org/officeDocument/2006/relationships/hyperlink" Target="https://e-construction.gov.ua/laws_detail/3199641891914122817?doc_type=2" TargetMode="External"/><Relationship Id="rId178" Type="http://schemas.openxmlformats.org/officeDocument/2006/relationships/hyperlink" Target="https://e-construction.gov.ua/laws_detail/3080743763845318619?doc_type=2" TargetMode="External"/><Relationship Id="rId301" Type="http://schemas.openxmlformats.org/officeDocument/2006/relationships/image" Target="media/image12.png"/><Relationship Id="rId322" Type="http://schemas.openxmlformats.org/officeDocument/2006/relationships/hyperlink" Target="https://ua-s.org/katalog-normativnih-dokumentiv/search-by-result-parameters?search=%D0%94%D0%A1%D0%A2%D0%A3+%D0%91+%D0%92.2.7-108+" TargetMode="External"/><Relationship Id="rId343" Type="http://schemas.openxmlformats.org/officeDocument/2006/relationships/hyperlink" Target="https://ua-s.org/katalog-normativnih-dokumentiv/search-by-result-parameters?search=%D0%94%D0%A1%D0%A2%D0%A3+%D0%91+%D0%92.2.6-75:2008+" TargetMode="External"/><Relationship Id="rId61" Type="http://schemas.openxmlformats.org/officeDocument/2006/relationships/hyperlink" Target="https://ua-s.org/katalog-normativnih-dokumentiv/search-by-result-parameters/34161?search=%D0%94%D0%A1%D0%A2%D0%A3+%D0%91+%D0%92.2.6-156:2010+" TargetMode="External"/><Relationship Id="rId82" Type="http://schemas.openxmlformats.org/officeDocument/2006/relationships/hyperlink" Target="https://ua-s.org/katalog-normativnih-dokumentiv/search-by-result-parameters/39261?search=%D0%94%D0%A1%D0%A2%D0%A3+EN+50172:2019+" TargetMode="External"/><Relationship Id="rId199" Type="http://schemas.openxmlformats.org/officeDocument/2006/relationships/hyperlink" Target="https://e-construction.gov.ua/laws_detail/3200385397578270089?doc_type=2" TargetMode="External"/><Relationship Id="rId203" Type="http://schemas.openxmlformats.org/officeDocument/2006/relationships/hyperlink" Target="https://e-construction.gov.ua/laws_detail/3307711387089765865?doc_type=2" TargetMode="External"/><Relationship Id="rId19" Type="http://schemas.openxmlformats.org/officeDocument/2006/relationships/footer" Target="footer6.xml"/><Relationship Id="rId224" Type="http://schemas.openxmlformats.org/officeDocument/2006/relationships/hyperlink" Target="https://ua-s.org/katalog-normativnih-dokumentiv/search-by-result-parameters?search=%D0%94%D0%A1%D0%A2%D0%A3+EN+15232" TargetMode="External"/><Relationship Id="rId245" Type="http://schemas.openxmlformats.org/officeDocument/2006/relationships/hyperlink" Target="https://e-construction.gov.ua/laws_detail/3084989669637621022?doc_type=2" TargetMode="External"/><Relationship Id="rId266" Type="http://schemas.openxmlformats.org/officeDocument/2006/relationships/hyperlink" Target="https://e-construction.gov.ua/laws_detail/3199648113669179181?doc_type=2" TargetMode="External"/><Relationship Id="rId287" Type="http://schemas.openxmlformats.org/officeDocument/2006/relationships/hyperlink" Target="https://ua-s.org/katalog-normativnih-dokumentiv/search-by-result-parameters?search=%D0%94%D0%A1%D0%A2%D0%A3+%D0%91+EN+ISO+7730+" TargetMode="External"/><Relationship Id="rId30" Type="http://schemas.openxmlformats.org/officeDocument/2006/relationships/hyperlink" Target="https://e-construction.gov.ua/laws_detail/3074128030063396541?doc_type=2" TargetMode="External"/><Relationship Id="rId105" Type="http://schemas.openxmlformats.org/officeDocument/2006/relationships/hyperlink" Target="https://ua-s.org/katalog-normativnih-dokumentiv/search-by-result-parameters/1941?search=%D0%94%D0%A1%D0%A2%D0%A3+3651.0+" TargetMode="External"/><Relationship Id="rId126" Type="http://schemas.openxmlformats.org/officeDocument/2006/relationships/hyperlink" Target="https://ua-s.org/katalog-normativnih-dokumentiv/search-by-result-parameters/64253?search=%D0%94%D0%A1%D0%A2%D0%A3+EN+81-70" TargetMode="External"/><Relationship Id="rId147" Type="http://schemas.openxmlformats.org/officeDocument/2006/relationships/hyperlink" Target="https://e-construction.gov.ua/laws_detail/3080743763845318619?doc_type=2" TargetMode="External"/><Relationship Id="rId168" Type="http://schemas.openxmlformats.org/officeDocument/2006/relationships/hyperlink" Target="https://e-construction.gov.ua/laws_detail/3192362160978134152?doc_type=2" TargetMode="External"/><Relationship Id="rId312" Type="http://schemas.openxmlformats.org/officeDocument/2006/relationships/hyperlink" Target="https://ua-s.org/katalog-normativnih-dokumentiv/search-by-result-parameters?search=%D0%94%D0%A1%D0%A2%D0%A3+%D0%91+%D0%92.2.6-156" TargetMode="External"/><Relationship Id="rId333" Type="http://schemas.openxmlformats.org/officeDocument/2006/relationships/hyperlink" Target="https://zakon.rada.gov.ua/laws/show/2245-14" TargetMode="External"/><Relationship Id="rId354" Type="http://schemas.openxmlformats.org/officeDocument/2006/relationships/theme" Target="theme/theme1.xml"/><Relationship Id="rId51" Type="http://schemas.openxmlformats.org/officeDocument/2006/relationships/hyperlink" Target="https://e-construction.gov.ua/laws_detail/3075196638495507996?doc_type=2" TargetMode="External"/><Relationship Id="rId72" Type="http://schemas.openxmlformats.org/officeDocument/2006/relationships/hyperlink" Target="https://ua-s.org/katalog-normativnih-dokumentiv/search-by-result-parameters/35411?search=%D0%94%D0%A1%D0%A2%D0%A3+EN+81-41:2016+" TargetMode="External"/><Relationship Id="rId93" Type="http://schemas.openxmlformats.org/officeDocument/2006/relationships/hyperlink" Target="https://zakon.rada.gov.ua/laws/show/z0562-23" TargetMode="External"/><Relationship Id="rId189" Type="http://schemas.openxmlformats.org/officeDocument/2006/relationships/hyperlink" Target="https://e-construction.gov.ua/laws_detail/3192362160978134152?doc_type=2" TargetMode="External"/><Relationship Id="rId3" Type="http://schemas.openxmlformats.org/officeDocument/2006/relationships/numbering" Target="numbering.xml"/><Relationship Id="rId214" Type="http://schemas.openxmlformats.org/officeDocument/2006/relationships/hyperlink" Target="https://e-construction.gov.ua/laws_detail/3074971619479783152?doc_type=2" TargetMode="External"/><Relationship Id="rId235" Type="http://schemas.openxmlformats.org/officeDocument/2006/relationships/hyperlink" Target="https://e-construction.gov.ua/laws_detail/3200385397578270089?doc_type=2" TargetMode="External"/><Relationship Id="rId256" Type="http://schemas.openxmlformats.org/officeDocument/2006/relationships/hyperlink" Target="https://e-construction.gov.ua/laws_detail/3080743763845318619?doc_type=2" TargetMode="External"/><Relationship Id="rId277" Type="http://schemas.openxmlformats.org/officeDocument/2006/relationships/hyperlink" Target="https://ua-s.org/katalog-normativnih-dokumentiv/search-by-result-parameters?search=%D0%94%D0%A1%D0%A2%D0%A3-%D0%9D+%D0%91+%D0%92.1.1-32" TargetMode="External"/><Relationship Id="rId298" Type="http://schemas.openxmlformats.org/officeDocument/2006/relationships/image" Target="media/image9.png"/><Relationship Id="rId116" Type="http://schemas.openxmlformats.org/officeDocument/2006/relationships/hyperlink" Target="https://ua-s.org/katalog-normativnih-dokumentiv/search-by-result-parameters/39260?search=%D0%94%D0%A1%D0%A2%D0%A3+8855" TargetMode="External"/><Relationship Id="rId137" Type="http://schemas.openxmlformats.org/officeDocument/2006/relationships/hyperlink" Target="https://e-construction.gov.ua/laws_detail/3192362160978134152?doc_type=2" TargetMode="External"/><Relationship Id="rId158" Type="http://schemas.openxmlformats.org/officeDocument/2006/relationships/hyperlink" Target="https://e-construction.gov.ua/laws_detail/3199639927805445716?doc_type=2" TargetMode="External"/><Relationship Id="rId302" Type="http://schemas.openxmlformats.org/officeDocument/2006/relationships/hyperlink" Target="https://e-construction.gov.ua/laws_detail/3200410998024438840?doc_type=2" TargetMode="External"/><Relationship Id="rId323" Type="http://schemas.openxmlformats.org/officeDocument/2006/relationships/hyperlink" Target="https://ua-s.org/katalog-normativnih-dokumentiv/search-by-result-parameters?search=%D0%94%D0%A1%D0%A2%D0%A3+%D0%91+%D0%92.2.7-103" TargetMode="External"/><Relationship Id="rId344" Type="http://schemas.openxmlformats.org/officeDocument/2006/relationships/hyperlink" Target="https://ua-s.org/katalog-normativnih-dokumentiv/search-by-result-parameters?search=%D0%94%D0%A1%D0%A2%D0%A3+8828:2019+" TargetMode="External"/><Relationship Id="rId20" Type="http://schemas.openxmlformats.org/officeDocument/2006/relationships/footer" Target="footer7.xml"/><Relationship Id="rId41" Type="http://schemas.openxmlformats.org/officeDocument/2006/relationships/hyperlink" Target="https://e-construction.gov.ua/laws_detail/3508997870881604750?doc_type=2" TargetMode="External"/><Relationship Id="rId62" Type="http://schemas.openxmlformats.org/officeDocument/2006/relationships/hyperlink" Target="https://ua-s.org/katalog-normativnih-dokumentiv/search-by-result-parameters/35127?search=%D0%94%D0%A1%D0%A2%D0%A3-%D0%9D+%D0%91+%D0%92.2.6-218:2016+" TargetMode="External"/><Relationship Id="rId83" Type="http://schemas.openxmlformats.org/officeDocument/2006/relationships/hyperlink" Target="https://ua-s.org/katalog-normativnih-dokumentiv/search-by-result-parameters/10975?search=%D0%94%D0%A1%D0%A2%D0%A3+EN+61643-11:2015+" TargetMode="External"/><Relationship Id="rId179" Type="http://schemas.openxmlformats.org/officeDocument/2006/relationships/hyperlink" Target="https://e-construction.gov.ua/laws_detail/3260441209981634046?doc_type=2" TargetMode="External"/><Relationship Id="rId190" Type="http://schemas.openxmlformats.org/officeDocument/2006/relationships/hyperlink" Target="https://e-construction.gov.ua/laws_detail/3080029223885211423?doc_type=2" TargetMode="External"/><Relationship Id="rId204" Type="http://schemas.openxmlformats.org/officeDocument/2006/relationships/hyperlink" Target="https://e-construction.gov.ua/laws_detail/3200383488549193714?doc_type=2" TargetMode="External"/><Relationship Id="rId225" Type="http://schemas.openxmlformats.org/officeDocument/2006/relationships/hyperlink" Target="https://e-construction.gov.ua/laws_detail/3074971619479783152?doc_type=2" TargetMode="External"/><Relationship Id="rId246" Type="http://schemas.openxmlformats.org/officeDocument/2006/relationships/hyperlink" Target="https://e-construction.gov.ua/laws_detail/3084989669637621022?doc_type=2" TargetMode="External"/><Relationship Id="rId267" Type="http://schemas.openxmlformats.org/officeDocument/2006/relationships/hyperlink" Target="https://e-construction.gov.ua/laws_detail/3083626778627933844?doc_type=2" TargetMode="External"/><Relationship Id="rId288" Type="http://schemas.openxmlformats.org/officeDocument/2006/relationships/hyperlink" Target="https://e-construction.gov.ua/laws_detail/3200410998024438840?doc_type=2" TargetMode="External"/><Relationship Id="rId106" Type="http://schemas.openxmlformats.org/officeDocument/2006/relationships/hyperlink" Target="https://ua-s.org/katalog-normativnih-dokumentiv/search-by-result-parameters/1947?search=%D0%94%D0%A1%D0%A2%D0%A3+3651.1" TargetMode="External"/><Relationship Id="rId127" Type="http://schemas.openxmlformats.org/officeDocument/2006/relationships/hyperlink" Target="https://ua-s.org/katalog-normativnih-dokumentiv/search-by-result-parameters/65489?search=%D0%94%D0%A1%D0%A2%D0%A3+EN+81-71" TargetMode="External"/><Relationship Id="rId313" Type="http://schemas.openxmlformats.org/officeDocument/2006/relationships/hyperlink" Target="https://e-construction.gov.ua/laws_detail/3200410998024438840?doc_type=2" TargetMode="External"/><Relationship Id="rId10" Type="http://schemas.openxmlformats.org/officeDocument/2006/relationships/header" Target="header1.xml"/><Relationship Id="rId31" Type="http://schemas.openxmlformats.org/officeDocument/2006/relationships/hyperlink" Target="https://e-construction.gov.ua/laws_detail/3260441209981634046?doc_type=2" TargetMode="External"/><Relationship Id="rId52" Type="http://schemas.openxmlformats.org/officeDocument/2006/relationships/hyperlink" Target="https://e-construction.gov.ua/laws_detail/3200410998024438840?doc_type=2" TargetMode="External"/><Relationship Id="rId73" Type="http://schemas.openxmlformats.org/officeDocument/2006/relationships/hyperlink" Target="https://ua-s.org/katalog-normativnih-dokumentiv/search-by-result-parameters/60181?search=%D0%94%D0%A1%D0%A2%D0%A3+EN+81-70:2019+" TargetMode="External"/><Relationship Id="rId94" Type="http://schemas.openxmlformats.org/officeDocument/2006/relationships/hyperlink" Target="https://zakon.rada.gov.ua/laws/show/z0742-20" TargetMode="External"/><Relationship Id="rId148" Type="http://schemas.openxmlformats.org/officeDocument/2006/relationships/hyperlink" Target="https://e-construction.gov.ua/laws_detail/3080743763845318619?doc_type=2" TargetMode="External"/><Relationship Id="rId169" Type="http://schemas.openxmlformats.org/officeDocument/2006/relationships/hyperlink" Target="https://e-construction.gov.ua/laws_detail/3192362160978134152?doc_type=2" TargetMode="External"/><Relationship Id="rId334" Type="http://schemas.openxmlformats.org/officeDocument/2006/relationships/hyperlink" Target="https://zakon.rada.gov.ua/laws/show/3038-17" TargetMode="External"/><Relationship Id="rId4" Type="http://schemas.openxmlformats.org/officeDocument/2006/relationships/styles" Target="styles.xml"/><Relationship Id="rId180" Type="http://schemas.openxmlformats.org/officeDocument/2006/relationships/hyperlink" Target="https://e-construction.gov.ua/laws_detail/3199648113669179181?doc_type=2" TargetMode="External"/><Relationship Id="rId215" Type="http://schemas.openxmlformats.org/officeDocument/2006/relationships/hyperlink" Target="https://e-construction.gov.ua/laws_detail/3074971619479783152?doc_type=2" TargetMode="External"/><Relationship Id="rId236" Type="http://schemas.openxmlformats.org/officeDocument/2006/relationships/hyperlink" Target="https://e-construction.gov.ua/laws_detail/3200385397578270089?doc_type=2" TargetMode="External"/><Relationship Id="rId257" Type="http://schemas.openxmlformats.org/officeDocument/2006/relationships/hyperlink" Target="https://ua-s.org/katalog-normativnih-dokumentiv/search-by-result-parameters?search=%D0%94%D0%A1%D0%A2%D0%A3+%D0%91+%D0%92.1.1-36+" TargetMode="External"/><Relationship Id="rId278" Type="http://schemas.openxmlformats.org/officeDocument/2006/relationships/hyperlink" Target="https://ua-s.org/katalog-normativnih-dokumentiv/search-by-result-parameters?search=%D0%94%D0%A1%D0%A2%D0%A3-%D0%9D+%D0%91+%D0%92.1.1-33" TargetMode="External"/><Relationship Id="rId303" Type="http://schemas.openxmlformats.org/officeDocument/2006/relationships/hyperlink" Target="https://ua-s.org/katalog-normativnih-dokumentiv/search-by-result-parameters?search=%D0%94%D0%A1%D0%A2%D0%A3-%D0%9D+%D0%91+%D0%92.2.6-218" TargetMode="External"/><Relationship Id="rId42" Type="http://schemas.openxmlformats.org/officeDocument/2006/relationships/hyperlink" Target="https://e-construction.gov.ua/laws_detail/3192362160978134152?doc_type=2" TargetMode="External"/><Relationship Id="rId84" Type="http://schemas.openxmlformats.org/officeDocument/2006/relationships/hyperlink" Target="https://ua-s.org/katalog-normativnih-dokumentiv/search-by-result-parameters/8128?search=%D0%94%D0%A1%D0%A2%D0%A3+CLC/TS+61643-12:2015+" TargetMode="External"/><Relationship Id="rId138" Type="http://schemas.openxmlformats.org/officeDocument/2006/relationships/hyperlink" Target="https://e-construction.gov.ua/laws_detail/3199648113669179181?doc_type=2" TargetMode="External"/><Relationship Id="rId345" Type="http://schemas.openxmlformats.org/officeDocument/2006/relationships/hyperlink" Target="https://ua-s.org/katalog-normativnih-dokumentiv/search-by-result-parameters?search=%D0%94%D0%A1%D0%A2%D0%A3+%D0%91+ISO+21542:2013+" TargetMode="External"/><Relationship Id="rId191" Type="http://schemas.openxmlformats.org/officeDocument/2006/relationships/hyperlink" Target="https://e-construction.gov.ua/laws_detail/3080743763845318619?doc_type=2" TargetMode="External"/><Relationship Id="rId205" Type="http://schemas.openxmlformats.org/officeDocument/2006/relationships/hyperlink" Target="https://e-construction.gov.ua/laws_detail/3200383488549193714?doc_type=2" TargetMode="External"/><Relationship Id="rId247" Type="http://schemas.openxmlformats.org/officeDocument/2006/relationships/hyperlink" Target="https://ua-s.org/katalog-normativnih-dokumentiv/search-by-result-parameters?search=%D0%94%D0%A1%D0%A2%D0%A3+8855" TargetMode="External"/><Relationship Id="rId107" Type="http://schemas.openxmlformats.org/officeDocument/2006/relationships/hyperlink" Target="https://e-construction.gov.ua/laws_detail/3074256437195573110?doc_type=2" TargetMode="External"/><Relationship Id="rId289" Type="http://schemas.openxmlformats.org/officeDocument/2006/relationships/hyperlink" Target="https://ua-s.org/katalog-normativnih-dokumentiv/search-by-result-parameters?search=%D0%94%D0%A1%D0%A2%D0%A3+%D0%91+%D0%92.2.6-156" TargetMode="External"/><Relationship Id="rId11" Type="http://schemas.openxmlformats.org/officeDocument/2006/relationships/header" Target="header2.xml"/><Relationship Id="rId53" Type="http://schemas.openxmlformats.org/officeDocument/2006/relationships/hyperlink" Target="https://e-construction.gov.ua/laws_detail/3200867636908918478?doc_type=2" TargetMode="External"/><Relationship Id="rId149" Type="http://schemas.openxmlformats.org/officeDocument/2006/relationships/hyperlink" Target="https://e-construction.gov.ua/laws_detail/3192362160978134152?doc_type=2" TargetMode="External"/><Relationship Id="rId314" Type="http://schemas.openxmlformats.org/officeDocument/2006/relationships/hyperlink" Target="https://ua-s.org/katalog-normativnih-dokumentiv/search-by-result-parameters?search=%D0%94%D0%A1%D0%A2%D0%A3+3760" TargetMode="External"/><Relationship Id="rId95" Type="http://schemas.openxmlformats.org/officeDocument/2006/relationships/hyperlink" Target="https://zakon.rada.gov.ua/laws/show/5403-17" TargetMode="External"/><Relationship Id="rId160" Type="http://schemas.openxmlformats.org/officeDocument/2006/relationships/hyperlink" Target="https://e-construction.gov.ua/laws_detail/3192362160978134152?doc_type=2" TargetMode="External"/><Relationship Id="rId216" Type="http://schemas.openxmlformats.org/officeDocument/2006/relationships/hyperlink" Target="https://e-construction.gov.ua/laws_detail/3200381547559519359?doc_type=2" TargetMode="External"/><Relationship Id="rId258" Type="http://schemas.openxmlformats.org/officeDocument/2006/relationships/hyperlink" Target="https://ua-s.org/katalog-normativnih-dokumentiv/search-by-result-parameters/38923?search=%D0%94%D0%A1%D0%A2%D0%A3+ISO+8528-1:2018+" TargetMode="External"/><Relationship Id="rId22" Type="http://schemas.openxmlformats.org/officeDocument/2006/relationships/footer" Target="footer9.xml"/><Relationship Id="rId64" Type="http://schemas.openxmlformats.org/officeDocument/2006/relationships/hyperlink" Target="https://ua-s.org/katalog-normativnih-dokumentiv/search-by-result-parameters/37003?search=%D0%94%D0%A1%D0%A2%D0%A3+8773:2018+" TargetMode="External"/><Relationship Id="rId118" Type="http://schemas.openxmlformats.org/officeDocument/2006/relationships/hyperlink" Target="https://e-construction.gov.ua/laws_detail/3192362160978134152?doc_type=2" TargetMode="External"/><Relationship Id="rId325" Type="http://schemas.openxmlformats.org/officeDocument/2006/relationships/image" Target="media/image13.png"/><Relationship Id="rId171" Type="http://schemas.openxmlformats.org/officeDocument/2006/relationships/hyperlink" Target="https://e-construction.gov.ua/laws_detail/3192362160978134152?doc_type=2" TargetMode="External"/><Relationship Id="rId227" Type="http://schemas.openxmlformats.org/officeDocument/2006/relationships/hyperlink" Target="https://e-construction.gov.ua/laws_detail/3200385397578270089?doc_type=2" TargetMode="External"/><Relationship Id="rId269" Type="http://schemas.openxmlformats.org/officeDocument/2006/relationships/hyperlink" Target="https://e-construction.gov.ua/laws_detail/3074971619479783152?doc_type=2" TargetMode="External"/><Relationship Id="rId33" Type="http://schemas.openxmlformats.org/officeDocument/2006/relationships/hyperlink" Target="https://e-construction.gov.ua/laws_detail/3083626778627933844?doc_type=2" TargetMode="External"/><Relationship Id="rId129" Type="http://schemas.openxmlformats.org/officeDocument/2006/relationships/hyperlink" Target="https://ua-s.org/katalog-normativnih-dokumentiv/search-by-result-parameters/53542?search=%D0%94%D0%A1%D0%A2%D0%A3+EN+12158-1+" TargetMode="External"/><Relationship Id="rId280" Type="http://schemas.openxmlformats.org/officeDocument/2006/relationships/hyperlink" Target="https://ua-s.org/katalog-normativnih-dokumentiv/search-by-result-parameters?search=%D0%94%D0%A1%D0%A2%D0%A3-%D0%9D+%D0%91+%D0%92.1.1-35" TargetMode="External"/><Relationship Id="rId336" Type="http://schemas.openxmlformats.org/officeDocument/2006/relationships/hyperlink" Target="https://zakon.rada.gov.ua/laws/show/138-2017-%D0%BF" TargetMode="External"/><Relationship Id="rId75" Type="http://schemas.openxmlformats.org/officeDocument/2006/relationships/hyperlink" Target="https://ua-s.org/katalog-normativnih-dokumentiv/search-by-result-parameters/65489?search=%D0%94%D0%A1%D0%A2%D0%A3+EN+81-71:2022+" TargetMode="External"/><Relationship Id="rId140" Type="http://schemas.openxmlformats.org/officeDocument/2006/relationships/hyperlink" Target="https://e-construction.gov.ua/laws_detail/3192362160978134152?doc_type=2" TargetMode="External"/><Relationship Id="rId182" Type="http://schemas.openxmlformats.org/officeDocument/2006/relationships/hyperlink" Target="https://e-construction.gov.ua/laws_detail/3080743763845318619?doc_type=2" TargetMode="External"/><Relationship Id="rId6" Type="http://schemas.openxmlformats.org/officeDocument/2006/relationships/webSettings" Target="webSettings.xml"/><Relationship Id="rId238" Type="http://schemas.openxmlformats.org/officeDocument/2006/relationships/hyperlink" Target="https://e-construction.gov.ua/laws_detail/3084989669637621022?doc_type=2" TargetMode="External"/><Relationship Id="rId291" Type="http://schemas.openxmlformats.org/officeDocument/2006/relationships/hyperlink" Target="https://e-construction.gov.ua/laws_detail/3074797473579927547?doc_type=2" TargetMode="External"/><Relationship Id="rId305" Type="http://schemas.openxmlformats.org/officeDocument/2006/relationships/hyperlink" Target="https://e-construction.gov.ua/laws_detail/3199634775304307868?doc_type=2" TargetMode="External"/><Relationship Id="rId347" Type="http://schemas.openxmlformats.org/officeDocument/2006/relationships/hyperlink" Target="https://ua-s.org/katalog-normativnih-dokumentiv/search-by-result-parameters?search=%D0%94%D0%A1%D0%A2%D0%A3+EN+60947-6-1:2015+" TargetMode="External"/><Relationship Id="rId44" Type="http://schemas.openxmlformats.org/officeDocument/2006/relationships/hyperlink" Target="https://e-construction.gov.ua/laws_detail/3074958732556240833?doc_type=2" TargetMode="External"/><Relationship Id="rId86" Type="http://schemas.openxmlformats.org/officeDocument/2006/relationships/hyperlink" Target="https://ua-s.org/katalog-normativnih-dokumentiv/search-by-result-parameters/32727?search=%D0%94%D0%A1%D0%A2%D0%A3+IEC+60038:2015+" TargetMode="External"/><Relationship Id="rId151" Type="http://schemas.openxmlformats.org/officeDocument/2006/relationships/hyperlink" Target="https://e-construction.gov.ua/laws_detail/3192362160978134152?doc_type=2" TargetMode="External"/><Relationship Id="rId193" Type="http://schemas.openxmlformats.org/officeDocument/2006/relationships/hyperlink" Target="https://ua-s.org/katalog-normativnih-dokumentiv/search-by-result-parameters/39012?search=%D0%94%D0%A1%D0%A2%D0%A3+8828" TargetMode="External"/><Relationship Id="rId207" Type="http://schemas.openxmlformats.org/officeDocument/2006/relationships/hyperlink" Target="https://ua-s.org/katalog-normativnih-dokumentiv/search-by-result-parameters?search=%D0%94%D0%A1%D0%A2%D0%A3+9077" TargetMode="External"/><Relationship Id="rId249" Type="http://schemas.openxmlformats.org/officeDocument/2006/relationships/hyperlink" Target="https://e-construction.gov.ua/laws_detail/3074958732556240833?doc_type=2" TargetMode="External"/><Relationship Id="rId13" Type="http://schemas.openxmlformats.org/officeDocument/2006/relationships/footer" Target="footer2.xml"/><Relationship Id="rId109" Type="http://schemas.openxmlformats.org/officeDocument/2006/relationships/hyperlink" Target="https://e-construction.gov.ua/laws_detail/3192362160978134152?doc_type=2" TargetMode="External"/><Relationship Id="rId260" Type="http://schemas.openxmlformats.org/officeDocument/2006/relationships/hyperlink" Target="https://e-construction.gov.ua/laws_detail/3084989669637621022?doc_type=2" TargetMode="External"/><Relationship Id="rId316" Type="http://schemas.openxmlformats.org/officeDocument/2006/relationships/hyperlink" Target="https://e-construction.gov.ua/laws_detail/3200867636908918478?doc_type=2" TargetMode="External"/><Relationship Id="rId55" Type="http://schemas.openxmlformats.org/officeDocument/2006/relationships/hyperlink" Target="https://ua-s.org/katalog-normativnih-dokumentiv/search-by-result-parameters?search=%D0%94%D0%A1%D0%A2%D0%A3-%D0%9D+%D0%91+%D0%92.1.1-32:2013+" TargetMode="External"/><Relationship Id="rId97" Type="http://schemas.openxmlformats.org/officeDocument/2006/relationships/hyperlink" Target="https://zakon.rada.gov.ua/laws/show/3543-12" TargetMode="External"/><Relationship Id="rId120" Type="http://schemas.openxmlformats.org/officeDocument/2006/relationships/hyperlink" Target="https://e-construction.gov.ua/laws_detail/3192362160978134152?doc_type=2" TargetMode="External"/><Relationship Id="rId162" Type="http://schemas.openxmlformats.org/officeDocument/2006/relationships/hyperlink" Target="https://e-construction.gov.ua/laws_detail/3199648113669179181?doc_type=2" TargetMode="External"/><Relationship Id="rId218" Type="http://schemas.openxmlformats.org/officeDocument/2006/relationships/hyperlink" Target="https://e-construction.gov.ua/laws_detail/3074958732556240833?doc_type=2" TargetMode="External"/><Relationship Id="rId271" Type="http://schemas.openxmlformats.org/officeDocument/2006/relationships/hyperlink" Target="https://e-construction.gov.ua/laws_detail/3083626778627933844?doc_type=2" TargetMode="External"/><Relationship Id="rId24" Type="http://schemas.openxmlformats.org/officeDocument/2006/relationships/header" Target="header5.xml"/><Relationship Id="rId66" Type="http://schemas.openxmlformats.org/officeDocument/2006/relationships/hyperlink" Target="https://ua-s.org/katalog-normativnih-dokumentiv/search-by-result-parameters/39260?search=%D0%94%D0%A1%D0%A2%D0%A3+8855:2019+" TargetMode="External"/><Relationship Id="rId131" Type="http://schemas.openxmlformats.org/officeDocument/2006/relationships/hyperlink" Target="https://e-construction.gov.ua/laws_detail/3192362160978134152?doc_type=2" TargetMode="External"/><Relationship Id="rId327" Type="http://schemas.openxmlformats.org/officeDocument/2006/relationships/image" Target="media/image15.png"/><Relationship Id="rId173" Type="http://schemas.openxmlformats.org/officeDocument/2006/relationships/hyperlink" Target="https://e-construction.gov.ua/laws_detail/3192362160978134152?doc_type=2" TargetMode="External"/><Relationship Id="rId229" Type="http://schemas.openxmlformats.org/officeDocument/2006/relationships/hyperlink" Target="https://e-construction.gov.ua/laws_detail/3200385397578270089?doc_type=2" TargetMode="External"/><Relationship Id="rId240" Type="http://schemas.openxmlformats.org/officeDocument/2006/relationships/hyperlink" Target="https://ua-s.org/katalog-normativnih-dokumentiv/search-by-result-parameters?search=%D0%94%D0%A1%D0%A2%D0%A3+%D0%91+%D0%92.2.5-82+" TargetMode="External"/><Relationship Id="rId35" Type="http://schemas.openxmlformats.org/officeDocument/2006/relationships/hyperlink" Target="https://e-construction.gov.ua/laws_detail/3236500339955861496?doc_type=2" TargetMode="External"/><Relationship Id="rId77" Type="http://schemas.openxmlformats.org/officeDocument/2006/relationships/hyperlink" Target="https://ua-s.org/katalog-normativnih-dokumentiv/search-by-result-parameters/53542?search=%D0%94%D0%A1%D0%A2%D0%A3+EN+12158-1:2022+" TargetMode="External"/><Relationship Id="rId100" Type="http://schemas.openxmlformats.org/officeDocument/2006/relationships/hyperlink" Target="https://e-construction.gov.ua/laws_detail/3192355188719486804?doc_type=2" TargetMode="External"/><Relationship Id="rId282" Type="http://schemas.openxmlformats.org/officeDocument/2006/relationships/hyperlink" Target="https://e-construction.gov.ua/laws_detail/3074958732556240833?doc_type=2" TargetMode="External"/><Relationship Id="rId338" Type="http://schemas.openxmlformats.org/officeDocument/2006/relationships/hyperlink" Target="https://zakon.rada.gov.ua/laws/show/765-2016-%D0%BF" TargetMode="External"/><Relationship Id="rId8" Type="http://schemas.openxmlformats.org/officeDocument/2006/relationships/endnotes" Target="endnotes.xml"/><Relationship Id="rId142" Type="http://schemas.openxmlformats.org/officeDocument/2006/relationships/hyperlink" Target="https://e-construction.gov.ua/laws_detail/3080743763845318619?doc_type=2" TargetMode="External"/><Relationship Id="rId184" Type="http://schemas.openxmlformats.org/officeDocument/2006/relationships/hyperlink" Target="https://e-construction.gov.ua/laws_detail/3192362160978134152?doc_type=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u6uCemOP/WMb3BDpnxA887DNRA==">CgMxLjAaHQoBMBIYChYIB0ISEhBBcmlhbCBVbmljb2RlIE1TGh0KATESGAoWCAdCEhIQQXJpYWwgVW5pY29kZSBNUxodCgEyEhgKFggHQhI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eCgIzMxIYChYIB0ISEhBBcmlhbCBVbmljb2RlIE1TGiUKAjM0Eh8KHQgHQhkKBUFyaWFsEhBBcmlhbCBVbmljb2RlIE1TGiUKAjM1Eh8KHQgHQhkKBUFyaW1vEhBBcmlhbCBVbmljb2RlIE1TGiUKAjM2Eh8KHQgHQhkKBUFyaWFsEhBBcmlhbCBVbmljb2RlIE1TGiUKAjM3Eh8KHQgHQhkKBUFyaWFsEhBBcmlhbCBVbmljb2RlIE1TGiUKAjM4Eh8KHQgHQhkKBUFyaWFsEhBBcmlhbCBVbmljb2RlIE1TGiUKAjM5Eh8KHQgHQhkKBUFyaW1vEhBBcmlhbCBVbmljb2RlIE1TGiUKAjQwEh8KHQgHQhkKBUFyaW1vEhBBcmlhbCBVbmljb2RlIE1TGiUKAjQxEh8KHQgHQhkKBUFyaWFsEhBBcmlhbCBVbmljb2RlIE1TGiUKAjQyEh8KHQgHQhkKBUFyaWFsEhBBcmlhbCBVbmljb2RlIE1TGiUKAjQzEh8KHQgHQhkKBUFyaW1vEhBBcmlhbCBVbmljb2RlIE1TGiUKAjQ0Eh8KHQgHQhkKBUFyaW1vEhBBcmlhbCBVbmljb2RlIE1TGh4KAjQ1EhgKFggHQhISEEFyaWFsIFVuaWNvZGUgTVMaJQoCNDYSHwodCAdCGQoFQXJpbW8SEEFyaWFsIFVuaWNvZGUgTVMaJQoCNDcSHwodCAdCGQoFQXJpbW8SEEFyaWFsIFVuaWNvZGUgTVMaJQoCNDgSHwodCAdCGQoFQXJpbW8SEEFyaWFsIFVuaWNvZGUgTVMaJQoCNDkSHwodCAdCGQoFQXJpbW8SEEFyaWFsIFVuaWNvZGUgTVMaJQoCNTASHwodCAdCGQoFQXJpbW8SEEFyaWFsIFVuaWNvZGUgTVMaHgoCNTESGAoWCAdCEhIQQXJpYWwgVW5pY29kZSBNUxolCgI1MhIfCh0IB0IZCgVBcmltbxIQQXJpYWwgVW5pY29kZSBNUxoeCgI1MxIYChYIB0ISEhBBcmlhbCBVbmljb2RlIE1TGh4KAjU0EhgKFggHQhISEEFyaWFsIFVuaWNvZGUgTVMaHgoCNTUSGAoWCAdCEhIQQXJpYWwgVW5pY29kZSBNUxoeCgI1NhIYChYIB0ISEhBBcmlhbCBVbmljb2RlIE1TGh4KAjU3EhgKFggHQhISEEFyaWFsIFVuaWNvZGUgTVMaHgoCNTgSGAoWCAdCEhIQQXJpYWwgVW5pY29kZSBNUxoeCgI1ORIYChYIB0ISEhBBcmlhbCBVbmljb2RlIE1TGh4KAjYwEhgKFggHQhISEEFyaWFsIFVuaWNvZGUgTVMaHgoCNjESGAoWCAdCEhIQQXJpYWwgVW5pY29kZSBNUxoeCgI2MhIYChYIB0ISEhBBcmlhbCBVbmljb2RlIE1TGiUKAjYzEh8KHQgHQhkKBUFyaW1vEhBBcmlhbCBVbmljb2RlIE1TGiUKAjY0Eh8KHQgHQhkKBUFyaWFsEhBBcmlhbCBVbmljb2RlIE1TGiUKAjY1Eh8KHQgHQhkKBUFyaWFsEhBBcmlhbCBVbmljb2RlIE1TGiUKAjY2Eh8KHQgHQhkKBUFyaWFsEhBBcmlhbCBVbmljb2RlIE1TGiUKAjY3Eh8KHQgHQhkKBUFyaWFsEhBBcmlhbCBVbmljb2RlIE1TGiUKAjY4Eh8KHQgHQhkKBUFyaWFsEhBBcmlhbCBVbmljb2RlIE1TGiUKAjY5Eh8KHQgHQhkKBUFyaWFsEhBBcmlhbCBVbmljb2RlIE1TGiUKAjcwEh8KHQgHQhkKBUFyaWFsEhBBcmlhbCBVbmljb2RlIE1TGiUKAjcxEh8KHQgHQhkKBUFyaWFsEhBBcmlhbCBVbmljb2RlIE1TGiUKAjcyEh8KHQgHQhkKBUFyaWFsEhBBcmlhbCBVbmljb2RlIE1TGiUKAjczEh8KHQgHQhkKBUFyaWFsEhBBcmlhbCBVbmljb2RlIE1TGiUKAjc0Eh8KHQgHQhkKBUFyaWFsEhBBcmlhbCBVbmljb2RlIE1TGiUKAjc1Eh8KHQgHQhkKBUFyaWFsEhBBcmlhbCBVbmljb2RlIE1TGiUKAjc2Eh8KHQgHQhkKBUFyaWFsEhBBcmlhbCBVbmljb2RlIE1TGiUKAjc3Eh8KHQgHQhkKBUFyaWFsEhBBcmlhbCBVbmljb2RlIE1TGiUKAjc4Eh8KHQgHQhkKBUFyaWFsEhBBcmlhbCBVbmljb2RlIE1TGiUKAjc5Eh8KHQgHQhkKBUFyaWFsEhBBcmlhbCBVbmljb2RlIE1TGiUKAjgwEh8KHQgHQhkKBUFyaWFsEhBBcmlhbCBVbmljb2RlIE1TGiUKAjgxEh8KHQgHQhkKBUFyaWFsEhBBcmlhbCBVbmljb2RlIE1TGiUKAjgyEh8KHQgHQhkKBUFyaWFsEhBBcmlhbCBVbmljb2RlIE1TGiUKAjgzEh8KHQgHQhkKBUFyaWFsEhBBcmlhbCBVbmljb2RlIE1TGiUKAjg0Eh8KHQgHQhkKBUFyaWFsEhBBcmlhbCBVbmljb2RlIE1TGiUKAjg1Eh8KHQgHQhkKBUFyaWFsEhBBcmlhbCBVbmljb2RlIE1TGiUKAjg2Eh8KHQgHQhkKBUFyaWFsEhBBcmlhbCBVbmljb2RlIE1TGiUKAjg3Eh8KHQgHQhkKBUFyaWFsEhBBcmlhbCBVbmljb2RlIE1TGiUKAjg4Eh8KHQgHQhkKBUFyaWFsEhBBcmlhbCBVbmljb2RlIE1TGiUKAjg5Eh8KHQgHQhkKBUFyaWFsEhBBcmlhbCBVbmljb2RlIE1TGiUKAjkwEh8KHQgHQhkKBUFyaWFsEhBBcmlhbCBVbmljb2RlIE1TGiUKAjkxEh8KHQgHQhkKBUFyaWFsEhBBcmlhbCBVbmljb2RlIE1TGiUKAjkyEh8KHQgHQhkKBUFyaWFsEhBBcmlhbCBVbmljb2RlIE1TGiUKAjkzEh8KHQgHQhkKBUFyaWFsEhBBcmlhbCBVbmljb2RlIE1TGiUKAjk0Eh8KHQgHQhkKBUFyaWFsEhBBcmlhbCBVbmljb2RlIE1TGiUKAjk1Eh8KHQgHQhkKBUFyaWFsEhBBcmlhbCBVbmljb2RlIE1TGiUKAjk2Eh8KHQgHQhkKBUFyaWFsEhBBcmlhbCBVbmljb2RlIE1TGiUKAjk3Eh8KHQgHQhkKBUFyaWFsEhBBcmlhbCBVbmljb2RlIE1TGiUKAjk4Eh8KHQgHQhkKBUFyaWFsEhBBcmlhbCBVbmljb2RlIE1TGiUKAjk5Eh8KHQgHQhkKBUFyaWFsEhBBcmlhbCBVbmljb2RlIE1TGiYKAzEwMBIfCh0IB0IZCgVBcmlhbBIQQXJpYWwgVW5pY29kZSBNUxomCgMxMDESHwodCAdCGQoFQXJpYWwSEEFyaWFsIFVuaWNvZGUgTVMaJgoDMTAyEh8KHQgHQhkKBUFyaWFsEhBBcmlhbCBVbmljb2RlIE1TGiYKAzEwMxIfCh0IB0IZCgVBcmlhbBIQQXJpYWwgVW5pY29kZSBNUxomCgMxMDQSHwodCAdCGQoFQXJpYWwSEEFyaWFsIFVuaWNvZGUgTVMaJgoDMTA1Eh8KHQgHQhkKBUFyaWFsEhBBcmlhbCBVbmljb2RlIE1TGiYKAzEwNhIfCh0IB0IZCgVBcmlhbBIQQXJpYWwgVW5pY29kZSBNUxomCgMxMDcSHwodCAdCGQoFQXJpYWwSEEFyaWFsIFVuaWNvZGUgTVMaJgoDMTA4Eh8KHQgHQhkKBUFyaWFsEhBBcmlhbCBVbmljb2RlIE1TGiYKAzEwORIfCh0IB0IZCgVBcmlhbBIQQXJpYWwgVW5pY29kZSBNUxomCgMxMTASHwodCAdCGQoFQXJpYWwSEEFyaWFsIFVuaWNvZGUgTVMaJgoDMTExEh8KHQgHQhkKBUFyaWFsEhBBcmlhbCBVbmljb2RlIE1TGiYKAzExMhIfCh0IB0IZCgVBcmlhbBIQQXJpYWwgVW5pY29kZSBNUxomCgMxMTMSHwodCAdCGQoFQXJpYWwSEEFyaWFsIFVuaWNvZGUgTVMaJgoDMTE0Eh8KHQgHQhkKBUFyaWFsEhBBcmlhbCBVbmljb2RlIE1TGiYKAzExNRIfCh0IB0IZCgVBcmlhbBIQQXJpYWwgVW5pY29kZSBNUxomCgMxMTYSHwodCAdCGQoFQXJpYWwSEEFyaWFsIFVuaWNvZGUgTVMaJgoDMTE3Eh8KHQgHQhkKBUFyaWFsEhBBcmlhbCBVbmljb2RlIE1TGiYKAzExOBIfCh0IB0IZCgVBcmltbxIQQXJpYWwgVW5pY29kZSBNUxomCgMxMTkSHwodCAdCGQoFQXJpbW8SEEFyaWFsIFVuaWNvZGUgTVMaJgoDMTIwEh8KHQgHQhkKBUFyaW1vEhBBcmlhbCBVbmljb2RlIE1TGiYKAzEyMRIfCh0IB0IZCgVBcmltbxIQQXJpYWwgVW5pY29kZSBNUxomCgMxMjISHwodCAdCGQoFQXJpbW8SEEFyaWFsIFVuaWNvZGUgTVMaJgoDMTIzEh8KHQgHQhkKBUFyaW1vEhBBcmlhbCBVbmljb2RlIE1TGiYKAzEyNBIfCh0IB0IZCgVBcmlhbBIQQXJpYWwgVW5pY29kZSBNUxomCgMxMjUSHwodCAdCGQoFQXJpYWwSEEFyaWFsIFVuaWNvZGUgTVMaJgoDMTI2Eh8KHQgHQhkKBUFyaWFsEhBBcmlhbCBVbmljb2RlIE1TGiYKAzEyNxIfCh0IB0IZCgVBcmlhbBIQQXJpYWwgVW5pY29kZSBNUxomCgMxMjgSHwodCAdCGQoFQXJpYWwSEEFyaWFsIFVuaWNvZGUgTVMaJgoDMTI5Eh8KHQgHQhkKBUFyaWFsEhBBcmlhbCBVbmljb2RlIE1TMgloLjMwajB6bGwyDmguemdxbDh1cWpxNWlpMgloLjJzOGV5bzEyDmguaDRtNGNneG00aHB1MgloLjE3ZHA4dnUyCWguMjZpbjFyZzINaC41dXVvNmtrYmticjINaC5hdG03dzdwNG9sbjIOaC43YjJibnM3YXV3NmoyCWguMW1yY3UwOTIJaC40NnIwY28yMg5oLmR4Mmh3eWF3YnJpaDIOaC42NHFkdnhyZnBtbm0yDmguM2Qwajk2MXRlcmRoMgloLjRidms3cGoyCWguMWpsYW80NjIJaC4yemJnaXV3Mg5oLnV6bGp1ZWt1dzBrMzIIaC5namRneHMyCWguMWZvYjl0ZTINaC41a3RyZnRsNGQxbzIJaC4zem55c2g3MgloLjFvcHVqNW4yDmguNGxyOWRxYjEyMGprMgloLjQ4cGkxdGcyDmguNWJka2s5NWZsbGFyMg5oLmIzenh1bm4zcXgwNTIOaC54NjV1bWVqMHNvYXU4AHIhMTlPQjJFVG1Pa2p1SEF0YkxhWjVCT0xKT01iMzRQUVBP</go:docsCustomData>
</go:gDocsCustomXmlDataStorage>
</file>

<file path=customXml/itemProps1.xml><?xml version="1.0" encoding="utf-8"?>
<ds:datastoreItem xmlns:ds="http://schemas.openxmlformats.org/officeDocument/2006/customXml" ds:itemID="{5168CBC1-BC6B-43F9-9EF6-57ED021C50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127</Pages>
  <Words>55072</Words>
  <Characters>313912</Characters>
  <Application>Microsoft Office Word</Application>
  <DocSecurity>0</DocSecurity>
  <Lines>2615</Lines>
  <Paragraphs>736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Company>
  <LinksUpToDate>false</LinksUpToDate>
  <CharactersWithSpaces>368248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 Mastodo</dc:creator>
  <cp:lastModifiedBy>boyarkina1996@gmail.com</cp:lastModifiedBy>
  <cp:revision>40</cp:revision>
  <cp:lastPrinted>2023-11-14T10:36:00Z</cp:lastPrinted>
  <dcterms:created xsi:type="dcterms:W3CDTF">2023-10-30T10:38:00Z</dcterms:created>
  <dcterms:modified xsi:type="dcterms:W3CDTF">2024-12-25T07:17:00Z</dcterms:modified>
</cp:coreProperties>
</file>